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rPr>
                <w:b/>
                <w:bCs/>
                <w:color w:val="auto"/>
              </w:rPr>
            </w:pPr>
            <w:r>
              <w:rPr>
                <w:b/>
                <w:bCs/>
                <w:color w:val="auto"/>
              </w:rPr>
              <w:t>Title</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t>[Name]</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t>[Name]</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t>[Date]</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tbl>
      <w:tblPr>
        <w:tblW w:w="9667" w:type="dxa"/>
        <w:jc w:val="center"/>
        <w:tblBorders>
          <w:top w:val="single" w:sz="4" w:space="0" w:color="auto"/>
          <w:bottom w:val="single" w:sz="4" w:space="0" w:color="auto"/>
        </w:tblBorders>
        <w:shd w:val="clear" w:color="auto" w:fill="EEF2F6" w:themeFill="background2" w:themeFillTint="33"/>
        <w:tblLayout w:type="fixed"/>
        <w:tblCellMar>
          <w:left w:w="0" w:type="dxa"/>
          <w:right w:w="0" w:type="dxa"/>
        </w:tblCellMar>
        <w:tblLook w:val="0000" w:firstRow="0" w:lastRow="0" w:firstColumn="0" w:lastColumn="0" w:noHBand="0" w:noVBand="0"/>
      </w:tblPr>
      <w:tblGrid>
        <w:gridCol w:w="9667"/>
      </w:tblGrid>
      <w:tr w:rsidR="00D03E9F" w:rsidRPr="004F1175" w14:paraId="611B2949" w14:textId="77777777" w:rsidTr="008D277C">
        <w:trPr>
          <w:trHeight w:val="1656"/>
          <w:jc w:val="center"/>
        </w:trPr>
        <w:tc>
          <w:tcPr>
            <w:tcW w:w="9667" w:type="dxa"/>
            <w:shd w:val="clear" w:color="auto" w:fill="EEF2F6" w:themeFill="background2" w:themeFillTint="33"/>
          </w:tcPr>
          <w:p w14:paraId="525D51E2" w14:textId="020A1804" w:rsidR="00D03E9F" w:rsidRPr="004F1175" w:rsidRDefault="00B20EA9" w:rsidP="00755239">
            <w:pPr>
              <w:pStyle w:val="TableText"/>
              <w:spacing w:before="120" w:after="120" w:line="260" w:lineRule="atLeast"/>
              <w:ind w:left="57" w:right="57"/>
            </w:pPr>
            <w:r>
              <w:rPr>
                <w:sz w:val="20"/>
                <w:szCs w:val="20"/>
              </w:rPr>
              <w:t>Summary</w:t>
            </w:r>
          </w:p>
        </w:tc>
      </w:tr>
    </w:tbl>
    <w:tbl>
      <w:tblPr>
        <w:tblStyle w:val="TableGrid"/>
        <w:tblW w:type="auto" w:w="0"/>
        <w:tblLook w:firstColumn="1" w:firstRow="1" w:lastColumn="0" w:lastRow="0" w:noHBand="0" w:noVBand="1" w:val="04A0"/>
      </w:tblPr>
      <w:tblGrid>
        <w:gridCol w:w="9749"/>
      </w:tblGrid>
      <w:tr>
        <w:trPr>
          <w:trHeight w:val="1417"/>
        </w:trPr>
        <w:tc>
          <w:tcPr>
            <w:tcW w:type="dxa" w:w="9749"/>
            <w:shd w:val="clear" w:color="auto" w:fill="00429B"/>
          </w:tcPr>
          <w:p>
            <w:pPr>
              <w:jc w:val="center"/>
            </w:pPr>
            <w:r>
              <w:rPr>
                <w:rFonts w:ascii="Calibri" w:hAnsi="Calibri"/>
                <w:b/>
                <w:color w:val="FFFFFF"/>
                <w:sz w:val="44"/>
              </w:rPr>
              <w:t>RBC INVESTOR SERVICES</w:t>
            </w:r>
          </w:p>
        </w:tc>
      </w:tr>
    </w:tbl>
    <w:p/>
    <w:p>
      <w:pPr>
        <w:jc w:val="center"/>
      </w:pPr>
      <w:r>
        <w:rPr>
          <w:rFonts w:ascii="Calibri" w:hAnsi="Calibri"/>
          <w:b/>
          <w:color w:val="00429B"/>
          <w:sz w:val="56"/>
        </w:rPr>
        <w:t>MONTHLY EXECUTIVE REPORT</w:t>
      </w:r>
    </w:p>
    <w:p>
      <w:pPr>
        <w:jc w:val="center"/>
      </w:pPr>
      <w:r>
        <w:rPr>
          <w:rFonts w:ascii="Calibri" w:hAnsi="Calibri"/>
          <w:color w:val="1A1A2E"/>
          <w:sz w:val="32"/>
        </w:rPr>
        <w:t>For the period: February 2026</w:t>
      </w:r>
    </w:p>
    <w:p/>
    <w:p>
      <w:pPr>
        <w:jc w:val="center"/>
      </w:pPr>
      <w:r>
        <w:rPr>
          <w:rFonts w:ascii="Calibri" w:hAnsi="Calibri"/>
          <w:color w:val="1A1A2E"/>
          <w:sz w:val="22"/>
        </w:rPr>
        <w:t>Prepared for: Senior Management Team (SMT)</w:t>
        <w:br/>
        <w:t>Published: 21 March 2026</w:t>
        <w:br/>
        <w:t>Classification: RESTRICTED – SMT ONLY</w:t>
      </w:r>
    </w:p>
    <w:tbl>
      <w:tblPr>
        <w:tblStyle w:val="TableGrid"/>
        <w:tblW w:type="auto" w:w="0"/>
        <w:tblLook w:firstColumn="1" w:firstRow="1" w:lastColumn="0" w:lastRow="0" w:noHBand="0" w:noVBand="1" w:val="04A0"/>
      </w:tblPr>
      <w:tblGrid>
        <w:gridCol w:w="9749"/>
      </w:tblGrid>
      <w:tr>
        <w:trPr>
          <w:trHeight w:val="227"/>
        </w:trPr>
        <w:tc>
          <w:tcPr>
            <w:tcW w:type="dxa" w:w="9749"/>
            <w:shd w:val="clear" w:color="auto" w:fill="FFBE00"/>
          </w:tcPr>
          <w:p>
            <w:r/>
          </w:p>
        </w:tc>
      </w:tr>
    </w:tbl>
    <w:p>
      <w:r>
        <w:br w:type="page"/>
      </w:r>
    </w:p>
    <w:p>
      <w:r>
        <w:t># RBC INVESTOR SERVICES — MONTHLY EXECUTIVE BRIEFING</w:t>
        <w:br/>
        <w:br/>
        <w:t>**Period: February 2026 | Prepared: 21 March 2026 | Classification: SMT – Internal**</w:t>
        <w:br/>
        <w:br/>
        <w:t>---</w:t>
        <w:br/>
        <w:br/>
        <w:t>## 1. EXECUTIVE SUMMARY</w:t>
        <w:br/>
        <w:br/>
        <w:t>The most material development in February was the European Securities and Markets Authority's publication of its final technical standards for the EU's compressed settlement cycle, confirming a migration to T+1 by October 2027 and triggering an acceleration of operational readiness programmes across European custodians and CSDs. Global equity markets traded in a cautious range as persistent services-sector inflation in the United States led the Federal Reserve to signal a prolonged pause at its January-set rate of 4.00%, while the ECB delivered a widely anticipated 25 bp cut to 2.25%, widening the transatlantic rate differential and pushing EUR/USD to multi-month lows near 1.02. In the competitive landscape, State Street's announced acquisition of a mid-sized European transfer agency business underscored the continued consolidation trend in fund administration, and BNY Mellon expanded its digital-asset custody offering to tokenised money-market funds. Cyber risk remained elevated throughout the month following a sophisticated supply-chain attack disclosed against a tier-2 fund administrator, reinforcing the urgency of third-party vendor resilience programmes across the industry.</w:t>
        <w:br/>
        <w:br/>
        <w:t>---</w:t>
        <w:br/>
        <w:br/>
        <w:t>## 2. MARKET &amp; MACRO ENVIRONMENT</w:t>
        <w:br/>
        <w:br/>
        <w:t>• **U.S. Rates &amp; Fixed Income:** The Federal Reserve held the fed funds rate at 4.00% at no meeting in February, but hawkish minutes from the January FOMC session (released 19 Feb) drove the U.S. 10-year yield up approximately 15 bps to ~4.45%, increasing mark-to-market volatility in fixed-income portfolios under custody and complicating NAV calculations for bond-heavy funds.</w:t>
        <w:br/>
        <w:br/>
        <w:t>• **Equities:** The S&amp;P 500 traded in a narrow ±2% band, closing February roughly flat, while European equities (STOXX 600) gained ~1.5% on the back of the ECB rate cut and improving PMI data. Elevated volumes in options and ETFs sustained healthy transaction-fee revenue for custodians, though lower single-stock volatility compressed securities-lending spreads.</w:t>
        <w:br/>
        <w:br/>
        <w:t>• **ECB &amp; European Rates:** The ECB cut its deposit facility rate by 25 bps to 2.25% on 6 February, the sixth successive cut in this cycle, supporting European credit markets but compressing euro-denominated money-market fund yields — relevant for uninvested cash balances held across client accounts.</w:t>
        <w:br/>
        <w:br/>
        <w:t>• **FX:** EUR/USD declined to approximately 1.02 by month-end, its lowest since late 2022, driven by the widening rate differential. USD/CAD remained rangebound near 1.36 as the Bank of Canada held at 3.00%. FX hedging activity by cross-border fund clients increased notably, lifting transaction volumes.</w:t>
        <w:br/>
        <w:br/>
        <w:t>• **Commodities &amp; Alternatives:** Gold touched new highs above USD 2,950/oz, reflecting geopolitical hedging demand, while Brent crude stabilised around USD 78/bbl. Increased institutional allocation to gold ETFs and commodity strategies added to administration workloads.</w:t>
        <w:br/>
        <w:br/>
        <w:t>• **Emerging Markets:** EM sovereign spreads widened modestly (~10 bps on the JP Morgan EMBI) as the stronger dollar and higher U.S. real yields dampened risk appetite. Outflows from EM fixed-income funds put operational focus on redemption processing and liquidity monitoring.</w:t>
        <w:br/>
        <w:br/>
        <w:t>---</w:t>
        <w:br/>
        <w:br/>
        <w:t>## 3. REGULATORY &amp; POLICY DEVELOPMENTS</w:t>
        <w:br/>
        <w:br/>
        <w:t>• **ESMA T+1 Final Technical Standards:** ESMA published its final RTS on 12 February setting out the phased migration path for EU markets to T+1 settlement, targeting an October 2027 go-live. The standards impose mandatory pre-matching, same-day affirmation, and enhanced penalty regimes — requiring significant middle-office technology investment by custodians operating in Europe.</w:t>
        <w:br/>
        <w:br/>
        <w:t>• **SEC — Treasury Clearing Mandate Progress:** The SEC confirmed that the expanded central clearing mandate for U.S. Treasuries (adopted in 2023) remains on track for the December 2025 cash leg implementation, with the repo leg effective 30 June 2026. Custodians facilitating client access to FICC must finalise sponsored-member and agent-clearing arrangements.</w:t>
        <w:br/>
        <w:br/>
        <w:t>• **FCA Fund Tokenisation Feedback Statement:** The UK Financial Conduct Authority released a feedback statement on its discussion paper on tokenised fund units, signalling openness to permitting authorised funds to issue natively digital share classes, with a formal policy statement expected by Q3 2026.</w:t>
        <w:br/>
        <w:br/>
        <w:t>• **CSSF Circular on Substance &amp; Delegation:** Luxembourg's CSSF issued updated guidance (Circular 26/XXX) reinforcing ManCo substance requirements and tightening oversight expectations for delegated portfolio management and fund administration chains — directly relevant to our Luxembourg operations.</w:t>
        <w:br/>
        <w:br/>
        <w:t>• **OSC / CSA Crypto-Asset Platform Rules:** The Canadian Securities Administrators finalised revised registration requirements for crypto-asset trading platforms, effective 1 May 2026, extending custody and segregation standards closer to traditional securities-services norms.</w:t>
        <w:br/>
        <w:br/>
        <w:t>• **AML — EU AML Authority (AMLA):** The new EU Anti-Money Laundering Authority in Frankfurt commenced its supervisory planning phase, issuing a consultation on the criteria for selecting directly supervised obliged entities; large custodians operating cross-border are likely within initial scope by 2028.</w:t>
        <w:br/>
        <w:br/>
        <w:t>---</w:t>
        <w:br/>
        <w:br/>
        <w:t>## 4. INDUSTRY &amp; COMPETITIVE LANDSCAPE</w:t>
        <w:br/>
        <w:br/>
        <w:t>• **State Street — European Transfer Agency Acquisition:** State Street announced a definitive agreement to acquire Alter Domus's European TA business, bolstering its fund distribution and investor-servicing capabilities in Luxembourg and Ireland. The deal, reportedly valued at approximately EUR 400 million, is expected to close in H2 2026 pending regulatory approval.</w:t>
        <w:br/>
        <w:br/>
        <w:t>• **BNY Mellon — Tokenised MMF Custody:** BNY Mellon expanded its digital-asset custody service to support tokenised money-market fund shares issued on permissioned Ethereum-compatible chains, working with Franklin Templeton and BlackRock's tokenised fund offerings, positioning itself as the dominant custodian for institutional tokenised fund products.</w:t>
        <w:br/>
        <w:br/>
        <w:t>• **Northern Trust &amp; HSBC — FX and Collateral Interoperability:** Northern Trust and HSBC Securities Services announced a bilateral interoperability arrangement for tri-party collateral mobility, enabling mutual clients to optimise collateral usage across both networks — a competitive response to BNY Mellon's established tri-party dominance.</w:t>
        <w:br/>
        <w:br/>
        <w:t>• **Citi Securities Services — AI-Driven Reconciliation Platform:** Citi launched an AI-powered exception management and reconciliation platform across its custody network, claiming a 60% reduction in manual breaks resolution time. This accelerates the industry trend toward intelligent automation in post-trade operations.</w:t>
        <w:br/>
        <w:br/>
        <w:t>• **FinTech Challenger — Taurus Raises Series C:** Swiss digital-asset infrastructure firm Taurus raised CHF 100 million in Series C funding led by a consortium including Credit Suisse successor entities and Deutsche Börse, aiming to scale its regulated tokenisation-as-a-service and digital custody platform across Europe.</w:t>
        <w:br/>
        <w:br/>
        <w:t>---</w:t>
        <w:br/>
        <w:br/>
        <w:t>## 5. RISK DASHBOARD</w:t>
        <w:br/>
        <w:br/>
        <w:t>| # | Risk Title | Category | Description | Direction |</w:t>
        <w:br/>
        <w:t>|---|-----------|----------|-------------|-----------|</w:t>
        <w:br/>
        <w:t>| 1 | **EU T+1 Transition Readiness** | OPERATIONAL | The publication of ESMA's final RTS crystallises a concrete implementation timeline; firms that have not begun system and process upgrades face acute execution risk and potential fail-rate increases. Resource competition for settlement-technology specialists is intensifying. | ↑ INCREASING |</w:t>
        <w:br/>
        <w:t>| 2 | **Cyber — Supply-Chain Vendor Compromise** | CYBER | A sophisticated attack on a tier-2 fund administrator's software vendor in February exposed client data and disrupted NAV production for several days. The incident highlights systemic third-party and fourth-party vendor concentration risk across the industry. | ↑ INCREASING |</w:t>
        <w:br/>
        <w:t>| 3 | **USD Strength &amp; EM Redemption Pressure** | MARKET / LIQUIDITY | The rising dollar and higher U.S. real yields are driving continued outflows from EM and frontier-market funds, creating redemption-processing surges and potential liquidity mismatches in less-liquid underlying instruments. | ↑ INCREASING |</w:t>
        <w:br/>
        <w:t>| 4 | **U.S. Treasury Clearing — Client Onboarding Bottleneck** | REGULATORY | With the repo-leg central clearing mandate effective 30 June 2026, the compressed timeline to onboard buy-side clients into sponsored or agent-clearing models presents legal documentation and operational capacity risks. | ↑ INCREASING |</w:t>
        <w:br/>
        <w:t>| 5 | **Interest-Rate Margin Compression (EUR)** | MARKET | Successive ECB cuts are eroding net interest income on euro-denominated client cash balances held in custody and money-market sweep vehicles, pressuring a key revenue line for European investor-services operations. | → STABLE (structurally pressured) |</w:t>
        <w:br/>
        <w:br/>
        <w:t>---</w:t>
        <w:br/>
        <w:br/>
        <w:t>## 6. TECHNOLOGY &amp; DIGITAL ASSETS</w:t>
        <w:br/>
        <w:br/>
        <w:t>• **Generative AI in Fund Administration:** Industry adoption of large-language-model-assisted NAV commentary, prospectus analysis, and regulatory filing preparation accelerated in February, with Deloitte and PwC both publishing surveys indicating that over 40% of top-50 fund administrators have deployed or are piloting GenAI tools in production workflows. Governance frameworks for model risk and data privacy remain nascent.</w:t>
        <w:br/>
        <w:br/>
        <w:t>• **Tokenisation Momentum:** BlackRock's BUIDL tokenised Treasury fund surpassed USD 2 billion in AUM during February, and Franklin Templeton expanded its on-chain money fund to the Avalanche network. Custodial infrastructure for supporting multiple blockchain rails simultaneously is becoming a competitive differentiator.</w:t>
        <w:br/>
        <w:br/>
        <w:t>• **T+1 in Europe — Technology Vendor Mobilisation:** Major post-trade technology vendors (Broadridge, SS&amp;C, SimCorp) announced dedicated EU T+1 programme teams and product roadmaps in February, reflecting the urgency created by ESMA's final standards. Real-time trade-matching and pre-settlement SSI enrichment capabilities are the primary development priorities.</w:t>
        <w:br/>
        <w:br/>
        <w:t>• **DLT Infrastructure — DTCC Digital Securities Management (DSM):** DTCC expanded its Digital Securities Management platform pilot to include additional asset classes (structured products and fund units), moving toward a Q4 2026 production launch. Integration pathways for custodians are being defined.</w:t>
        <w:br/>
        <w:br/>
        <w:t>• **Cyber Threat Intelligence:** The February supply-chain attack on a fund administration software vendor involved a compromised code-signing certificate, enabling malicious updates to penetrate hardened environments. Industry bodies including SWIFT's ISAC and FS-ISAC issued emergency advisories. Custodians are being urged to implement zero-trust software supply-chain verification and enhanced runtime integrity monitoring.</w:t>
        <w:br/>
        <w:br/>
        <w:t>---</w:t>
        <w:br/>
        <w:br/>
        <w:t>## 7. KEY UPCOMING EVENTS — March 2026</w:t>
        <w:br/>
        <w:br/>
        <w:t>• **05 Mar** — Bank of Canada interest rate decision; consensus expects hold at 3.00%, relevant to CAD cash-balance economics.</w:t>
        <w:br/>
        <w:br/>
        <w:t>• **06 Mar** — ECB Governing Council meeting; no rate change expected after February's cut, but forward guidance language will be scrutinised for signals on the terminal rate.</w:t>
        <w:br/>
        <w:br/>
        <w:t>• **10-12 Mar** — ALFI European Asset Management Conference, Luxembourg; key sessions on EU T+1 readiness and fund tokenisation regulation.</w:t>
        <w:br/>
        <w:br/>
        <w:t>• **17-18 Mar** — U.S. Federal Reserve FOMC meeting and press conference; dot-plot update will shape rate expectations for H2 2026 and affect custody cash-revenue modelling.</w:t>
        <w:br/>
        <w:br/>
        <w:t>• **19 Mar** — Bank of England MPC decision; market pricing reflects a possible 25 bp cut to 4.00%, with implications for UK-domiciled fund cash yields.</w:t>
        <w:br/>
        <w:br/>
        <w:t>• **24 Mar** — ESMA open hearing on Central Securities Depository Regulation (CSDR) Refit implementation, covering settlement discipline and CSD passporting — directly relevant to cross-border custody operations.</w:t>
        <w:br/>
        <w:br/>
        <w:t>• **25-27 Mar** — FundForum International, Berlin; major industry conference featuring panels on AI in fund services, operational resilience, and private-market fund administration.</w:t>
        <w:br/>
        <w:br/>
        <w:t>• **31 Mar** — Regulatory deadline: EMIR Refit — revised reporting standards for EU derivatives trades go live (postponed from Q4 2025), impacting OTC derivative processing and fund-level reporting.</w:t>
        <w:br/>
        <w:br/>
        <w:t>---</w:t>
        <w:br/>
        <w:br/>
        <w:t>## 8. SMT WATCH LIST</w:t>
        <w:br/>
        <w:br/>
        <w:t>**Theme 1: EU T+1 Programme Governance**</w:t>
        <w:br/>
        <w:t>ESMA's final technical standards make the October 2027 deadline concrete; peer firms are publicly mobilising dedicated programmes. **Recommended Action:** Convene a cross-functional EU T+1 steering committee by end of March with a mandate to deliver a gap analysis and costed implementation roadmap to the SMT by end of Q2 2026.</w:t>
        <w:br/>
        <w:br/>
        <w:t>**Theme 2: Third-Party / Fourth-Party Cyber Resilience**</w:t>
        <w:br/>
        <w:t>The February supply-chain breach demonstrated that traditional perimeter and vendor-assessment controls are insufficient against advanced software-supply-chain attacks. **Recommended Action:** Commission an expedited review of critical software vendors' code-integrity and deployment-pipeline controls, with findings and remediation priorities reported to the Risk Committee within 45 days.</w:t>
        <w:br/>
        <w:br/>
        <w:t>**Theme 3: U.S. Treasury Central Clearing Client Readiness**</w:t>
        <w:br/>
        <w:t>The 30 June 2026 deadline for repo-leg clearing is four months away, and buy-side client onboarding pipelines are congested industry-wide. **Recommended Action:** Prioritise outreach to the top 20 clients by repo clearing volume, accelerate legal documentation execution, and escalate any capacity constraints with FICC and clearing-bank counterparts before end of March.</w:t>
      </w:r>
    </w:p>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