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20" w:type="dxa"/>
        <w:jc w:val="center"/>
        <w:tblLayout w:type="fixed"/>
        <w:tblCellMar>
          <w:left w:w="0" w:type="dxa"/>
          <w:right w:w="0" w:type="dxa"/>
        </w:tblCellMar>
        <w:tblLook w:val="0000" w:firstRow="0" w:lastRow="0" w:firstColumn="0" w:lastColumn="0" w:noHBand="0" w:noVBand="0"/>
      </w:tblPr>
      <w:tblGrid>
        <w:gridCol w:w="1268"/>
        <w:gridCol w:w="3592"/>
        <w:gridCol w:w="4860"/>
      </w:tblGrid>
      <w:tr w:rsidR="00F0153E" w:rsidRPr="00E15B30" w14:paraId="4583F63F" w14:textId="77777777" w:rsidTr="003E7BD3">
        <w:trPr>
          <w:trHeight w:val="1080"/>
          <w:jc w:val="center"/>
        </w:trPr>
        <w:tc>
          <w:tcPr>
            <w:tcW w:w="4860" w:type="dxa"/>
            <w:gridSpan w:val="2"/>
            <w:tcBorders>
              <w:bottom w:val="single" w:sz="4" w:space="0" w:color="auto"/>
            </w:tcBorders>
          </w:tcPr>
          <w:p w14:paraId="575C1AC6" w14:textId="3E87E2F1" w:rsidR="00F0153E" w:rsidRPr="00E15B30" w:rsidRDefault="008A4165" w:rsidP="00E4290C">
            <w:pPr>
              <w:pStyle w:val="TableText"/>
              <w:spacing w:before="0"/>
            </w:pPr>
            <w:r>
              <w:rPr>
                <w:noProof/>
              </w:rPr>
              <w:drawing>
                <wp:inline distT="0" distB="0" distL="0" distR="0" wp14:anchorId="7E1A12A9" wp14:editId="494AD8CD">
                  <wp:extent cx="1168959" cy="532130"/>
                  <wp:effectExtent l="0" t="0" r="0" b="1270"/>
                  <wp:docPr id="1587254593" name="Picture 1"/>
                  <wp:cNvGraphicFramePr/>
                  <a:graphic xmlns:a="http://schemas.openxmlformats.org/drawingml/2006/main">
                    <a:graphicData uri="http://schemas.openxmlformats.org/drawingml/2006/picture">
                      <pic:pic xmlns:pic="http://schemas.openxmlformats.org/drawingml/2006/picture">
                        <pic:nvPicPr>
                          <pic:cNvPr id="1587254593" name=""/>
                          <pic:cNvPicPr/>
                        </pic:nvPicPr>
                        <pic:blipFill>
                          <a:blip r:embed="rId7"/>
                          <a:stretch>
                            <a:fillRect/>
                          </a:stretch>
                        </pic:blipFill>
                        <pic:spPr>
                          <a:xfrm>
                            <a:off x="0" y="0"/>
                            <a:ext cx="1168959" cy="532130"/>
                          </a:xfrm>
                          <a:prstGeom prst="rect">
                            <a:avLst/>
                          </a:prstGeom>
                        </pic:spPr>
                      </pic:pic>
                    </a:graphicData>
                  </a:graphic>
                </wp:inline>
              </w:drawing>
            </w:r>
          </w:p>
        </w:tc>
        <w:tc>
          <w:tcPr>
            <w:tcW w:w="4860" w:type="dxa"/>
            <w:tcBorders>
              <w:bottom w:val="single" w:sz="4" w:space="0" w:color="auto"/>
            </w:tcBorders>
          </w:tcPr>
          <w:p w14:paraId="037BF573" w14:textId="77777777" w:rsidR="00F0153E" w:rsidRPr="00E15B30" w:rsidRDefault="00F0153E" w:rsidP="00E4290C">
            <w:pPr>
              <w:pStyle w:val="TableText"/>
              <w:spacing w:before="0"/>
            </w:pPr>
          </w:p>
        </w:tc>
      </w:tr>
      <w:tr w:rsidR="00F673DD" w:rsidRPr="004F1175" w14:paraId="4E4C4429" w14:textId="77777777" w:rsidTr="00146EA2">
        <w:trPr>
          <w:trHeight w:hRule="exact" w:val="737"/>
          <w:jc w:val="center"/>
        </w:trPr>
        <w:tc>
          <w:tcPr>
            <w:tcW w:w="9720" w:type="dxa"/>
            <w:gridSpan w:val="3"/>
            <w:tcBorders>
              <w:top w:val="single" w:sz="4" w:space="0" w:color="auto"/>
            </w:tcBorders>
            <w:vAlign w:val="center"/>
          </w:tcPr>
          <w:p w14:paraId="728AB4F0" w14:textId="37D6C5AA" w:rsidR="00F673DD" w:rsidRPr="00146EA2" w:rsidRDefault="00B20EA9" w:rsidP="004F1175">
            <w:pPr>
              <w:pStyle w:val="Heading4"/>
              <w:spacing w:after="120"/>
              <w:rPr>
                <w:b/>
                <w:bCs/>
                <w:color w:val="auto"/>
              </w:rPr>
            </w:pPr>
            <w:r>
              <w:rPr>
                <w:rFonts w:ascii="Calibri" w:hAnsi="Calibri"/>
                <w:b/>
                <w:sz w:val="32"/>
              </w:rPr>
              <w:t>Monthly Executive Report</w:t>
            </w:r>
          </w:p>
        </w:tc>
      </w:tr>
      <w:tr w:rsidR="008A4165" w:rsidRPr="004F1175" w14:paraId="47BB3077" w14:textId="77777777" w:rsidTr="00F0153E">
        <w:trPr>
          <w:jc w:val="center"/>
        </w:trPr>
        <w:tc>
          <w:tcPr>
            <w:tcW w:w="1268" w:type="dxa"/>
          </w:tcPr>
          <w:p w14:paraId="6E1B2A30" w14:textId="7D75A177" w:rsidR="008A4165" w:rsidRPr="004F1175" w:rsidRDefault="00BD7056" w:rsidP="002B36E1">
            <w:pPr>
              <w:pStyle w:val="TableHeading"/>
              <w:spacing w:before="60" w:after="60" w:line="240" w:lineRule="auto"/>
            </w:pPr>
            <w:r>
              <w:t>To</w:t>
            </w:r>
            <w:r w:rsidR="008A4165">
              <w:t>:</w:t>
            </w:r>
          </w:p>
        </w:tc>
        <w:tc>
          <w:tcPr>
            <w:tcW w:w="8452" w:type="dxa"/>
            <w:gridSpan w:val="2"/>
          </w:tcPr>
          <w:p w14:paraId="232E713F" w14:textId="1D185793" w:rsidR="008A4165" w:rsidRPr="004F1175" w:rsidRDefault="00B20EA9" w:rsidP="002B36E1">
            <w:pPr>
              <w:pStyle w:val="TableText"/>
              <w:spacing w:before="60" w:after="60" w:line="240" w:lineRule="auto"/>
            </w:pPr>
            <w:r>
              <w:rPr>
                <w:rFonts w:ascii="Calibri" w:hAnsi="Calibri"/>
                <w:b w:val="0"/>
                <w:sz w:val="22"/>
              </w:rPr>
              <w:t>Senior Management Team</w:t>
            </w:r>
          </w:p>
        </w:tc>
      </w:tr>
      <w:tr w:rsidR="00BD7056" w:rsidRPr="004F1175" w14:paraId="63C0F30A" w14:textId="77777777" w:rsidTr="00F0153E">
        <w:trPr>
          <w:jc w:val="center"/>
        </w:trPr>
        <w:tc>
          <w:tcPr>
            <w:tcW w:w="1268" w:type="dxa"/>
          </w:tcPr>
          <w:p w14:paraId="19C9CC1C" w14:textId="24D637A0" w:rsidR="00BD7056" w:rsidRDefault="00BD7056" w:rsidP="002B36E1">
            <w:pPr>
              <w:pStyle w:val="TableHeading"/>
              <w:spacing w:before="60" w:after="60" w:line="240" w:lineRule="auto"/>
            </w:pPr>
            <w:r>
              <w:t>From</w:t>
            </w:r>
          </w:p>
        </w:tc>
        <w:tc>
          <w:tcPr>
            <w:tcW w:w="8452" w:type="dxa"/>
            <w:gridSpan w:val="2"/>
          </w:tcPr>
          <w:p w14:paraId="6DA811D4" w14:textId="28EDDBA5" w:rsidR="00BD7056" w:rsidRDefault="00B20EA9" w:rsidP="002B36E1">
            <w:pPr>
              <w:pStyle w:val="TableText"/>
              <w:spacing w:before="60" w:after="60" w:line="240" w:lineRule="auto"/>
            </w:pPr>
            <w:r>
              <w:rPr>
                <w:rFonts w:ascii="Calibri" w:hAnsi="Calibri"/>
                <w:b w:val="0"/>
                <w:sz w:val="22"/>
              </w:rPr>
              <w:t>Ian Sinclair</w:t>
            </w:r>
          </w:p>
        </w:tc>
      </w:tr>
      <w:tr w:rsidR="00385A2B" w:rsidRPr="004F1175" w14:paraId="785A6F95" w14:textId="77777777" w:rsidTr="00F0153E">
        <w:trPr>
          <w:jc w:val="center"/>
        </w:trPr>
        <w:tc>
          <w:tcPr>
            <w:tcW w:w="1268" w:type="dxa"/>
          </w:tcPr>
          <w:p w14:paraId="5EDFC52A" w14:textId="77777777" w:rsidR="00385A2B" w:rsidRPr="004F1175" w:rsidRDefault="00385A2B" w:rsidP="002B36E1">
            <w:pPr>
              <w:pStyle w:val="TableHeading"/>
              <w:spacing w:before="60" w:after="60" w:line="240" w:lineRule="auto"/>
            </w:pPr>
            <w:r w:rsidRPr="004F1175">
              <w:t>Date:</w:t>
            </w:r>
          </w:p>
        </w:tc>
        <w:tc>
          <w:tcPr>
            <w:tcW w:w="8452" w:type="dxa"/>
            <w:gridSpan w:val="2"/>
          </w:tcPr>
          <w:p w14:paraId="499BC827" w14:textId="4716796A" w:rsidR="00385A2B" w:rsidRPr="004F1175" w:rsidRDefault="00B20EA9" w:rsidP="002B36E1">
            <w:pPr>
              <w:pStyle w:val="TableText"/>
              <w:spacing w:before="60" w:after="60" w:line="240" w:lineRule="auto"/>
            </w:pPr>
            <w:r>
              <w:rPr>
                <w:rFonts w:ascii="Calibri" w:hAnsi="Calibri"/>
                <w:b w:val="0"/>
                <w:sz w:val="22"/>
              </w:rPr>
              <w:t>22 March 2026</w:t>
            </w:r>
          </w:p>
        </w:tc>
      </w:tr>
      <w:tr w:rsidR="00385A2B" w:rsidRPr="004F1175" w14:paraId="41ACC43F" w14:textId="77777777" w:rsidTr="00731D21">
        <w:trPr>
          <w:trHeight w:val="113"/>
          <w:jc w:val="center"/>
        </w:trPr>
        <w:tc>
          <w:tcPr>
            <w:tcW w:w="1268" w:type="dxa"/>
            <w:tcBorders>
              <w:bottom w:val="single" w:sz="4" w:space="0" w:color="auto"/>
            </w:tcBorders>
          </w:tcPr>
          <w:p w14:paraId="468DCAE4" w14:textId="77777777" w:rsidR="00385A2B" w:rsidRPr="00FA5342" w:rsidRDefault="00385A2B" w:rsidP="00201CB6">
            <w:pPr>
              <w:pStyle w:val="TableHeading"/>
              <w:spacing w:before="40"/>
              <w:rPr>
                <w:sz w:val="6"/>
                <w:szCs w:val="6"/>
              </w:rPr>
            </w:pPr>
          </w:p>
        </w:tc>
        <w:tc>
          <w:tcPr>
            <w:tcW w:w="8452" w:type="dxa"/>
            <w:gridSpan w:val="2"/>
            <w:tcBorders>
              <w:bottom w:val="single" w:sz="4" w:space="0" w:color="auto"/>
            </w:tcBorders>
          </w:tcPr>
          <w:p w14:paraId="48AD76A0" w14:textId="77777777" w:rsidR="00385A2B" w:rsidRPr="00FA5342" w:rsidRDefault="00385A2B" w:rsidP="004F1175">
            <w:pPr>
              <w:pStyle w:val="TableText"/>
              <w:rPr>
                <w:sz w:val="6"/>
                <w:szCs w:val="6"/>
              </w:rPr>
            </w:pPr>
          </w:p>
        </w:tc>
      </w:tr>
    </w:tbl>
    <w:p>
      <w:pPr>
        <w:spacing w:before="240" w:after="80"/>
        <w:pBdr>
          <w:bottom w:val="single" w:sz="6" w:space="1" w:color="00429B"/>
        </w:pBdr>
      </w:pPr>
      <w:r>
        <w:rPr>
          <w:rFonts w:ascii="Calibri" w:hAnsi="Calibri"/>
          <w:b/>
          <w:color w:val="00429B"/>
          <w:sz w:val="26"/>
        </w:rPr>
        <w:t>1. EXECUTIVE SUMMARY</w:t>
      </w:r>
    </w:p>
    <w:p>
      <w:pPr>
        <w:spacing w:after="120"/>
      </w:pPr>
      <w:r>
        <w:rPr>
          <w:rFonts w:ascii="Calibri" w:hAnsi="Calibri"/>
          <w:sz w:val="22"/>
        </w:rPr>
        <w:t>The dominant theme for March 2026 is the continued recalibration of global trade policy following the escalation of US tariff measures on a broad range of imports, which has injected fresh volatility into equity and currency markets and prompted Canadian institutional investors to reassess cross-border exposures and hedging strategies. Central banks have adopted a cautious posture: the Federal Reserve held rates steady at its March meeting while the Bank of Canada delivered a widely anticipated 25 basis-point cut, bringing the overnight rate to 2.50%, as the domestic economy grapples with softer exports and trade uncertainty. In the regulatory domain, ESMA published its final technical standards for the EU consolidated tape for bonds, which will have operational implications for European data sourcing and reporting across our Luxembourg and Dublin platforms. On the competitive front, State Street announced the completion of its acquisition of a mid-sized European fund administrator, intensifying pressure in the UCITS servicing space, while digital asset custody continues to attract institutional interest following the SEC's revised guidance on qualified custodians for crypto assets.</w:t>
      </w:r>
    </w:p>
    <w:p>
      <w:pPr>
        <w:spacing w:before="240" w:after="80"/>
        <w:pBdr>
          <w:bottom w:val="single" w:sz="6" w:space="1" w:color="00429B"/>
        </w:pBdr>
      </w:pPr>
      <w:r>
        <w:rPr>
          <w:rFonts w:ascii="Calibri" w:hAnsi="Calibri"/>
          <w:b/>
          <w:color w:val="00429B"/>
          <w:sz w:val="26"/>
        </w:rPr>
        <w:t>2. MARKET &amp; MACRO ENVIRONMENT</w:t>
      </w:r>
    </w:p>
    <w:p>
      <w:pPr>
        <w:pStyle w:val="ListBullet"/>
        <w:spacing w:after="60"/>
      </w:pPr>
      <w:r>
        <w:rPr>
          <w:rFonts w:ascii="Calibri" w:hAnsi="Calibri"/>
          <w:sz w:val="21"/>
        </w:rPr>
        <w:t>North American equities experienced heightened volatility through March, with the S&amp;P 500 declining approximately 3-4% month-on-month as tariff escalation fears weighed on industrials and technology stocks; the TSX Composite tracked lower, pressured by weakness in energy and materials names despite a supportive Canadian dollar move.</w:t>
      </w:r>
    </w:p>
    <w:p>
      <w:pPr>
        <w:pStyle w:val="ListBullet"/>
        <w:spacing w:after="60"/>
      </w:pPr>
      <w:r>
        <w:rPr>
          <w:rFonts w:ascii="Calibri" w:hAnsi="Calibri"/>
          <w:sz w:val="21"/>
        </w:rPr>
        <w:t>Fixed income markets rallied modestly as investors sought safe havens: the US 10-year Treasury yield fell roughly 15-20 basis points to the low 4.0% area, while Canadian 10-year government bond yields dipped below 3.0%, reflecting both rate-cut expectations and risk-off positioning.</w:t>
      </w:r>
    </w:p>
    <w:p>
      <w:pPr>
        <w:pStyle w:val="ListBullet"/>
        <w:spacing w:after="60"/>
      </w:pPr>
      <w:r>
        <w:rPr>
          <w:rFonts w:ascii="Calibri" w:hAnsi="Calibri"/>
          <w:sz w:val="21"/>
        </w:rPr>
        <w:t>The Canadian dollar weakened to approximately 1.44 USD/CAD (roughly 0.694 USD per CAD) amid trade policy uncertainty, creating meaningful FX translation effects for Canadian pension funds and asset managers with unhedged foreign holdings — a development directly relevant to our NAV computation and performance reporting operations.</w:t>
      </w:r>
    </w:p>
    <w:p>
      <w:pPr>
        <w:pStyle w:val="ListBullet"/>
        <w:spacing w:after="60"/>
      </w:pPr>
      <w:r>
        <w:rPr>
          <w:rFonts w:ascii="Calibri" w:hAnsi="Calibri"/>
          <w:sz w:val="21"/>
        </w:rPr>
        <w:t>Brent crude retreated to the mid-to-low $70s per barrel range on demand concerns tied to the global trade slowdown, while gold surged past $3,050 per ounce, reaching new all-time highs as central bank buying and safe-haven demand accelerated.</w:t>
      </w:r>
    </w:p>
    <w:p>
      <w:pPr>
        <w:pStyle w:val="ListBullet"/>
        <w:spacing w:after="60"/>
      </w:pPr>
      <w:r>
        <w:rPr>
          <w:rFonts w:ascii="Calibri" w:hAnsi="Calibri"/>
          <w:sz w:val="21"/>
        </w:rPr>
        <w:t>The Bank of Japan held rates steady at 0.75% but maintained hawkish guidance, keeping USD/JPY volatile around the 148-150 range; European equities (EURO STOXX 50) showed relative resilience, buoyed by ECB easing expectations and fiscal stimulus plans in Germany following the passage of a major infrastructure spending package.</w:t>
      </w:r>
    </w:p>
    <w:p>
      <w:pPr>
        <w:pStyle w:val="ListBullet"/>
        <w:spacing w:after="60"/>
      </w:pPr>
      <w:r>
        <w:rPr>
          <w:rFonts w:ascii="Calibri" w:hAnsi="Calibri"/>
          <w:sz w:val="21"/>
        </w:rPr>
        <w:t>Credit spreads widened modestly in US investment-grade and high-yield markets, with CDX IG moving out approximately 10-15 basis points on tariff-driven growth concerns — a factor for collateral management and securities lending operations.</w:t>
      </w:r>
    </w:p>
    <w:p>
      <w:pPr>
        <w:spacing w:before="240" w:after="80"/>
        <w:pBdr>
          <w:bottom w:val="single" w:sz="6" w:space="1" w:color="00429B"/>
        </w:pBdr>
      </w:pPr>
      <w:r>
        <w:rPr>
          <w:rFonts w:ascii="Calibri" w:hAnsi="Calibri"/>
          <w:b/>
          <w:color w:val="00429B"/>
          <w:sz w:val="26"/>
        </w:rPr>
        <w:t>3. REGULATORY &amp; POLICY DEVELOPMENTS</w:t>
      </w:r>
    </w:p>
    <w:p>
      <w:pPr>
        <w:pStyle w:val="ListBullet"/>
        <w:spacing w:after="60"/>
      </w:pPr>
      <w:r>
        <w:rPr>
          <w:rFonts w:ascii="Calibri" w:hAnsi="Calibri"/>
          <w:sz w:val="21"/>
        </w:rPr>
        <w:t>The SEC published updated Staff Accounting Bulletin guidance (replacing the SAB 121 framework) that provides a more accommodative path for banks and broker-dealers to custody digital assets without full balance-sheet recognition of client crypto holdings, potentially opening the door for traditional custodians to expand digital asset services.</w:t>
      </w:r>
    </w:p>
    <w:p>
      <w:pPr>
        <w:pStyle w:val="ListBullet"/>
        <w:spacing w:after="60"/>
      </w:pPr>
      <w:r>
        <w:rPr>
          <w:rFonts w:ascii="Calibri" w:hAnsi="Calibri"/>
          <w:sz w:val="21"/>
        </w:rPr>
        <w:t>ESMA released final Regulatory Technical Standards for the EU consolidated tape for bonds, with an expected go-live in Q1 2027; investor services firms with European operations must begin planning data contribution and consumption workflows, affecting our Luxembourg and Dublin fund administration centres.</w:t>
      </w:r>
    </w:p>
    <w:p>
      <w:pPr>
        <w:pStyle w:val="ListBullet"/>
        <w:spacing w:after="60"/>
      </w:pPr>
      <w:r>
        <w:rPr>
          <w:rFonts w:ascii="Calibri" w:hAnsi="Calibri"/>
          <w:sz w:val="21"/>
        </w:rPr>
        <w:t>The Canadian Securities Administrators (CSA) issued for comment proposed amendments to National Instrument 81-102 that would permit broader use of tokenised money-market instruments within Canadian mutual fund and ETF portfolios, with a comment deadline of 30 June 2026.</w:t>
      </w:r>
    </w:p>
    <w:p>
      <w:pPr>
        <w:pStyle w:val="ListBullet"/>
        <w:spacing w:after="60"/>
      </w:pPr>
      <w:r>
        <w:rPr>
          <w:rFonts w:ascii="Calibri" w:hAnsi="Calibri"/>
          <w:sz w:val="21"/>
        </w:rPr>
        <w:t>The CSSF in Luxembourg issued updated guidance on substance requirements for fund management companies and their delegates, reinforcing expectations around local staffing, board governance, and oversight of NAV production — directly relevant to RBC IS Luxembourg operations and delegation arrangements.</w:t>
      </w:r>
    </w:p>
    <w:p>
      <w:pPr>
        <w:pStyle w:val="ListBullet"/>
        <w:spacing w:after="60"/>
      </w:pPr>
      <w:r>
        <w:rPr>
          <w:rFonts w:ascii="Calibri" w:hAnsi="Calibri"/>
          <w:sz w:val="21"/>
        </w:rPr>
        <w:t>The UK FCA confirmed that the new Overseas Fund Regime for recognised non-UK retail schemes (predominantly UCITS marketed in the UK post-Brexit) will enter its operational phase on 1 April 2026, requiring fund administrators to ensure updated prospectus disclosures and distribution documentation for affected funds.</w:t>
      </w:r>
    </w:p>
    <w:p>
      <w:pPr>
        <w:pStyle w:val="ListBullet"/>
        <w:spacing w:after="60"/>
      </w:pPr>
      <w:r>
        <w:rPr>
          <w:rFonts w:ascii="Calibri" w:hAnsi="Calibri"/>
          <w:sz w:val="21"/>
        </w:rPr>
        <w:t>OSFI released its final Guideline B-13 on Technology and Cyber Risk Management, effective 1 July 2026, which introduces enhanced third-party risk management expectations for federally regulated financial institutions including custodians — RBC IS should confirm alignment of vendor oversight frameworks.</w:t>
      </w:r>
    </w:p>
    <w:p>
      <w:pPr>
        <w:spacing w:before="240" w:after="80"/>
        <w:pBdr>
          <w:bottom w:val="single" w:sz="6" w:space="1" w:color="00429B"/>
        </w:pBdr>
      </w:pPr>
      <w:r>
        <w:rPr>
          <w:rFonts w:ascii="Calibri" w:hAnsi="Calibri"/>
          <w:b/>
          <w:color w:val="00429B"/>
          <w:sz w:val="26"/>
        </w:rPr>
        <w:t>4. INDUSTRY &amp; COMPETITIVE LANDSCAPE</w:t>
      </w:r>
    </w:p>
    <w:p>
      <w:pPr>
        <w:pStyle w:val="ListBullet"/>
        <w:spacing w:after="60"/>
      </w:pPr>
      <w:r>
        <w:rPr>
          <w:rFonts w:ascii="Calibri" w:hAnsi="Calibri"/>
          <w:sz w:val="21"/>
        </w:rPr>
        <w:t>State Street completed its acquisition of Alter Domus's European fund administration business (first announced in late 2025), adding approximately $250 billion in assets under administration concentrated in private markets and UCITS servicing, signaling State Street's strategic push into alternatives administration.</w:t>
      </w:r>
    </w:p>
    <w:p>
      <w:pPr>
        <w:pStyle w:val="ListBullet"/>
        <w:spacing w:after="60"/>
      </w:pPr>
      <w:r>
        <w:rPr>
          <w:rFonts w:ascii="Calibri" w:hAnsi="Calibri"/>
          <w:sz w:val="21"/>
        </w:rPr>
        <w:t>BNY announced a strategic partnership with a leading tokenisation platform to offer end-to-end issuance, custody, and servicing of tokenised US Treasury securities, positioning itself as a first-mover among traditional custodians in government bond tokenisation at scale.</w:t>
      </w:r>
    </w:p>
    <w:p>
      <w:pPr>
        <w:pStyle w:val="ListBullet"/>
        <w:spacing w:after="60"/>
      </w:pPr>
      <w:r>
        <w:rPr>
          <w:rFonts w:ascii="Calibri" w:hAnsi="Calibri"/>
          <w:sz w:val="21"/>
        </w:rPr>
        <w:t>Northern Trust expanded its whole-of-office outsourcing offering in the Asia-Pacific region by opening a new operations hub in Manila, targeting mid-tier asset managers seeking to reduce front-to-back technology and operations costs.</w:t>
      </w:r>
    </w:p>
    <w:p>
      <w:pPr>
        <w:pStyle w:val="ListBullet"/>
        <w:spacing w:after="60"/>
      </w:pPr>
      <w:r>
        <w:rPr>
          <w:rFonts w:ascii="Calibri" w:hAnsi="Calibri"/>
          <w:sz w:val="21"/>
        </w:rPr>
        <w:t>HSBC Securities Services launched a new integrated data analytics platform for institutional investors, leveraging AI-driven portfolio analytics and ESG reporting modules, built on its partnership with a major cloud provider — a competitive development relevant to our own data strategy.</w:t>
      </w:r>
    </w:p>
    <w:p>
      <w:pPr>
        <w:pStyle w:val="ListBullet"/>
        <w:spacing w:after="60"/>
      </w:pPr>
      <w:r>
        <w:rPr>
          <w:rFonts w:ascii="Calibri" w:hAnsi="Calibri"/>
          <w:sz w:val="21"/>
        </w:rPr>
        <w:t>Citi Securities Services confirmed the appointment of a new global head of custody and fund services, signaling a leadership refresh aimed at accelerating technology investment and winning mandates in the alternatives and ETF servicing space.</w:t>
      </w:r>
    </w:p>
    <w:p>
      <w:pPr>
        <w:pStyle w:val="ListBullet"/>
        <w:spacing w:after="60"/>
      </w:pPr>
      <w:r>
        <w:rPr>
          <w:rFonts w:ascii="Calibri" w:hAnsi="Calibri"/>
          <w:sz w:val="21"/>
        </w:rPr>
        <w:t>In the FinTech space, Broadridge completed the migration of a major European CSD onto its next-generation post-trade platform, demonstrating growing FinTech penetration into core market infrastructure previously dominated by legacy providers.</w:t>
      </w:r>
    </w:p>
    <w:p>
      <w:pPr>
        <w:spacing w:before="240" w:after="80"/>
        <w:pBdr>
          <w:bottom w:val="single" w:sz="6" w:space="1" w:color="00429B"/>
        </w:pBdr>
      </w:pPr>
      <w:r>
        <w:rPr>
          <w:rFonts w:ascii="Calibri" w:hAnsi="Calibri"/>
          <w:b/>
          <w:color w:val="00429B"/>
          <w:sz w:val="26"/>
        </w:rPr>
        <w:t>5. RISK DASHBOARD</w:t>
      </w:r>
    </w:p>
    <w:tbl>
      <w:tblPr>
        <w:tblStyle w:val="TableGrid"/>
        <w:tblW w:type="auto" w:w="0"/>
        <w:tblLook w:firstColumn="1" w:firstRow="1" w:lastColumn="0" w:lastRow="0" w:noHBand="0" w:noVBand="1" w:val="04A0"/>
      </w:tblPr>
      <w:tblGrid>
        <w:gridCol w:w="2437"/>
        <w:gridCol w:w="2437"/>
        <w:gridCol w:w="2437"/>
        <w:gridCol w:w="2437"/>
      </w:tblGrid>
      <w:tr>
        <w:tc>
          <w:tcPr>
            <w:tcW w:type="dxa" w:w="2437"/>
            <w:shd w:val="clear" w:color="auto" w:fill="00429B"/>
          </w:tcPr>
          <w:p>
            <w:pPr>
              <w:spacing w:after="40" w:before="40"/>
            </w:pPr>
            <w:r>
              <w:rPr>
                <w:rFonts w:ascii="Calibri" w:hAnsi="Calibri"/>
                <w:b/>
                <w:color w:val="FFFFFF"/>
                <w:sz w:val="20"/>
              </w:rPr>
              <w:t>Risk Title</w:t>
            </w:r>
          </w:p>
        </w:tc>
        <w:tc>
          <w:tcPr>
            <w:tcW w:type="dxa" w:w="2437"/>
            <w:shd w:val="clear" w:color="auto" w:fill="00429B"/>
          </w:tcPr>
          <w:p>
            <w:pPr>
              <w:spacing w:after="40" w:before="40"/>
            </w:pPr>
            <w:r>
              <w:rPr>
                <w:rFonts w:ascii="Calibri" w:hAnsi="Calibri"/>
                <w:b/>
                <w:color w:val="FFFFFF"/>
                <w:sz w:val="20"/>
              </w:rPr>
              <w:t>Category</w:t>
            </w:r>
          </w:p>
        </w:tc>
        <w:tc>
          <w:tcPr>
            <w:tcW w:type="dxa" w:w="2437"/>
            <w:shd w:val="clear" w:color="auto" w:fill="00429B"/>
          </w:tcPr>
          <w:p>
            <w:pPr>
              <w:spacing w:after="40" w:before="40"/>
            </w:pPr>
            <w:r>
              <w:rPr>
                <w:rFonts w:ascii="Calibri" w:hAnsi="Calibri"/>
                <w:b/>
                <w:color w:val="FFFFFF"/>
                <w:sz w:val="20"/>
              </w:rPr>
              <w:t>Description</w:t>
            </w:r>
          </w:p>
        </w:tc>
        <w:tc>
          <w:tcPr>
            <w:tcW w:type="dxa" w:w="2437"/>
            <w:shd w:val="clear" w:color="auto" w:fill="00429B"/>
          </w:tcPr>
          <w:p>
            <w:pPr>
              <w:spacing w:after="40" w:before="40"/>
            </w:pPr>
            <w:r>
              <w:rPr>
                <w:rFonts w:ascii="Calibri" w:hAnsi="Calibri"/>
                <w:b/>
                <w:color w:val="FFFFFF"/>
                <w:sz w:val="20"/>
              </w:rPr>
              <w:t>Direction</w:t>
            </w:r>
          </w:p>
        </w:tc>
      </w:tr>
      <w:tr>
        <w:tc>
          <w:tcPr>
            <w:tcW w:type="dxa" w:w="2437"/>
          </w:tcPr>
          <w:p>
            <w:pPr>
              <w:spacing w:after="40" w:before="40"/>
            </w:pPr>
            <w:r>
              <w:rPr>
                <w:rFonts w:ascii="Calibri" w:hAnsi="Calibri"/>
                <w:b w:val="0"/>
                <w:sz w:val="20"/>
              </w:rPr>
              <w:t>Trade Policy Escalation &amp; Tariff Uncertainty</w:t>
            </w:r>
          </w:p>
        </w:tc>
        <w:tc>
          <w:tcPr>
            <w:tcW w:type="dxa" w:w="2437"/>
          </w:tcPr>
          <w:p>
            <w:pPr>
              <w:spacing w:after="40" w:before="40"/>
            </w:pPr>
            <w:r>
              <w:rPr>
                <w:rFonts w:ascii="Calibri" w:hAnsi="Calibri"/>
                <w:b w:val="0"/>
                <w:sz w:val="20"/>
              </w:rPr>
              <w:t>MARKET</w:t>
            </w:r>
          </w:p>
        </w:tc>
        <w:tc>
          <w:tcPr>
            <w:tcW w:type="dxa" w:w="2437"/>
          </w:tcPr>
          <w:p>
            <w:pPr>
              <w:spacing w:after="40" w:before="40"/>
            </w:pPr>
            <w:r>
              <w:rPr>
                <w:rFonts w:ascii="Calibri" w:hAnsi="Calibri"/>
                <w:b w:val="0"/>
                <w:sz w:val="20"/>
              </w:rPr>
              <w:t>Expanding US tariffs on imports from multiple trading partners are driving equity volatility, FX dislocation, and supply-chain repricing; direct impact on Canadian export-oriented client portfolios and cross-border settlement flows.</w:t>
            </w:r>
          </w:p>
        </w:tc>
        <w:tc>
          <w:tcPr>
            <w:tcW w:type="dxa" w:w="2437"/>
          </w:tcPr>
          <w:p>
            <w:pPr>
              <w:spacing w:after="40" w:before="40"/>
            </w:pPr>
            <w:r>
              <w:rPr>
                <w:rFonts w:ascii="Calibri" w:hAnsi="Calibri"/>
                <w:b/>
                <w:color w:val="CC0000"/>
                <w:sz w:val="20"/>
              </w:rPr>
              <w:t>↑ INCREASING</w:t>
            </w:r>
          </w:p>
        </w:tc>
      </w:tr>
      <w:tr>
        <w:tc>
          <w:tcPr>
            <w:tcW w:type="dxa" w:w="2437"/>
            <w:shd w:val="clear" w:color="auto" w:fill="EEF3FA"/>
          </w:tcPr>
          <w:p>
            <w:pPr>
              <w:spacing w:after="40" w:before="40"/>
            </w:pPr>
            <w:r>
              <w:rPr>
                <w:rFonts w:ascii="Calibri" w:hAnsi="Calibri"/>
                <w:b w:val="0"/>
                <w:sz w:val="20"/>
              </w:rPr>
              <w:t>Cybersecurity Threats to Financial Market Infrastructure</w:t>
            </w:r>
          </w:p>
        </w:tc>
        <w:tc>
          <w:tcPr>
            <w:tcW w:type="dxa" w:w="2437"/>
            <w:shd w:val="clear" w:color="auto" w:fill="EEF3FA"/>
          </w:tcPr>
          <w:p>
            <w:pPr>
              <w:spacing w:after="40" w:before="40"/>
            </w:pPr>
            <w:r>
              <w:rPr>
                <w:rFonts w:ascii="Calibri" w:hAnsi="Calibri"/>
                <w:b w:val="0"/>
                <w:sz w:val="20"/>
              </w:rPr>
              <w:t>CYBER</w:t>
            </w:r>
          </w:p>
        </w:tc>
        <w:tc>
          <w:tcPr>
            <w:tcW w:type="dxa" w:w="2437"/>
            <w:shd w:val="clear" w:color="auto" w:fill="EEF3FA"/>
          </w:tcPr>
          <w:p>
            <w:pPr>
              <w:spacing w:after="40" w:before="40"/>
            </w:pPr>
            <w:r>
              <w:rPr>
                <w:rFonts w:ascii="Calibri" w:hAnsi="Calibri"/>
                <w:b w:val="0"/>
                <w:sz w:val="20"/>
              </w:rPr>
              <w:t>State-affiliated threat actors continue to target custodians and CSDs with sophisticated phishing and ransomware campaigns; OSFI B-13 implementation raises the compliance bar for Canadian institutions.</w:t>
            </w:r>
          </w:p>
        </w:tc>
        <w:tc>
          <w:tcPr>
            <w:tcW w:type="dxa" w:w="2437"/>
            <w:shd w:val="clear" w:color="auto" w:fill="EEF3FA"/>
          </w:tcPr>
          <w:p>
            <w:pPr>
              <w:spacing w:after="40" w:before="40"/>
            </w:pPr>
            <w:r>
              <w:rPr>
                <w:rFonts w:ascii="Calibri" w:hAnsi="Calibri"/>
                <w:b/>
                <w:color w:val="CC0000"/>
                <w:sz w:val="20"/>
              </w:rPr>
              <w:t>↑ INCREASING</w:t>
            </w:r>
          </w:p>
        </w:tc>
      </w:tr>
      <w:tr>
        <w:tc>
          <w:tcPr>
            <w:tcW w:type="dxa" w:w="2437"/>
          </w:tcPr>
          <w:p>
            <w:pPr>
              <w:spacing w:after="40" w:before="40"/>
            </w:pPr>
            <w:r>
              <w:rPr>
                <w:rFonts w:ascii="Calibri" w:hAnsi="Calibri"/>
                <w:b w:val="0"/>
                <w:sz w:val="20"/>
              </w:rPr>
              <w:t>Counterparty &amp; Collateral Stress from Credit Spread Widening</w:t>
            </w:r>
          </w:p>
        </w:tc>
        <w:tc>
          <w:tcPr>
            <w:tcW w:type="dxa" w:w="2437"/>
          </w:tcPr>
          <w:p>
            <w:pPr>
              <w:spacing w:after="40" w:before="40"/>
            </w:pPr>
            <w:r>
              <w:rPr>
                <w:rFonts w:ascii="Calibri" w:hAnsi="Calibri"/>
                <w:b w:val="0"/>
                <w:sz w:val="20"/>
              </w:rPr>
              <w:t>CREDIT</w:t>
            </w:r>
          </w:p>
        </w:tc>
        <w:tc>
          <w:tcPr>
            <w:tcW w:type="dxa" w:w="2437"/>
          </w:tcPr>
          <w:p>
            <w:pPr>
              <w:spacing w:after="40" w:before="40"/>
            </w:pPr>
            <w:r>
              <w:rPr>
                <w:rFonts w:ascii="Calibri" w:hAnsi="Calibri"/>
                <w:b w:val="0"/>
                <w:sz w:val="20"/>
              </w:rPr>
              <w:t>Widening investment-grade and high-yield spreads combined with elevated margin calls in derivatives markets are increasing collateral velocity and raising operational demand on tri-party and bilateral collateral management desks.</w:t>
            </w:r>
          </w:p>
        </w:tc>
        <w:tc>
          <w:tcPr>
            <w:tcW w:type="dxa" w:w="2437"/>
          </w:tcPr>
          <w:p>
            <w:pPr>
              <w:spacing w:after="40" w:before="40"/>
            </w:pPr>
            <w:r>
              <w:rPr>
                <w:rFonts w:ascii="Calibri" w:hAnsi="Calibri"/>
                <w:b/>
                <w:color w:val="CC0000"/>
                <w:sz w:val="20"/>
              </w:rPr>
              <w:t>↑ INCREASING</w:t>
            </w:r>
          </w:p>
        </w:tc>
      </w:tr>
      <w:tr>
        <w:tc>
          <w:tcPr>
            <w:tcW w:type="dxa" w:w="2437"/>
            <w:shd w:val="clear" w:color="auto" w:fill="EEF3FA"/>
          </w:tcPr>
          <w:p>
            <w:pPr>
              <w:spacing w:after="40" w:before="40"/>
            </w:pPr>
            <w:r>
              <w:rPr>
                <w:rFonts w:ascii="Calibri" w:hAnsi="Calibri"/>
                <w:b w:val="0"/>
                <w:sz w:val="20"/>
              </w:rPr>
              <w:t>Regulatory Change Execution Risk (Multi-Jurisdictional)</w:t>
            </w:r>
          </w:p>
        </w:tc>
        <w:tc>
          <w:tcPr>
            <w:tcW w:type="dxa" w:w="2437"/>
            <w:shd w:val="clear" w:color="auto" w:fill="EEF3FA"/>
          </w:tcPr>
          <w:p>
            <w:pPr>
              <w:spacing w:after="40" w:before="40"/>
            </w:pPr>
            <w:r>
              <w:rPr>
                <w:rFonts w:ascii="Calibri" w:hAnsi="Calibri"/>
                <w:b w:val="0"/>
                <w:sz w:val="20"/>
              </w:rPr>
              <w:t>REGULATORY</w:t>
            </w:r>
          </w:p>
        </w:tc>
        <w:tc>
          <w:tcPr>
            <w:tcW w:type="dxa" w:w="2437"/>
            <w:shd w:val="clear" w:color="auto" w:fill="EEF3FA"/>
          </w:tcPr>
          <w:p>
            <w:pPr>
              <w:spacing w:after="40" w:before="40"/>
            </w:pPr>
            <w:r>
              <w:rPr>
                <w:rFonts w:ascii="Calibri" w:hAnsi="Calibri"/>
                <w:b w:val="0"/>
                <w:sz w:val="20"/>
              </w:rPr>
              <w:t>Concurrent implementation of EU consolidated tape, UK Overseas Fund Regime, CSA NI 81-102 amendments, and OSFI B-13 creates heightened change-management burden across jurisdictions.</w:t>
            </w:r>
          </w:p>
        </w:tc>
        <w:tc>
          <w:tcPr>
            <w:tcW w:type="dxa" w:w="2437"/>
            <w:shd w:val="clear" w:color="auto" w:fill="EEF3FA"/>
          </w:tcPr>
          <w:p>
            <w:pPr>
              <w:spacing w:after="40" w:before="40"/>
            </w:pPr>
            <w:r>
              <w:rPr>
                <w:rFonts w:ascii="Calibri" w:hAnsi="Calibri"/>
                <w:b/>
                <w:color w:val="CC0000"/>
                <w:sz w:val="20"/>
              </w:rPr>
              <w:t>↑ INCREASING</w:t>
            </w:r>
          </w:p>
        </w:tc>
      </w:tr>
      <w:tr>
        <w:tc>
          <w:tcPr>
            <w:tcW w:type="dxa" w:w="2437"/>
          </w:tcPr>
          <w:p>
            <w:pPr>
              <w:spacing w:after="40" w:before="40"/>
            </w:pPr>
            <w:r>
              <w:rPr>
                <w:rFonts w:ascii="Calibri" w:hAnsi="Calibri"/>
                <w:b w:val="0"/>
                <w:sz w:val="20"/>
              </w:rPr>
              <w:t>FX Translation &amp; Hedging Operational Risk</w:t>
            </w:r>
          </w:p>
        </w:tc>
        <w:tc>
          <w:tcPr>
            <w:tcW w:type="dxa" w:w="2437"/>
          </w:tcPr>
          <w:p>
            <w:pPr>
              <w:spacing w:after="40" w:before="40"/>
            </w:pPr>
            <w:r>
              <w:rPr>
                <w:rFonts w:ascii="Calibri" w:hAnsi="Calibri"/>
                <w:b w:val="0"/>
                <w:sz w:val="20"/>
              </w:rPr>
              <w:t>OPERATIONAL</w:t>
            </w:r>
          </w:p>
        </w:tc>
        <w:tc>
          <w:tcPr>
            <w:tcW w:type="dxa" w:w="2437"/>
          </w:tcPr>
          <w:p>
            <w:pPr>
              <w:spacing w:after="40" w:before="40"/>
            </w:pPr>
            <w:r>
              <w:rPr>
                <w:rFonts w:ascii="Calibri" w:hAnsi="Calibri"/>
                <w:b w:val="0"/>
                <w:sz w:val="20"/>
              </w:rPr>
              <w:t>Sharp CAD depreciation and elevated FX volatility are increasing the volume and complexity of currency hedge rebalancing for Canadian pension and insurance clients, with knock-on effects on NAV accuracy and trade settlement timelines.</w:t>
            </w:r>
          </w:p>
        </w:tc>
        <w:tc>
          <w:tcPr>
            <w:tcW w:type="dxa" w:w="2437"/>
          </w:tcPr>
          <w:p>
            <w:pPr>
              <w:spacing w:after="40" w:before="40"/>
            </w:pPr>
            <w:r>
              <w:rPr>
                <w:rFonts w:ascii="Calibri" w:hAnsi="Calibri"/>
                <w:b/>
                <w:color w:val="CC0000"/>
                <w:sz w:val="20"/>
              </w:rPr>
              <w:t>↑ INCREASING</w:t>
            </w:r>
          </w:p>
        </w:tc>
      </w:tr>
    </w:tbl>
    <w:p>
      <w:pPr>
        <w:spacing w:before="240" w:after="80"/>
        <w:pBdr>
          <w:bottom w:val="single" w:sz="6" w:space="1" w:color="00429B"/>
        </w:pBdr>
      </w:pPr>
      <w:r>
        <w:rPr>
          <w:rFonts w:ascii="Calibri" w:hAnsi="Calibri"/>
          <w:b/>
          <w:color w:val="00429B"/>
          <w:sz w:val="26"/>
        </w:rPr>
        <w:t>6. TECHNOLOGY &amp; DIGITAL ASSETS</w:t>
      </w:r>
    </w:p>
    <w:p>
      <w:pPr>
        <w:pStyle w:val="ListBullet"/>
        <w:spacing w:after="60"/>
      </w:pPr>
      <w:r>
        <w:rPr>
          <w:rFonts w:ascii="Calibri" w:hAnsi="Calibri"/>
          <w:sz w:val="21"/>
        </w:rPr>
        <w:t>AI adoption in fund administration continued to accelerate in March, with multiple tier-one administrators (including BNY and SS&amp;C) publicly disclosing deployment of large language model-powered reconciliation and exception management tools that reportedly reduce manual NAV intervention rates by 30-40%.</w:t>
      </w:r>
    </w:p>
    <w:p>
      <w:pPr>
        <w:pStyle w:val="ListBullet"/>
        <w:spacing w:after="60"/>
      </w:pPr>
      <w:r>
        <w:rPr>
          <w:rFonts w:ascii="Calibri" w:hAnsi="Calibri"/>
          <w:sz w:val="21"/>
        </w:rPr>
        <w:t>The European Central Bank's digital euro project entered its next preparatory phase, with the ECB publishing updated rulebook drafts for distribution intermediaries; custodians and fund administrators operating in the eurozone should monitor implications for cash sweep and liquidity management processes.</w:t>
      </w:r>
    </w:p>
    <w:p>
      <w:pPr>
        <w:pStyle w:val="ListBullet"/>
        <w:spacing w:after="60"/>
      </w:pPr>
      <w:r>
        <w:rPr>
          <w:rFonts w:ascii="Calibri" w:hAnsi="Calibri"/>
          <w:sz w:val="21"/>
        </w:rPr>
        <w:t>SWIFT completed a second phase of multi-bank testing for its tokenised asset settlement interoperability pilot, involving 12 major institutions across North America and Europe; results demonstrated successful atomic delivery-versus-payment across three DLT platforms, a milestone for interoperability.</w:t>
      </w:r>
    </w:p>
    <w:p>
      <w:pPr>
        <w:pStyle w:val="ListBullet"/>
        <w:spacing w:after="60"/>
      </w:pPr>
      <w:r>
        <w:rPr>
          <w:rFonts w:ascii="Calibri" w:hAnsi="Calibri"/>
          <w:sz w:val="21"/>
        </w:rPr>
        <w:t>Progress toward T+0 settlement in select markets continues: India's SEBI confirmed that its optional T+0 settlement window for top-500 equities will expand to include all NSE-listed securities by September 2026, creating operational readiness requirements for global custodians with Indian sub-custody exposure.</w:t>
      </w:r>
    </w:p>
    <w:p>
      <w:pPr>
        <w:pStyle w:val="ListBullet"/>
        <w:spacing w:after="60"/>
      </w:pPr>
      <w:r>
        <w:rPr>
          <w:rFonts w:ascii="Calibri" w:hAnsi="Calibri"/>
          <w:sz w:val="21"/>
        </w:rPr>
        <w:t>The SEC's revised qualified custodian guidance (noted in Section 3) has prompted renewed interest from traditional custodians in offering segregated digital asset custody; Fidelity Digital Assets and BNY both confirmed expansion plans for institutional crypto custody, intensifying competition with pure-play digital custodians such as BitGo and Anchorage Digital.</w:t>
      </w:r>
    </w:p>
    <w:p>
      <w:pPr>
        <w:pStyle w:val="ListBullet"/>
        <w:spacing w:after="60"/>
      </w:pPr>
      <w:r>
        <w:rPr>
          <w:rFonts w:ascii="Calibri" w:hAnsi="Calibri"/>
          <w:sz w:val="21"/>
        </w:rPr>
        <w:t>A significant ransomware incident affecting a mid-tier European transfer agency in early March disrupted investor record-keeping for several days, underscoring the operational resilience risks in the fund servicing supply chain and reinforcing the need for robust business continuity and vendor due diligence processes.</w:t>
      </w:r>
    </w:p>
    <w:p>
      <w:pPr>
        <w:spacing w:before="240" w:after="80"/>
        <w:pBdr>
          <w:bottom w:val="single" w:sz="6" w:space="1" w:color="00429B"/>
        </w:pBdr>
      </w:pPr>
      <w:r>
        <w:rPr>
          <w:rFonts w:ascii="Calibri" w:hAnsi="Calibri"/>
          <w:b/>
          <w:color w:val="00429B"/>
          <w:sz w:val="26"/>
        </w:rPr>
        <w:t>7. KEY UPCOMING EVENTS — APRIL 2026</w:t>
      </w:r>
    </w:p>
    <w:p>
      <w:pPr>
        <w:spacing w:after="60"/>
      </w:pPr>
      <w:r>
        <w:rPr>
          <w:rFonts w:ascii="Calibri" w:hAnsi="Calibri"/>
          <w:sz w:val="21"/>
        </w:rPr>
        <w:t>01 Apr — UK Overseas Fund Regime enters operational phase; FCA-recognised non-UK retail schemes must comply with updated disclosure requirements.</w:t>
      </w:r>
    </w:p>
    <w:p>
      <w:pPr>
        <w:spacing w:after="60"/>
      </w:pPr>
      <w:r>
        <w:rPr>
          <w:rFonts w:ascii="Calibri" w:hAnsi="Calibri"/>
          <w:sz w:val="21"/>
        </w:rPr>
        <w:t>02 Apr — Eurozone CPI flash estimate for March 2026; a key input for ECB rate decision trajectory.</w:t>
      </w:r>
    </w:p>
    <w:p>
      <w:pPr>
        <w:spacing w:after="60"/>
      </w:pPr>
      <w:r>
        <w:rPr>
          <w:rFonts w:ascii="Calibri" w:hAnsi="Calibri"/>
          <w:sz w:val="21"/>
        </w:rPr>
        <w:t>04 Apr — US Non-Farm Payrolls release for March 2026; labour market data critical for Fed policy outlook.</w:t>
      </w:r>
    </w:p>
    <w:p>
      <w:pPr>
        <w:spacing w:after="60"/>
      </w:pPr>
      <w:r>
        <w:rPr>
          <w:rFonts w:ascii="Calibri" w:hAnsi="Calibri"/>
          <w:sz w:val="21"/>
        </w:rPr>
        <w:t>16 Apr — Bank of Canada interest rate decision; markets pricing approximately 50% probability of a further 25 bps cut.</w:t>
      </w:r>
    </w:p>
    <w:p>
      <w:pPr>
        <w:spacing w:after="60"/>
      </w:pPr>
      <w:r>
        <w:rPr>
          <w:rFonts w:ascii="Calibri" w:hAnsi="Calibri"/>
          <w:sz w:val="21"/>
        </w:rPr>
        <w:t>17 Apr — ECB Governing Council monetary policy decision; widely expected to cut the deposit facility rate by 25 bps.</w:t>
      </w:r>
    </w:p>
    <w:p>
      <w:pPr>
        <w:spacing w:after="60"/>
      </w:pPr>
      <w:r>
        <w:rPr>
          <w:rFonts w:ascii="Calibri" w:hAnsi="Calibri"/>
          <w:sz w:val="21"/>
        </w:rPr>
        <w:t>22-24 Apr — SWIFT Business Forum, London; major gathering of securities services, payments, and market infrastructure leaders to discuss interoperability, tokenisation, and ISO 20022 migration.</w:t>
      </w:r>
    </w:p>
    <w:p>
      <w:pPr>
        <w:spacing w:after="60"/>
      </w:pPr>
      <w:r>
        <w:rPr>
          <w:rFonts w:ascii="Calibri" w:hAnsi="Calibri"/>
          <w:sz w:val="21"/>
        </w:rPr>
        <w:t>28-29 Apr — FundForum International, Monaco; one of the largest European fund industry conferences, with a focus on operational efficiency, AI adoption, and regulatory change.</w:t>
      </w:r>
    </w:p>
    <w:p>
      <w:pPr>
        <w:spacing w:after="60"/>
      </w:pPr>
      <w:r>
        <w:rPr>
          <w:rFonts w:ascii="Calibri" w:hAnsi="Calibri"/>
          <w:sz w:val="21"/>
        </w:rPr>
        <w:t>30 Apr — Deadline for EU AIFMs and UCITS managers to submit first reports under the revised AIFMD/UCITS Directive reporting templates to national competent authorities.</w:t>
      </w:r>
    </w:p>
    <w:p>
      <w:pPr>
        <w:spacing w:before="240" w:after="80"/>
        <w:pBdr>
          <w:bottom w:val="single" w:sz="6" w:space="1" w:color="00429B"/>
        </w:pBdr>
      </w:pPr>
      <w:r>
        <w:rPr>
          <w:rFonts w:ascii="Calibri" w:hAnsi="Calibri"/>
          <w:b/>
          <w:color w:val="00429B"/>
          <w:sz w:val="26"/>
        </w:rPr>
        <w:t>8. SMT WATCH LIST</w:t>
      </w:r>
    </w:p>
    <w:p>
      <w:pPr>
        <w:spacing w:after="60"/>
      </w:pPr>
      <w:r>
        <w:rPr>
          <w:rFonts w:ascii="Calibri" w:hAnsi="Calibri"/>
          <w:sz w:val="21"/>
        </w:rPr>
        <w:t>Theme 1: US Tariff Escalation &amp; Impact on Canadian Institutional Portfolios</w:t>
      </w:r>
    </w:p>
    <w:p>
      <w:pPr>
        <w:spacing w:after="60"/>
      </w:pPr>
      <w:r>
        <w:rPr>
          <w:rFonts w:ascii="Calibri" w:hAnsi="Calibri"/>
          <w:sz w:val="21"/>
        </w:rPr>
        <w:t>The US administration's broadening tariff measures — including sector-specific levies on steel, aluminium, autos, and proposed reciprocal tariffs — are creating direct financial and operational consequences for Canadian institutional clients. Canadian pension funds and asset managers with significant US and global equity allocations are experiencing increased portfolio turnover as investment teams rebalance away from tariff-exposed sectors, while currency hedging costs have risen with CAD volatility. For RBC IS, this translates into higher trade volumes, more frequent FX hedge rolls, and increased complexity in performance attribution reporting.</w:t>
      </w:r>
    </w:p>
    <w:p>
      <w:pPr>
        <w:spacing w:after="60"/>
      </w:pPr>
      <w:r>
        <w:rPr>
          <w:rFonts w:ascii="Calibri" w:hAnsi="Calibri"/>
          <w:sz w:val="21"/>
        </w:rPr>
        <w:t>Specific impact on Canadian clients: Pension plans with international equity mandates face NAV volatility from both underlying market moves and FX translation; insurance companies subject to OSFI LICAT requirements may see capital ratio sensitivity from mark-to-market declines in public equity and credit holdings; fund companies are experiencing elevated redemption activity in certain equity mandates, increasing liquidity management demands.</w:t>
      </w:r>
    </w:p>
    <w:p>
      <w:pPr>
        <w:spacing w:after="60"/>
      </w:pPr>
      <w:r>
        <w:rPr>
          <w:rFonts w:ascii="Calibri" w:hAnsi="Calibri"/>
          <w:sz w:val="21"/>
        </w:rPr>
        <w:t>Recommended action: RBC IS senior management should proactively engage the top 20 Canadian pension and insurance clients to offer enhanced FX hedging analytics and scenario-based reporting that quantifies tariff-driven portfolio exposures, and should ensure operational capacity (trade processing, FX settlement, and reconciliation teams) is scaled for sustained elevated volumes through Q2.</w:t>
      </w:r>
    </w:p>
    <w:p>
      <w:pPr>
        <w:spacing w:after="60"/>
      </w:pPr>
      <w:r>
        <w:rPr>
          <w:rFonts w:ascii="Calibri" w:hAnsi="Calibri"/>
          <w:sz w:val="21"/>
        </w:rPr>
        <w:t>Theme 2: Bank of Canada Easing Cycle &amp; Fixed Income Repositioning</w:t>
      </w:r>
    </w:p>
    <w:p>
      <w:pPr>
        <w:spacing w:after="60"/>
      </w:pPr>
      <w:r>
        <w:rPr>
          <w:rFonts w:ascii="Calibri" w:hAnsi="Calibri"/>
          <w:sz w:val="21"/>
        </w:rPr>
        <w:t>The Bank of Canada's continued easing — with the overnight rate now at 2.50% and further cuts possible in April — is prompting Canadian institutional investors to extend duration and reallocate within fixed income portfolios. This creates operational demand for new security setups, increased settlement volumes in Canadian government and provincial bonds, and more frequent rebalancing of liability-driven investment (LDI) strategies used by defined-benefit pension plans.</w:t>
      </w:r>
    </w:p>
    <w:p>
      <w:pPr>
        <w:spacing w:after="60"/>
      </w:pPr>
      <w:r>
        <w:rPr>
          <w:rFonts w:ascii="Calibri" w:hAnsi="Calibri"/>
          <w:sz w:val="21"/>
        </w:rPr>
        <w:t>Specific impact on Canadian clients: DB pension plans serviced by RBC IS are actively restructuring bond portfolios to lock in duration as yields fall, generating higher custody transaction volumes and increased demand for real-time position and cash reporting. Insurance companies are adjusting asset-liability matching portfolios, requiring updated reporting and compliance monitoring against OSFI investment guidelines.</w:t>
      </w:r>
    </w:p>
    <w:p>
      <w:pPr>
        <w:spacing w:after="60"/>
      </w:pPr>
      <w:r>
        <w:rPr>
          <w:rFonts w:ascii="Calibri" w:hAnsi="Calibri"/>
          <w:sz w:val="21"/>
        </w:rPr>
        <w:t>Recommended action: RBC IS should prepare a targeted communication to Canadian DB pension and insurance clients outlining our capabilities in LDI reporting, duration analytics, and same-day settlement support for Canadian fixed income, and should coordinate with our transfer agency teams to manage potential mutual fund flow shifts from money market to bond mandates.</w:t>
      </w:r>
    </w:p>
    <w:p>
      <w:pPr>
        <w:spacing w:after="60"/>
      </w:pPr>
      <w:r>
        <w:rPr>
          <w:rFonts w:ascii="Calibri" w:hAnsi="Calibri"/>
          <w:sz w:val="21"/>
        </w:rPr>
        <w:t>Theme 3: CSA Proposals on Tokenised Instruments in Canadian Fund Portfolios</w:t>
      </w:r>
    </w:p>
    <w:p>
      <w:pPr>
        <w:spacing w:after="60"/>
      </w:pPr>
      <w:r>
        <w:rPr>
          <w:rFonts w:ascii="Calibri" w:hAnsi="Calibri"/>
          <w:sz w:val="21"/>
        </w:rPr>
        <w:t>The CSA's proposed amendments to National Instrument 81-102 permitting tokenised money-market instruments within mutual fund and ETF portfolios represent a potentially transformative regulatory shift for the Canadian fund industry. If adopted, fund companies will require custody, valuation, and reporting infrastructure capable of handling blockchain-native instruments alongside traditional securities.</w:t>
      </w:r>
    </w:p>
    <w:p>
      <w:pPr>
        <w:spacing w:after="60"/>
      </w:pPr>
      <w:r>
        <w:rPr>
          <w:rFonts w:ascii="Calibri" w:hAnsi="Calibri"/>
          <w:sz w:val="21"/>
        </w:rPr>
        <w:t>Specific impact on Canadian clients: Fund companies domiciled in Canada that are clients of RBC IS will need to assess whether their fund administrator and custodian can support the safekeeping, pricing, and regulatory reporting of tokenised assets. Early movers may seek to launch tokenised money-market ETFs or incorporate tokenised T-bills into existing fund structures, requiring RBC IS to demonstrate operational readiness.</w:t>
      </w:r>
    </w:p>
    <w:p>
      <w:pPr>
        <w:spacing w:after="60"/>
      </w:pPr>
      <w:r>
        <w:rPr>
          <w:rFonts w:ascii="Calibri" w:hAnsi="Calibri"/>
          <w:sz w:val="21"/>
        </w:rPr>
        <w:t>Recommended action: RBC IS senior management should convene a cross-functional working group (custody, fund administration, technology, legal, and compliance) to develop a readiness assessment and client-facing position paper on our capability to support tokenised instruments under the proposed NI 81-102 framework, and should submit a formal industry response to the CSA consultation by the June deadline to help shape practical custody and valuation standards.</w:t>
      </w:r>
    </w:p>
    <w:p>
      <w:pPr>
        <w:spacing w:before="240" w:after="80"/>
        <w:pBdr>
          <w:bottom w:val="single" w:sz="6" w:space="1" w:color="00429B"/>
        </w:pBdr>
      </w:pPr>
      <w:r>
        <w:rPr>
          <w:rFonts w:ascii="Calibri" w:hAnsi="Calibri"/>
          <w:b/>
          <w:color w:val="00429B"/>
          <w:sz w:val="26"/>
        </w:rPr>
        <w:t>9. TECHNOLOGY VENDOR LANDSCAPE</w:t>
      </w:r>
    </w:p>
    <w:p>
      <w:pPr>
        <w:pStyle w:val="ListBullet"/>
        <w:spacing w:after="60"/>
      </w:pPr>
      <w:r>
        <w:rPr>
          <w:rFonts w:ascii="Calibri" w:hAnsi="Calibri"/>
          <w:sz w:val="21"/>
        </w:rPr>
        <w:t>SimCorp (now a Deutsche Boerse company) released a major platform update to SimCorp One, its integrated front-to-back investment management platform, introducing enhanced private markets support and AI-assisted data quality monitoring; the update is targeted at buy-side firms and their administrators seeking to consolidate alternatives and traditional asset servicing on a single platform.</w:t>
      </w:r>
    </w:p>
    <w:p>
      <w:pPr>
        <w:pStyle w:val="ListBullet"/>
        <w:spacing w:after="60"/>
      </w:pPr>
      <w:r>
        <w:rPr>
          <w:rFonts w:ascii="Calibri" w:hAnsi="Calibri"/>
          <w:sz w:val="21"/>
        </w:rPr>
        <w:t>SS&amp;C Technologies announced the general availability of AI-powered anomaly detection within its ALPS and GlobeOp fund administration platforms, designed to flag NAV outliers and pricing exceptions before human review — a direct competitive move against in-house automation efforts by the largest custodians.</w:t>
      </w:r>
    </w:p>
    <w:p>
      <w:pPr>
        <w:pStyle w:val="ListBullet"/>
        <w:spacing w:after="60"/>
      </w:pPr>
      <w:r>
        <w:rPr>
          <w:rFonts w:ascii="Calibri" w:hAnsi="Calibri"/>
          <w:sz w:val="21"/>
        </w:rPr>
        <w:t>Broadridge continued its post-trade infrastructure expansion by completing the migration of a Nordic CSD onto its next-generation platform and announcing a new partnership with a major Asian exchange to modernise clearing and settlement technology, reinforcing Broadridge's positioning as a global market infrastructure technology provider.</w:t>
      </w:r>
    </w:p>
    <w:p>
      <w:pPr>
        <w:pStyle w:val="ListBullet"/>
        <w:spacing w:after="60"/>
      </w:pPr>
      <w:r>
        <w:rPr>
          <w:rFonts w:ascii="Calibri" w:hAnsi="Calibri"/>
          <w:sz w:val="21"/>
        </w:rPr>
        <w:t>FIS Global (now operating its capital markets technology division under the Worldpay separation) released an updated version of its securities finance and collateral management suite, incorporating real-time margin analytics and integration with SWIFT's Securities View messaging standards — relevant for RBC IS collateral management operations.</w:t>
      </w:r>
    </w:p>
    <w:p>
      <w:pPr>
        <w:pStyle w:val="ListBullet"/>
        <w:spacing w:after="60"/>
      </w:pPr>
      <w:r>
        <w:rPr>
          <w:rFonts w:ascii="Calibri" w:hAnsi="Calibri"/>
          <w:sz w:val="21"/>
        </w:rPr>
        <w:t>Temenos confirmed a strategic pivot toward the wealth and asset servicing segments, launching a cloud-native fund accounting module aimed at mid-tier fund administrators in Europe and Asia; while not yet competitive at tier-one scale, this signals growing vendor ambition in the fund admin technology space.</w:t>
      </w:r>
    </w:p>
    <w:p>
      <w:pPr>
        <w:pStyle w:val="ListBullet"/>
        <w:spacing w:after="60"/>
      </w:pPr>
      <w:r>
        <w:rPr>
          <w:rFonts w:ascii="Calibri" w:hAnsi="Calibri"/>
          <w:sz w:val="21"/>
        </w:rPr>
        <w:t>Charles River Development (an MSCI business) expanded its order and execution management system (OEMS) with new fixed income and derivatives workflow tools, and announced deeper integration with Bloomberg AIM, targeting large asset managers and outsourced trading desks that rely on custodian-provided middle office services.</w:t>
      </w:r>
    </w:p>
    <w:p>
      <w:pPr>
        <w:pStyle w:val="ListBullet"/>
        <w:spacing w:after="60"/>
      </w:pPr>
      <w:r>
        <w:rPr>
          <w:rFonts w:ascii="Calibri" w:hAnsi="Calibri"/>
          <w:sz w:val="21"/>
        </w:rPr>
        <w:t>SWIFT advanced its ISO 20022 migration timeline, confirming that the coexistence period for MT and MX messaging in securities settlement (categories 5xx) will end in November 2027, putting pressure on custodians and their technology vendors to complete message format upgrades; SWIFT also published updated guidance on its tokenised asset settlement interoperability framework.</w:t>
      </w:r>
    </w:p>
    <w:p>
      <w:pPr>
        <w:pStyle w:val="ListBullet"/>
        <w:spacing w:after="60"/>
      </w:pPr>
      <w:r>
        <w:rPr>
          <w:rFonts w:ascii="Calibri" w:hAnsi="Calibri"/>
          <w:sz w:val="21"/>
        </w:rPr>
        <w:t>Nasdaq Financial Technology (formerly Calypso and Cinnober) launched an upgraded collateral management and securities lending module integrated with its post-trade platform, targeting tier-two and tier-three banks seeking to modernise without full platform replacement — a potential competitive alternative for mid-sized custodians.</w:t>
      </w:r>
    </w:p>
    <w:p>
      <w:pPr>
        <w:spacing w:before="240" w:after="80"/>
        <w:pBdr>
          <w:bottom w:val="single" w:sz="6" w:space="1" w:color="00429B"/>
        </w:pBdr>
      </w:pPr>
      <w:r>
        <w:rPr>
          <w:rFonts w:ascii="Calibri" w:hAnsi="Calibri"/>
          <w:b/>
          <w:color w:val="00429B"/>
          <w:sz w:val="26"/>
        </w:rPr>
        <w:t>10. KEY MACRO ECONOMIC INDICES</w:t>
      </w:r>
    </w:p>
    <w:tbl>
      <w:tblPr>
        <w:tblStyle w:val="TableGrid"/>
        <w:tblW w:type="auto" w:w="0"/>
        <w:tblLook w:firstColumn="1" w:firstRow="1" w:lastColumn="0" w:lastRow="0" w:noHBand="0" w:noVBand="1" w:val="04A0"/>
      </w:tblPr>
      <w:tblGrid>
        <w:gridCol w:w="2437"/>
        <w:gridCol w:w="2437"/>
        <w:gridCol w:w="2437"/>
        <w:gridCol w:w="2437"/>
      </w:tblGrid>
      <w:tr>
        <w:tc>
          <w:tcPr>
            <w:tcW w:type="dxa" w:w="2437"/>
            <w:shd w:val="clear" w:color="auto" w:fill="00429B"/>
          </w:tcPr>
          <w:p>
            <w:pPr>
              <w:spacing w:after="40" w:before="40"/>
            </w:pPr>
            <w:r>
              <w:rPr>
                <w:rFonts w:ascii="Calibri" w:hAnsi="Calibri"/>
                <w:b/>
                <w:color w:val="FFFFFF"/>
                <w:sz w:val="20"/>
              </w:rPr>
              <w:t>Index</w:t>
            </w:r>
          </w:p>
        </w:tc>
        <w:tc>
          <w:tcPr>
            <w:tcW w:type="dxa" w:w="2437"/>
            <w:shd w:val="clear" w:color="auto" w:fill="00429B"/>
          </w:tcPr>
          <w:p>
            <w:pPr>
              <w:spacing w:after="40" w:before="40"/>
            </w:pPr>
            <w:r>
              <w:rPr>
                <w:rFonts w:ascii="Calibri" w:hAnsi="Calibri"/>
                <w:b/>
                <w:color w:val="FFFFFF"/>
                <w:sz w:val="20"/>
              </w:rPr>
              <w:t>Level</w:t>
            </w:r>
          </w:p>
        </w:tc>
        <w:tc>
          <w:tcPr>
            <w:tcW w:type="dxa" w:w="2437"/>
            <w:shd w:val="clear" w:color="auto" w:fill="00429B"/>
          </w:tcPr>
          <w:p>
            <w:pPr>
              <w:spacing w:after="40" w:before="40"/>
            </w:pPr>
            <w:r>
              <w:rPr>
                <w:rFonts w:ascii="Calibri" w:hAnsi="Calibri"/>
                <w:b/>
                <w:color w:val="FFFFFF"/>
                <w:sz w:val="20"/>
              </w:rPr>
              <w:t>Month Change</w:t>
            </w:r>
          </w:p>
        </w:tc>
        <w:tc>
          <w:tcPr>
            <w:tcW w:type="dxa" w:w="2437"/>
            <w:shd w:val="clear" w:color="auto" w:fill="00429B"/>
          </w:tcPr>
          <w:p>
            <w:pPr>
              <w:spacing w:after="40" w:before="40"/>
            </w:pPr>
            <w:r>
              <w:rPr>
                <w:rFonts w:ascii="Calibri" w:hAnsi="Calibri"/>
                <w:b/>
                <w:color w:val="FFFFFF"/>
                <w:sz w:val="20"/>
              </w:rPr>
              <w:t>YTD Change</w:t>
            </w:r>
          </w:p>
        </w:tc>
      </w:tr>
      <w:tr>
        <w:tc>
          <w:tcPr>
            <w:tcW w:type="dxa" w:w="2437"/>
          </w:tcPr>
          <w:p>
            <w:pPr>
              <w:spacing w:after="40" w:before="40"/>
            </w:pPr>
            <w:r>
              <w:rPr>
                <w:rFonts w:ascii="Calibri" w:hAnsi="Calibri"/>
                <w:b w:val="0"/>
                <w:sz w:val="20"/>
              </w:rPr>
              <w:t>S&amp;P 500</w:t>
            </w:r>
          </w:p>
        </w:tc>
        <w:tc>
          <w:tcPr>
            <w:tcW w:type="dxa" w:w="2437"/>
          </w:tcPr>
          <w:p>
            <w:pPr>
              <w:spacing w:after="40" w:before="40"/>
            </w:pPr>
            <w:r>
              <w:rPr>
                <w:rFonts w:ascii="Calibri" w:hAnsi="Calibri"/>
                <w:b w:val="0"/>
                <w:sz w:val="20"/>
              </w:rPr>
              <w:t>5,550</w:t>
            </w:r>
          </w:p>
        </w:tc>
        <w:tc>
          <w:tcPr>
            <w:tcW w:type="dxa" w:w="2437"/>
          </w:tcPr>
          <w:p>
            <w:pPr>
              <w:spacing w:after="40" w:before="40"/>
            </w:pPr>
            <w:r>
              <w:rPr>
                <w:rFonts w:ascii="Calibri" w:hAnsi="Calibri"/>
                <w:b w:val="0"/>
                <w:color w:val="CC0000"/>
                <w:sz w:val="20"/>
              </w:rPr>
              <w:t>-3.5%</w:t>
            </w:r>
          </w:p>
        </w:tc>
        <w:tc>
          <w:tcPr>
            <w:tcW w:type="dxa" w:w="2437"/>
          </w:tcPr>
          <w:p>
            <w:pPr>
              <w:spacing w:after="40" w:before="40"/>
            </w:pPr>
            <w:r>
              <w:rPr>
                <w:rFonts w:ascii="Calibri" w:hAnsi="Calibri"/>
                <w:b w:val="0"/>
                <w:color w:val="CC0000"/>
                <w:sz w:val="20"/>
              </w:rPr>
              <w:t>-4.0%</w:t>
            </w:r>
          </w:p>
        </w:tc>
      </w:tr>
      <w:tr>
        <w:tc>
          <w:tcPr>
            <w:tcW w:type="dxa" w:w="2437"/>
            <w:shd w:val="clear" w:color="auto" w:fill="EEF3FA"/>
          </w:tcPr>
          <w:p>
            <w:pPr>
              <w:spacing w:after="40" w:before="40"/>
            </w:pPr>
            <w:r>
              <w:rPr>
                <w:rFonts w:ascii="Calibri" w:hAnsi="Calibri"/>
                <w:b w:val="0"/>
                <w:sz w:val="20"/>
              </w:rPr>
              <w:t>FTSE 100</w:t>
            </w:r>
          </w:p>
        </w:tc>
        <w:tc>
          <w:tcPr>
            <w:tcW w:type="dxa" w:w="2437"/>
            <w:shd w:val="clear" w:color="auto" w:fill="EEF3FA"/>
          </w:tcPr>
          <w:p>
            <w:pPr>
              <w:spacing w:after="40" w:before="40"/>
            </w:pPr>
            <w:r>
              <w:rPr>
                <w:rFonts w:ascii="Calibri" w:hAnsi="Calibri"/>
                <w:b w:val="0"/>
                <w:sz w:val="20"/>
              </w:rPr>
              <w:t>8,550</w:t>
            </w:r>
          </w:p>
        </w:tc>
        <w:tc>
          <w:tcPr>
            <w:tcW w:type="dxa" w:w="2437"/>
            <w:shd w:val="clear" w:color="auto" w:fill="EEF3FA"/>
          </w:tcPr>
          <w:p>
            <w:pPr>
              <w:spacing w:after="40" w:before="40"/>
            </w:pPr>
            <w:r>
              <w:rPr>
                <w:rFonts w:ascii="Calibri" w:hAnsi="Calibri"/>
                <w:b w:val="0"/>
                <w:color w:val="CC0000"/>
                <w:sz w:val="20"/>
              </w:rPr>
              <w:t>-1.0%</w:t>
            </w:r>
          </w:p>
        </w:tc>
        <w:tc>
          <w:tcPr>
            <w:tcW w:type="dxa" w:w="2437"/>
            <w:shd w:val="clear" w:color="auto" w:fill="EEF3FA"/>
          </w:tcPr>
          <w:p>
            <w:pPr>
              <w:spacing w:after="40" w:before="40"/>
            </w:pPr>
            <w:r>
              <w:rPr>
                <w:rFonts w:ascii="Calibri" w:hAnsi="Calibri"/>
                <w:b w:val="0"/>
                <w:color w:val="007A33"/>
                <w:sz w:val="20"/>
              </w:rPr>
              <w:t>+3.5%</w:t>
            </w:r>
          </w:p>
        </w:tc>
      </w:tr>
      <w:tr>
        <w:tc>
          <w:tcPr>
            <w:tcW w:type="dxa" w:w="2437"/>
          </w:tcPr>
          <w:p>
            <w:pPr>
              <w:spacing w:after="40" w:before="40"/>
            </w:pPr>
            <w:r>
              <w:rPr>
                <w:rFonts w:ascii="Calibri" w:hAnsi="Calibri"/>
                <w:b w:val="0"/>
                <w:sz w:val="20"/>
              </w:rPr>
              <w:t>EURO STOXX 50</w:t>
            </w:r>
          </w:p>
        </w:tc>
        <w:tc>
          <w:tcPr>
            <w:tcW w:type="dxa" w:w="2437"/>
          </w:tcPr>
          <w:p>
            <w:pPr>
              <w:spacing w:after="40" w:before="40"/>
            </w:pPr>
            <w:r>
              <w:rPr>
                <w:rFonts w:ascii="Calibri" w:hAnsi="Calibri"/>
                <w:b w:val="0"/>
                <w:sz w:val="20"/>
              </w:rPr>
              <w:t>5,350</w:t>
            </w:r>
          </w:p>
        </w:tc>
        <w:tc>
          <w:tcPr>
            <w:tcW w:type="dxa" w:w="2437"/>
          </w:tcPr>
          <w:p>
            <w:pPr>
              <w:spacing w:after="40" w:before="40"/>
            </w:pPr>
            <w:r>
              <w:rPr>
                <w:rFonts w:ascii="Calibri" w:hAnsi="Calibri"/>
                <w:b w:val="0"/>
                <w:color w:val="007A33"/>
                <w:sz w:val="20"/>
              </w:rPr>
              <w:t>+0.5%</w:t>
            </w:r>
          </w:p>
        </w:tc>
        <w:tc>
          <w:tcPr>
            <w:tcW w:type="dxa" w:w="2437"/>
          </w:tcPr>
          <w:p>
            <w:pPr>
              <w:spacing w:after="40" w:before="40"/>
            </w:pPr>
            <w:r>
              <w:rPr>
                <w:rFonts w:ascii="Calibri" w:hAnsi="Calibri"/>
                <w:b w:val="0"/>
                <w:color w:val="007A33"/>
                <w:sz w:val="20"/>
              </w:rPr>
              <w:t>+8.0%</w:t>
            </w:r>
          </w:p>
        </w:tc>
      </w:tr>
      <w:tr>
        <w:tc>
          <w:tcPr>
            <w:tcW w:type="dxa" w:w="2437"/>
            <w:shd w:val="clear" w:color="auto" w:fill="EEF3FA"/>
          </w:tcPr>
          <w:p>
            <w:pPr>
              <w:spacing w:after="40" w:before="40"/>
            </w:pPr>
            <w:r>
              <w:rPr>
                <w:rFonts w:ascii="Calibri" w:hAnsi="Calibri"/>
                <w:b w:val="0"/>
                <w:sz w:val="20"/>
              </w:rPr>
              <w:t>Nikkei 225</w:t>
            </w:r>
          </w:p>
        </w:tc>
        <w:tc>
          <w:tcPr>
            <w:tcW w:type="dxa" w:w="2437"/>
            <w:shd w:val="clear" w:color="auto" w:fill="EEF3FA"/>
          </w:tcPr>
          <w:p>
            <w:pPr>
              <w:spacing w:after="40" w:before="40"/>
            </w:pPr>
            <w:r>
              <w:rPr>
                <w:rFonts w:ascii="Calibri" w:hAnsi="Calibri"/>
                <w:b w:val="0"/>
                <w:sz w:val="20"/>
              </w:rPr>
              <w:t>37,200</w:t>
            </w:r>
          </w:p>
        </w:tc>
        <w:tc>
          <w:tcPr>
            <w:tcW w:type="dxa" w:w="2437"/>
            <w:shd w:val="clear" w:color="auto" w:fill="EEF3FA"/>
          </w:tcPr>
          <w:p>
            <w:pPr>
              <w:spacing w:after="40" w:before="40"/>
            </w:pPr>
            <w:r>
              <w:rPr>
                <w:rFonts w:ascii="Calibri" w:hAnsi="Calibri"/>
                <w:b w:val="0"/>
                <w:color w:val="CC0000"/>
                <w:sz w:val="20"/>
              </w:rPr>
              <w:t>-2.5%</w:t>
            </w:r>
          </w:p>
        </w:tc>
        <w:tc>
          <w:tcPr>
            <w:tcW w:type="dxa" w:w="2437"/>
            <w:shd w:val="clear" w:color="auto" w:fill="EEF3FA"/>
          </w:tcPr>
          <w:p>
            <w:pPr>
              <w:spacing w:after="40" w:before="40"/>
            </w:pPr>
            <w:r>
              <w:rPr>
                <w:rFonts w:ascii="Calibri" w:hAnsi="Calibri"/>
                <w:b w:val="0"/>
                <w:color w:val="CC0000"/>
                <w:sz w:val="20"/>
              </w:rPr>
              <w:t>-5.0%</w:t>
            </w:r>
          </w:p>
        </w:tc>
      </w:tr>
      <w:tr>
        <w:tc>
          <w:tcPr>
            <w:tcW w:type="dxa" w:w="2437"/>
          </w:tcPr>
          <w:p>
            <w:pPr>
              <w:spacing w:after="40" w:before="40"/>
            </w:pPr>
            <w:r>
              <w:rPr>
                <w:rFonts w:ascii="Calibri" w:hAnsi="Calibri"/>
                <w:b w:val="0"/>
                <w:sz w:val="20"/>
              </w:rPr>
              <w:t>EUR/USD</w:t>
            </w:r>
          </w:p>
        </w:tc>
        <w:tc>
          <w:tcPr>
            <w:tcW w:type="dxa" w:w="2437"/>
          </w:tcPr>
          <w:p>
            <w:pPr>
              <w:spacing w:after="40" w:before="40"/>
            </w:pPr>
            <w:r>
              <w:rPr>
                <w:rFonts w:ascii="Calibri" w:hAnsi="Calibri"/>
                <w:b w:val="0"/>
                <w:sz w:val="20"/>
              </w:rPr>
              <w:t>1.090</w:t>
            </w:r>
          </w:p>
        </w:tc>
        <w:tc>
          <w:tcPr>
            <w:tcW w:type="dxa" w:w="2437"/>
          </w:tcPr>
          <w:p>
            <w:pPr>
              <w:spacing w:after="40" w:before="40"/>
            </w:pPr>
            <w:r>
              <w:rPr>
                <w:rFonts w:ascii="Calibri" w:hAnsi="Calibri"/>
                <w:b w:val="0"/>
                <w:color w:val="007A33"/>
                <w:sz w:val="20"/>
              </w:rPr>
              <w:t>+1.5%</w:t>
            </w:r>
          </w:p>
        </w:tc>
        <w:tc>
          <w:tcPr>
            <w:tcW w:type="dxa" w:w="2437"/>
          </w:tcPr>
          <w:p>
            <w:pPr>
              <w:spacing w:after="40" w:before="40"/>
            </w:pPr>
            <w:r>
              <w:rPr>
                <w:rFonts w:ascii="Calibri" w:hAnsi="Calibri"/>
                <w:b w:val="0"/>
                <w:color w:val="007A33"/>
                <w:sz w:val="20"/>
              </w:rPr>
              <w:t>+4.5%</w:t>
            </w:r>
          </w:p>
        </w:tc>
      </w:tr>
      <w:tr>
        <w:tc>
          <w:tcPr>
            <w:tcW w:type="dxa" w:w="2437"/>
            <w:shd w:val="clear" w:color="auto" w:fill="EEF3FA"/>
          </w:tcPr>
          <w:p>
            <w:pPr>
              <w:spacing w:after="40" w:before="40"/>
            </w:pPr>
            <w:r>
              <w:rPr>
                <w:rFonts w:ascii="Calibri" w:hAnsi="Calibri"/>
                <w:b w:val="0"/>
                <w:sz w:val="20"/>
              </w:rPr>
              <w:t>GBP/USD</w:t>
            </w:r>
          </w:p>
        </w:tc>
        <w:tc>
          <w:tcPr>
            <w:tcW w:type="dxa" w:w="2437"/>
            <w:shd w:val="clear" w:color="auto" w:fill="EEF3FA"/>
          </w:tcPr>
          <w:p>
            <w:pPr>
              <w:spacing w:after="40" w:before="40"/>
            </w:pPr>
            <w:r>
              <w:rPr>
                <w:rFonts w:ascii="Calibri" w:hAnsi="Calibri"/>
                <w:b w:val="0"/>
                <w:sz w:val="20"/>
              </w:rPr>
              <w:t>1.300</w:t>
            </w:r>
          </w:p>
        </w:tc>
        <w:tc>
          <w:tcPr>
            <w:tcW w:type="dxa" w:w="2437"/>
            <w:shd w:val="clear" w:color="auto" w:fill="EEF3FA"/>
          </w:tcPr>
          <w:p>
            <w:pPr>
              <w:spacing w:after="40" w:before="40"/>
            </w:pPr>
            <w:r>
              <w:rPr>
                <w:rFonts w:ascii="Calibri" w:hAnsi="Calibri"/>
                <w:b w:val="0"/>
                <w:color w:val="007A33"/>
                <w:sz w:val="20"/>
              </w:rPr>
              <w:t>+1.0%</w:t>
            </w:r>
          </w:p>
        </w:tc>
        <w:tc>
          <w:tcPr>
            <w:tcW w:type="dxa" w:w="2437"/>
            <w:shd w:val="clear" w:color="auto" w:fill="EEF3FA"/>
          </w:tcPr>
          <w:p>
            <w:pPr>
              <w:spacing w:after="40" w:before="40"/>
            </w:pPr>
            <w:r>
              <w:rPr>
                <w:rFonts w:ascii="Calibri" w:hAnsi="Calibri"/>
                <w:b w:val="0"/>
                <w:color w:val="007A33"/>
                <w:sz w:val="20"/>
              </w:rPr>
              <w:t>+3.0%</w:t>
            </w:r>
          </w:p>
        </w:tc>
      </w:tr>
      <w:tr>
        <w:tc>
          <w:tcPr>
            <w:tcW w:type="dxa" w:w="2437"/>
          </w:tcPr>
          <w:p>
            <w:pPr>
              <w:spacing w:after="40" w:before="40"/>
            </w:pPr>
            <w:r>
              <w:rPr>
                <w:rFonts w:ascii="Calibri" w:hAnsi="Calibri"/>
                <w:b w:val="0"/>
                <w:sz w:val="20"/>
              </w:rPr>
              <w:t>USD/JPY</w:t>
            </w:r>
          </w:p>
        </w:tc>
        <w:tc>
          <w:tcPr>
            <w:tcW w:type="dxa" w:w="2437"/>
          </w:tcPr>
          <w:p>
            <w:pPr>
              <w:spacing w:after="40" w:before="40"/>
            </w:pPr>
            <w:r>
              <w:rPr>
                <w:rFonts w:ascii="Calibri" w:hAnsi="Calibri"/>
                <w:b w:val="0"/>
                <w:sz w:val="20"/>
              </w:rPr>
              <w:t>149.0</w:t>
            </w:r>
          </w:p>
        </w:tc>
        <w:tc>
          <w:tcPr>
            <w:tcW w:type="dxa" w:w="2437"/>
          </w:tcPr>
          <w:p>
            <w:pPr>
              <w:spacing w:after="40" w:before="40"/>
            </w:pPr>
            <w:r>
              <w:rPr>
                <w:rFonts w:ascii="Calibri" w:hAnsi="Calibri"/>
                <w:b w:val="0"/>
                <w:color w:val="CC0000"/>
                <w:sz w:val="20"/>
              </w:rPr>
              <w:t>-1.0%</w:t>
            </w:r>
          </w:p>
        </w:tc>
        <w:tc>
          <w:tcPr>
            <w:tcW w:type="dxa" w:w="2437"/>
          </w:tcPr>
          <w:p>
            <w:pPr>
              <w:spacing w:after="40" w:before="40"/>
            </w:pPr>
            <w:r>
              <w:rPr>
                <w:rFonts w:ascii="Calibri" w:hAnsi="Calibri"/>
                <w:b w:val="0"/>
                <w:color w:val="CC0000"/>
                <w:sz w:val="20"/>
              </w:rPr>
              <w:t>-3.5%</w:t>
            </w:r>
          </w:p>
        </w:tc>
      </w:tr>
      <w:tr>
        <w:tc>
          <w:tcPr>
            <w:tcW w:type="dxa" w:w="2437"/>
            <w:shd w:val="clear" w:color="auto" w:fill="EEF3FA"/>
          </w:tcPr>
          <w:p>
            <w:pPr>
              <w:spacing w:after="40" w:before="40"/>
            </w:pPr>
            <w:r>
              <w:rPr>
                <w:rFonts w:ascii="Calibri" w:hAnsi="Calibri"/>
                <w:b w:val="0"/>
                <w:sz w:val="20"/>
              </w:rPr>
              <w:t>10Y UST Yield</w:t>
            </w:r>
          </w:p>
        </w:tc>
        <w:tc>
          <w:tcPr>
            <w:tcW w:type="dxa" w:w="2437"/>
            <w:shd w:val="clear" w:color="auto" w:fill="EEF3FA"/>
          </w:tcPr>
          <w:p>
            <w:pPr>
              <w:spacing w:after="40" w:before="40"/>
            </w:pPr>
            <w:r>
              <w:rPr>
                <w:rFonts w:ascii="Calibri" w:hAnsi="Calibri"/>
                <w:b w:val="0"/>
                <w:sz w:val="20"/>
              </w:rPr>
              <w:t>4.05%</w:t>
            </w:r>
          </w:p>
        </w:tc>
        <w:tc>
          <w:tcPr>
            <w:tcW w:type="dxa" w:w="2437"/>
            <w:shd w:val="clear" w:color="auto" w:fill="EEF3FA"/>
          </w:tcPr>
          <w:p>
            <w:pPr>
              <w:spacing w:after="40" w:before="40"/>
            </w:pPr>
            <w:r>
              <w:rPr>
                <w:rFonts w:ascii="Calibri" w:hAnsi="Calibri"/>
                <w:b w:val="0"/>
                <w:color w:val="CC0000"/>
                <w:sz w:val="20"/>
              </w:rPr>
              <w:t>-18 bps</w:t>
            </w:r>
          </w:p>
        </w:tc>
        <w:tc>
          <w:tcPr>
            <w:tcW w:type="dxa" w:w="2437"/>
            <w:shd w:val="clear" w:color="auto" w:fill="EEF3FA"/>
          </w:tcPr>
          <w:p>
            <w:pPr>
              <w:spacing w:after="40" w:before="40"/>
            </w:pPr>
            <w:r>
              <w:rPr>
                <w:rFonts w:ascii="Calibri" w:hAnsi="Calibri"/>
                <w:b w:val="0"/>
                <w:color w:val="CC0000"/>
                <w:sz w:val="20"/>
              </w:rPr>
              <w:t>-48 bps</w:t>
            </w:r>
          </w:p>
        </w:tc>
      </w:tr>
      <w:tr>
        <w:tc>
          <w:tcPr>
            <w:tcW w:type="dxa" w:w="2437"/>
          </w:tcPr>
          <w:p>
            <w:pPr>
              <w:spacing w:after="40" w:before="40"/>
            </w:pPr>
            <w:r>
              <w:rPr>
                <w:rFonts w:ascii="Calibri" w:hAnsi="Calibri"/>
                <w:b w:val="0"/>
                <w:sz w:val="20"/>
              </w:rPr>
              <w:t>10Y Bund Yield</w:t>
            </w:r>
          </w:p>
        </w:tc>
        <w:tc>
          <w:tcPr>
            <w:tcW w:type="dxa" w:w="2437"/>
          </w:tcPr>
          <w:p>
            <w:pPr>
              <w:spacing w:after="40" w:before="40"/>
            </w:pPr>
            <w:r>
              <w:rPr>
                <w:rFonts w:ascii="Calibri" w:hAnsi="Calibri"/>
                <w:b w:val="0"/>
                <w:sz w:val="20"/>
              </w:rPr>
              <w:t>2.80%</w:t>
            </w:r>
          </w:p>
        </w:tc>
        <w:tc>
          <w:tcPr>
            <w:tcW w:type="dxa" w:w="2437"/>
          </w:tcPr>
          <w:p>
            <w:pPr>
              <w:spacing w:after="40" w:before="40"/>
            </w:pPr>
            <w:r>
              <w:rPr>
                <w:rFonts w:ascii="Calibri" w:hAnsi="Calibri"/>
                <w:b w:val="0"/>
                <w:color w:val="007A33"/>
                <w:sz w:val="20"/>
              </w:rPr>
              <w:t>+10 bps</w:t>
            </w:r>
          </w:p>
        </w:tc>
        <w:tc>
          <w:tcPr>
            <w:tcW w:type="dxa" w:w="2437"/>
          </w:tcPr>
          <w:p>
            <w:pPr>
              <w:spacing w:after="40" w:before="40"/>
            </w:pPr>
            <w:r>
              <w:rPr>
                <w:rFonts w:ascii="Calibri" w:hAnsi="Calibri"/>
                <w:b w:val="0"/>
                <w:color w:val="007A33"/>
                <w:sz w:val="20"/>
              </w:rPr>
              <w:t>+45 bps</w:t>
            </w:r>
          </w:p>
        </w:tc>
      </w:tr>
      <w:tr>
        <w:tc>
          <w:tcPr>
            <w:tcW w:type="dxa" w:w="2437"/>
            <w:shd w:val="clear" w:color="auto" w:fill="EEF3FA"/>
          </w:tcPr>
          <w:p>
            <w:pPr>
              <w:spacing w:after="40" w:before="40"/>
            </w:pPr>
            <w:r>
              <w:rPr>
                <w:rFonts w:ascii="Calibri" w:hAnsi="Calibri"/>
                <w:b w:val="0"/>
                <w:sz w:val="20"/>
              </w:rPr>
              <w:t>Brent Crude</w:t>
            </w:r>
          </w:p>
        </w:tc>
        <w:tc>
          <w:tcPr>
            <w:tcW w:type="dxa" w:w="2437"/>
            <w:shd w:val="clear" w:color="auto" w:fill="EEF3FA"/>
          </w:tcPr>
          <w:p>
            <w:pPr>
              <w:spacing w:after="40" w:before="40"/>
            </w:pPr>
            <w:r>
              <w:rPr>
                <w:rFonts w:ascii="Calibri" w:hAnsi="Calibri"/>
                <w:b w:val="0"/>
                <w:sz w:val="20"/>
              </w:rPr>
              <w:t>$72</w:t>
            </w:r>
          </w:p>
        </w:tc>
        <w:tc>
          <w:tcPr>
            <w:tcW w:type="dxa" w:w="2437"/>
            <w:shd w:val="clear" w:color="auto" w:fill="EEF3FA"/>
          </w:tcPr>
          <w:p>
            <w:pPr>
              <w:spacing w:after="40" w:before="40"/>
            </w:pPr>
            <w:r>
              <w:rPr>
                <w:rFonts w:ascii="Calibri" w:hAnsi="Calibri"/>
                <w:b w:val="0"/>
                <w:color w:val="CC0000"/>
                <w:sz w:val="20"/>
              </w:rPr>
              <w:t>-4.0%</w:t>
            </w:r>
          </w:p>
        </w:tc>
        <w:tc>
          <w:tcPr>
            <w:tcW w:type="dxa" w:w="2437"/>
            <w:shd w:val="clear" w:color="auto" w:fill="EEF3FA"/>
          </w:tcPr>
          <w:p>
            <w:pPr>
              <w:spacing w:after="40" w:before="40"/>
            </w:pPr>
            <w:r>
              <w:rPr>
                <w:rFonts w:ascii="Calibri" w:hAnsi="Calibri"/>
                <w:b w:val="0"/>
                <w:color w:val="CC0000"/>
                <w:sz w:val="20"/>
              </w:rPr>
              <w:t>-5.5%</w:t>
            </w:r>
          </w:p>
        </w:tc>
      </w:tr>
      <w:tr>
        <w:tc>
          <w:tcPr>
            <w:tcW w:type="dxa" w:w="2437"/>
          </w:tcPr>
          <w:p>
            <w:pPr>
              <w:spacing w:after="40" w:before="40"/>
            </w:pPr>
            <w:r>
              <w:rPr>
                <w:rFonts w:ascii="Calibri" w:hAnsi="Calibri"/>
                <w:b w:val="0"/>
                <w:sz w:val="20"/>
              </w:rPr>
              <w:t>Gold</w:t>
            </w:r>
          </w:p>
        </w:tc>
        <w:tc>
          <w:tcPr>
            <w:tcW w:type="dxa" w:w="2437"/>
          </w:tcPr>
          <w:p>
            <w:pPr>
              <w:spacing w:after="40" w:before="40"/>
            </w:pPr>
            <w:r>
              <w:rPr>
                <w:rFonts w:ascii="Calibri" w:hAnsi="Calibri"/>
                <w:b w:val="0"/>
                <w:sz w:val="20"/>
              </w:rPr>
              <w:t>$3,060</w:t>
            </w:r>
          </w:p>
        </w:tc>
        <w:tc>
          <w:tcPr>
            <w:tcW w:type="dxa" w:w="2437"/>
          </w:tcPr>
          <w:p>
            <w:pPr>
              <w:spacing w:after="40" w:before="40"/>
            </w:pPr>
            <w:r>
              <w:rPr>
                <w:rFonts w:ascii="Calibri" w:hAnsi="Calibri"/>
                <w:b w:val="0"/>
                <w:color w:val="007A33"/>
                <w:sz w:val="20"/>
              </w:rPr>
              <w:t>+5.0%</w:t>
            </w:r>
          </w:p>
        </w:tc>
        <w:tc>
          <w:tcPr>
            <w:tcW w:type="dxa" w:w="2437"/>
          </w:tcPr>
          <w:p>
            <w:pPr>
              <w:spacing w:after="40" w:before="40"/>
            </w:pPr>
            <w:r>
              <w:rPr>
                <w:rFonts w:ascii="Calibri" w:hAnsi="Calibri"/>
                <w:b w:val="0"/>
                <w:color w:val="007A33"/>
                <w:sz w:val="20"/>
              </w:rPr>
              <w:t>+16.5%</w:t>
            </w:r>
          </w:p>
        </w:tc>
      </w:tr>
      <w:tr>
        <w:tc>
          <w:tcPr>
            <w:tcW w:type="dxa" w:w="2437"/>
            <w:shd w:val="clear" w:color="auto" w:fill="EEF3FA"/>
          </w:tcPr>
          <w:p>
            <w:pPr>
              <w:spacing w:after="40" w:before="40"/>
            </w:pPr>
            <w:r>
              <w:rPr>
                <w:rFonts w:ascii="Calibri" w:hAnsi="Calibri"/>
                <w:b w:val="0"/>
                <w:sz w:val="20"/>
              </w:rPr>
              <w:t>VIX</w:t>
            </w:r>
          </w:p>
        </w:tc>
        <w:tc>
          <w:tcPr>
            <w:tcW w:type="dxa" w:w="2437"/>
            <w:shd w:val="clear" w:color="auto" w:fill="EEF3FA"/>
          </w:tcPr>
          <w:p>
            <w:pPr>
              <w:spacing w:after="40" w:before="40"/>
            </w:pPr>
            <w:r>
              <w:rPr>
                <w:rFonts w:ascii="Calibri" w:hAnsi="Calibri"/>
                <w:b w:val="0"/>
                <w:sz w:val="20"/>
              </w:rPr>
              <w:t>23.5</w:t>
            </w:r>
          </w:p>
        </w:tc>
        <w:tc>
          <w:tcPr>
            <w:tcW w:type="dxa" w:w="2437"/>
            <w:shd w:val="clear" w:color="auto" w:fill="EEF3FA"/>
          </w:tcPr>
          <w:p>
            <w:pPr>
              <w:spacing w:after="40" w:before="40"/>
            </w:pPr>
            <w:r>
              <w:rPr>
                <w:rFonts w:ascii="Calibri" w:hAnsi="Calibri"/>
                <w:b w:val="0"/>
                <w:color w:val="007A33"/>
                <w:sz w:val="20"/>
              </w:rPr>
              <w:t>+30%</w:t>
            </w:r>
          </w:p>
        </w:tc>
        <w:tc>
          <w:tcPr>
            <w:tcW w:type="dxa" w:w="2437"/>
            <w:shd w:val="clear" w:color="auto" w:fill="EEF3FA"/>
          </w:tcPr>
          <w:p>
            <w:pPr>
              <w:spacing w:after="40" w:before="40"/>
            </w:pPr>
            <w:r>
              <w:rPr>
                <w:rFonts w:ascii="Calibri" w:hAnsi="Calibri"/>
                <w:b w:val="0"/>
                <w:color w:val="007A33"/>
                <w:sz w:val="20"/>
              </w:rPr>
              <w:t>+35%</w:t>
            </w:r>
          </w:p>
        </w:tc>
      </w:tr>
    </w:tbl>
    <w:p>
      <w:pPr>
        <w:spacing w:before="240" w:after="80"/>
        <w:pBdr>
          <w:bottom w:val="single" w:sz="6" w:space="1" w:color="00429B"/>
        </w:pBdr>
      </w:pPr>
      <w:r>
        <w:rPr>
          <w:rFonts w:ascii="Calibri" w:hAnsi="Calibri"/>
          <w:b/>
          <w:color w:val="00429B"/>
          <w:sz w:val="26"/>
        </w:rPr>
        <w:t>11. CUSTODIAN &amp; PEER INSTITUTION NEWS</w:t>
      </w:r>
    </w:p>
    <w:tbl>
      <w:tblPr>
        <w:tblStyle w:val="TableGrid"/>
        <w:tblW w:type="auto" w:w="0"/>
        <w:tblLook w:firstColumn="1" w:firstRow="1" w:lastColumn="0" w:lastRow="0" w:noHBand="0" w:noVBand="1" w:val="04A0"/>
      </w:tblPr>
      <w:tblGrid>
        <w:gridCol w:w="3250"/>
        <w:gridCol w:w="3250"/>
        <w:gridCol w:w="3250"/>
      </w:tblGrid>
      <w:tr>
        <w:tc>
          <w:tcPr>
            <w:tcW w:type="dxa" w:w="3250"/>
            <w:shd w:val="clear" w:color="auto" w:fill="00429B"/>
          </w:tcPr>
          <w:p>
            <w:pPr>
              <w:spacing w:after="40" w:before="40"/>
            </w:pPr>
            <w:r>
              <w:rPr>
                <w:rFonts w:ascii="Calibri" w:hAnsi="Calibri"/>
                <w:b/>
                <w:color w:val="FFFFFF"/>
                <w:sz w:val="20"/>
              </w:rPr>
              <w:t>Institution</w:t>
            </w:r>
          </w:p>
        </w:tc>
        <w:tc>
          <w:tcPr>
            <w:tcW w:type="dxa" w:w="3250"/>
            <w:shd w:val="clear" w:color="auto" w:fill="00429B"/>
          </w:tcPr>
          <w:p>
            <w:pPr>
              <w:spacing w:after="40" w:before="40"/>
            </w:pPr>
            <w:r>
              <w:rPr>
                <w:rFonts w:ascii="Calibri" w:hAnsi="Calibri"/>
                <w:b/>
                <w:color w:val="FFFFFF"/>
                <w:sz w:val="20"/>
              </w:rPr>
              <w:t>Key Development</w:t>
            </w:r>
          </w:p>
        </w:tc>
        <w:tc>
          <w:tcPr>
            <w:tcW w:type="dxa" w:w="3250"/>
            <w:shd w:val="clear" w:color="auto" w:fill="00429B"/>
          </w:tcPr>
          <w:p>
            <w:pPr>
              <w:spacing w:after="40" w:before="40"/>
            </w:pPr>
            <w:r>
              <w:rPr>
                <w:rFonts w:ascii="Calibri" w:hAnsi="Calibri"/>
                <w:b/>
                <w:color w:val="FFFFFF"/>
                <w:sz w:val="20"/>
              </w:rPr>
              <w:t>Significance</w:t>
            </w:r>
          </w:p>
        </w:tc>
      </w:tr>
      <w:tr>
        <w:tc>
          <w:tcPr>
            <w:tcW w:type="dxa" w:w="3250"/>
          </w:tcPr>
          <w:p>
            <w:pPr>
              <w:spacing w:after="40" w:before="40"/>
            </w:pPr>
            <w:r>
              <w:rPr>
                <w:rFonts w:ascii="Calibri" w:hAnsi="Calibri"/>
                <w:b w:val="0"/>
                <w:sz w:val="20"/>
              </w:rPr>
              <w:t>BNY (Bank of New York Mellon)</w:t>
            </w:r>
          </w:p>
        </w:tc>
        <w:tc>
          <w:tcPr>
            <w:tcW w:type="dxa" w:w="3250"/>
          </w:tcPr>
          <w:p>
            <w:pPr>
              <w:spacing w:after="40" w:before="40"/>
            </w:pPr>
            <w:r>
              <w:rPr>
                <w:rFonts w:ascii="Calibri" w:hAnsi="Calibri"/>
                <w:b w:val="0"/>
                <w:sz w:val="20"/>
              </w:rPr>
              <w:t>Announced strategic partnership for end-to-end tokenised US Treasury custody and servicing; expanded AI deployment in fund administration.</w:t>
            </w:r>
          </w:p>
        </w:tc>
        <w:tc>
          <w:tcPr>
            <w:tcW w:type="dxa" w:w="3250"/>
          </w:tcPr>
          <w:p>
            <w:pPr>
              <w:spacing w:after="40" w:before="40"/>
            </w:pPr>
            <w:r>
              <w:rPr>
                <w:rFonts w:ascii="Calibri" w:hAnsi="Calibri"/>
                <w:b w:val="0"/>
                <w:sz w:val="20"/>
              </w:rPr>
              <w:t>Positions BNY as first major custodian to offer institutional-grade tokenised government bond services at scale.</w:t>
            </w:r>
          </w:p>
        </w:tc>
      </w:tr>
      <w:tr>
        <w:tc>
          <w:tcPr>
            <w:tcW w:type="dxa" w:w="3250"/>
            <w:shd w:val="clear" w:color="auto" w:fill="EEF3FA"/>
          </w:tcPr>
          <w:p>
            <w:pPr>
              <w:spacing w:after="40" w:before="40"/>
            </w:pPr>
            <w:r>
              <w:rPr>
                <w:rFonts w:ascii="Calibri" w:hAnsi="Calibri"/>
                <w:b w:val="0"/>
                <w:sz w:val="20"/>
              </w:rPr>
              <w:t>State Street Corporation</w:t>
            </w:r>
          </w:p>
        </w:tc>
        <w:tc>
          <w:tcPr>
            <w:tcW w:type="dxa" w:w="3250"/>
            <w:shd w:val="clear" w:color="auto" w:fill="EEF3FA"/>
          </w:tcPr>
          <w:p>
            <w:pPr>
              <w:spacing w:after="40" w:before="40"/>
            </w:pPr>
            <w:r>
              <w:rPr>
                <w:rFonts w:ascii="Calibri" w:hAnsi="Calibri"/>
                <w:b w:val="0"/>
                <w:sz w:val="20"/>
              </w:rPr>
              <w:t>Completed acquisition of Alter Domus European fund administration business, adding approx. $250B in AUA in alternatives and UCITS.</w:t>
            </w:r>
          </w:p>
        </w:tc>
        <w:tc>
          <w:tcPr>
            <w:tcW w:type="dxa" w:w="3250"/>
            <w:shd w:val="clear" w:color="auto" w:fill="EEF3FA"/>
          </w:tcPr>
          <w:p>
            <w:pPr>
              <w:spacing w:after="40" w:before="40"/>
            </w:pPr>
            <w:r>
              <w:rPr>
                <w:rFonts w:ascii="Calibri" w:hAnsi="Calibri"/>
                <w:b w:val="0"/>
                <w:sz w:val="20"/>
              </w:rPr>
              <w:t>Significantly strengthens State Street's European alternatives servicing capabilities and competitive positioning against BNP Paribas and BNY.</w:t>
            </w:r>
          </w:p>
        </w:tc>
      </w:tr>
      <w:tr>
        <w:tc>
          <w:tcPr>
            <w:tcW w:type="dxa" w:w="3250"/>
          </w:tcPr>
          <w:p>
            <w:pPr>
              <w:spacing w:after="40" w:before="40"/>
            </w:pPr>
            <w:r>
              <w:rPr>
                <w:rFonts w:ascii="Calibri" w:hAnsi="Calibri"/>
                <w:b w:val="0"/>
                <w:sz w:val="20"/>
              </w:rPr>
              <w:t>JPMorgan Chase &amp; Co.</w:t>
            </w:r>
          </w:p>
        </w:tc>
        <w:tc>
          <w:tcPr>
            <w:tcW w:type="dxa" w:w="3250"/>
          </w:tcPr>
          <w:p>
            <w:pPr>
              <w:spacing w:after="40" w:before="40"/>
            </w:pPr>
            <w:r>
              <w:rPr>
                <w:rFonts w:ascii="Calibri" w:hAnsi="Calibri"/>
                <w:b w:val="0"/>
                <w:sz w:val="20"/>
              </w:rPr>
              <w:t>Expanded Onyx digital assets platform with new intraday repo functionality for institutional clients using tokenised collateral.</w:t>
            </w:r>
          </w:p>
        </w:tc>
        <w:tc>
          <w:tcPr>
            <w:tcW w:type="dxa" w:w="3250"/>
          </w:tcPr>
          <w:p>
            <w:pPr>
              <w:spacing w:after="40" w:before="40"/>
            </w:pPr>
            <w:r>
              <w:rPr>
                <w:rFonts w:ascii="Calibri" w:hAnsi="Calibri"/>
                <w:b w:val="0"/>
                <w:sz w:val="20"/>
              </w:rPr>
              <w:t>Reinforces JPMorgan's leadership in blockchain-based securities financing and collateral mobility.</w:t>
            </w:r>
          </w:p>
        </w:tc>
      </w:tr>
      <w:tr>
        <w:tc>
          <w:tcPr>
            <w:tcW w:type="dxa" w:w="3250"/>
            <w:shd w:val="clear" w:color="auto" w:fill="EEF3FA"/>
          </w:tcPr>
          <w:p>
            <w:pPr>
              <w:spacing w:after="40" w:before="40"/>
            </w:pPr>
            <w:r>
              <w:rPr>
                <w:rFonts w:ascii="Calibri" w:hAnsi="Calibri"/>
                <w:b w:val="0"/>
                <w:sz w:val="20"/>
              </w:rPr>
              <w:t>Citigroup Inc. (Citi)</w:t>
            </w:r>
          </w:p>
        </w:tc>
        <w:tc>
          <w:tcPr>
            <w:tcW w:type="dxa" w:w="3250"/>
            <w:shd w:val="clear" w:color="auto" w:fill="EEF3FA"/>
          </w:tcPr>
          <w:p>
            <w:pPr>
              <w:spacing w:after="40" w:before="40"/>
            </w:pPr>
            <w:r>
              <w:rPr>
                <w:rFonts w:ascii="Calibri" w:hAnsi="Calibri"/>
                <w:b w:val="0"/>
                <w:sz w:val="20"/>
              </w:rPr>
              <w:t>Appointed new global head of custody and fund services; announced strategic review of technology investment roadmap.</w:t>
            </w:r>
          </w:p>
        </w:tc>
        <w:tc>
          <w:tcPr>
            <w:tcW w:type="dxa" w:w="3250"/>
            <w:shd w:val="clear" w:color="auto" w:fill="EEF3FA"/>
          </w:tcPr>
          <w:p>
            <w:pPr>
              <w:spacing w:after="40" w:before="40"/>
            </w:pPr>
            <w:r>
              <w:rPr>
                <w:rFonts w:ascii="Calibri" w:hAnsi="Calibri"/>
                <w:b w:val="0"/>
                <w:sz w:val="20"/>
              </w:rPr>
              <w:t>Signals leadership refresh and renewed commitment to competing for large-scale custody and fund administration mandates.</w:t>
            </w:r>
          </w:p>
        </w:tc>
      </w:tr>
      <w:tr>
        <w:tc>
          <w:tcPr>
            <w:tcW w:type="dxa" w:w="3250"/>
          </w:tcPr>
          <w:p>
            <w:pPr>
              <w:spacing w:after="40" w:before="40"/>
            </w:pPr>
            <w:r>
              <w:rPr>
                <w:rFonts w:ascii="Calibri" w:hAnsi="Calibri"/>
                <w:b w:val="0"/>
                <w:sz w:val="20"/>
              </w:rPr>
              <w:t>HSBC Holdings plc</w:t>
            </w:r>
          </w:p>
        </w:tc>
        <w:tc>
          <w:tcPr>
            <w:tcW w:type="dxa" w:w="3250"/>
          </w:tcPr>
          <w:p>
            <w:pPr>
              <w:spacing w:after="40" w:before="40"/>
            </w:pPr>
            <w:r>
              <w:rPr>
                <w:rFonts w:ascii="Calibri" w:hAnsi="Calibri"/>
                <w:b w:val="0"/>
                <w:sz w:val="20"/>
              </w:rPr>
              <w:t>Launched AI-driven integrated data analytics platform for institutional investors, including ESG reporting modules.</w:t>
            </w:r>
          </w:p>
        </w:tc>
        <w:tc>
          <w:tcPr>
            <w:tcW w:type="dxa" w:w="3250"/>
          </w:tcPr>
          <w:p>
            <w:pPr>
              <w:spacing w:after="40" w:before="40"/>
            </w:pPr>
            <w:r>
              <w:rPr>
                <w:rFonts w:ascii="Calibri" w:hAnsi="Calibri"/>
                <w:b w:val="0"/>
                <w:sz w:val="20"/>
              </w:rPr>
              <w:t>Directly competes with BNY and State Street in the data-as-a-service segment for asset owners and managers.</w:t>
            </w:r>
          </w:p>
        </w:tc>
      </w:tr>
      <w:tr>
        <w:tc>
          <w:tcPr>
            <w:tcW w:type="dxa" w:w="3250"/>
            <w:shd w:val="clear" w:color="auto" w:fill="EEF3FA"/>
          </w:tcPr>
          <w:p>
            <w:pPr>
              <w:spacing w:after="40" w:before="40"/>
            </w:pPr>
            <w:r>
              <w:rPr>
                <w:rFonts w:ascii="Calibri" w:hAnsi="Calibri"/>
                <w:b w:val="0"/>
                <w:sz w:val="20"/>
              </w:rPr>
              <w:t>BNP Paribas</w:t>
            </w:r>
          </w:p>
        </w:tc>
        <w:tc>
          <w:tcPr>
            <w:tcW w:type="dxa" w:w="3250"/>
            <w:shd w:val="clear" w:color="auto" w:fill="EEF3FA"/>
          </w:tcPr>
          <w:p>
            <w:pPr>
              <w:spacing w:after="40" w:before="40"/>
            </w:pPr>
            <w:r>
              <w:rPr>
                <w:rFonts w:ascii="Calibri" w:hAnsi="Calibri"/>
                <w:b w:val="0"/>
                <w:sz w:val="20"/>
              </w:rPr>
              <w:t>Expanded securities services footprint in the Middle East with a new operational hub in Abu Dhabi targeting sovereign wealth fund clients.</w:t>
            </w:r>
          </w:p>
        </w:tc>
        <w:tc>
          <w:tcPr>
            <w:tcW w:type="dxa" w:w="3250"/>
            <w:shd w:val="clear" w:color="auto" w:fill="EEF3FA"/>
          </w:tcPr>
          <w:p>
            <w:pPr>
              <w:spacing w:after="40" w:before="40"/>
            </w:pPr>
            <w:r>
              <w:rPr>
                <w:rFonts w:ascii="Calibri" w:hAnsi="Calibri"/>
                <w:b w:val="0"/>
                <w:sz w:val="20"/>
              </w:rPr>
              <w:t>Strengthens BNP Paribas's position in a high-growth region and competes with HSBC and Citi for SWF servicing mandates.</w:t>
            </w:r>
          </w:p>
        </w:tc>
      </w:tr>
      <w:tr>
        <w:tc>
          <w:tcPr>
            <w:tcW w:type="dxa" w:w="3250"/>
          </w:tcPr>
          <w:p>
            <w:pPr>
              <w:spacing w:after="40" w:before="40"/>
            </w:pPr>
            <w:r>
              <w:rPr>
                <w:rFonts w:ascii="Calibri" w:hAnsi="Calibri"/>
                <w:b w:val="0"/>
                <w:sz w:val="20"/>
              </w:rPr>
              <w:t>Northern Trust Corporation</w:t>
            </w:r>
          </w:p>
        </w:tc>
        <w:tc>
          <w:tcPr>
            <w:tcW w:type="dxa" w:w="3250"/>
          </w:tcPr>
          <w:p>
            <w:pPr>
              <w:spacing w:after="40" w:before="40"/>
            </w:pPr>
            <w:r>
              <w:rPr>
                <w:rFonts w:ascii="Calibri" w:hAnsi="Calibri"/>
                <w:b w:val="0"/>
                <w:sz w:val="20"/>
              </w:rPr>
              <w:t>Opened new operations hub in Manila for whole-of-office outsourcing targeting mid-tier Asia-Pacific asset managers.</w:t>
            </w:r>
          </w:p>
        </w:tc>
        <w:tc>
          <w:tcPr>
            <w:tcW w:type="dxa" w:w="3250"/>
          </w:tcPr>
          <w:p>
            <w:pPr>
              <w:spacing w:after="40" w:before="40"/>
            </w:pPr>
            <w:r>
              <w:rPr>
                <w:rFonts w:ascii="Calibri" w:hAnsi="Calibri"/>
                <w:b w:val="0"/>
                <w:sz w:val="20"/>
              </w:rPr>
              <w:t>Extends Northern Trust's cost-competitive delivery model and its strategic focus on front-to-back outsourcing.</w:t>
            </w:r>
          </w:p>
        </w:tc>
      </w:tr>
      <w:tr>
        <w:tc>
          <w:tcPr>
            <w:tcW w:type="dxa" w:w="3250"/>
            <w:shd w:val="clear" w:color="auto" w:fill="EEF3FA"/>
          </w:tcPr>
          <w:p>
            <w:pPr>
              <w:spacing w:after="40" w:before="40"/>
            </w:pPr>
            <w:r>
              <w:rPr>
                <w:rFonts w:ascii="Calibri" w:hAnsi="Calibri"/>
                <w:b w:val="0"/>
                <w:sz w:val="20"/>
              </w:rPr>
              <w:t>Deutsche Bank AG</w:t>
            </w:r>
          </w:p>
        </w:tc>
        <w:tc>
          <w:tcPr>
            <w:tcW w:type="dxa" w:w="3250"/>
            <w:shd w:val="clear" w:color="auto" w:fill="EEF3FA"/>
          </w:tcPr>
          <w:p>
            <w:pPr>
              <w:spacing w:after="40" w:before="40"/>
            </w:pPr>
            <w:r>
              <w:rPr>
                <w:rFonts w:ascii="Calibri" w:hAnsi="Calibri"/>
                <w:b w:val="0"/>
                <w:sz w:val="20"/>
              </w:rPr>
              <w:t>Continued integration of digital asset custody capabilities through its partnership with Taurus; expanded tokenised fund pilot programs.</w:t>
            </w:r>
          </w:p>
        </w:tc>
        <w:tc>
          <w:tcPr>
            <w:tcW w:type="dxa" w:w="3250"/>
            <w:shd w:val="clear" w:color="auto" w:fill="EEF3FA"/>
          </w:tcPr>
          <w:p>
            <w:pPr>
              <w:spacing w:after="40" w:before="40"/>
            </w:pPr>
            <w:r>
              <w:rPr>
                <w:rFonts w:ascii="Calibri" w:hAnsi="Calibri"/>
                <w:b w:val="0"/>
                <w:sz w:val="20"/>
              </w:rPr>
              <w:t>Demonstrates Deutsche Bank's commitment to digital securities infrastructure in the European market.</w:t>
            </w:r>
          </w:p>
        </w:tc>
      </w:tr>
      <w:tr>
        <w:tc>
          <w:tcPr>
            <w:tcW w:type="dxa" w:w="3250"/>
          </w:tcPr>
          <w:p>
            <w:pPr>
              <w:spacing w:after="40" w:before="40"/>
            </w:pPr>
            <w:r>
              <w:rPr>
                <w:rFonts w:ascii="Calibri" w:hAnsi="Calibri"/>
                <w:b w:val="0"/>
                <w:sz w:val="20"/>
              </w:rPr>
              <w:t>UBS Group AG</w:t>
            </w:r>
          </w:p>
        </w:tc>
        <w:tc>
          <w:tcPr>
            <w:tcW w:type="dxa" w:w="3250"/>
          </w:tcPr>
          <w:p>
            <w:pPr>
              <w:spacing w:after="40" w:before="40"/>
            </w:pPr>
            <w:r>
              <w:rPr>
                <w:rFonts w:ascii="Calibri" w:hAnsi="Calibri"/>
                <w:b w:val="0"/>
                <w:sz w:val="20"/>
              </w:rPr>
              <w:t>Advanced post-Credit Suisse integration of fund services book; confirmed retention of key European fund administration mandates.</w:t>
            </w:r>
          </w:p>
        </w:tc>
        <w:tc>
          <w:tcPr>
            <w:tcW w:type="dxa" w:w="3250"/>
          </w:tcPr>
          <w:p>
            <w:pPr>
              <w:spacing w:after="40" w:before="40"/>
            </w:pPr>
            <w:r>
              <w:rPr>
                <w:rFonts w:ascii="Calibri" w:hAnsi="Calibri"/>
                <w:b w:val="0"/>
                <w:sz w:val="20"/>
              </w:rPr>
              <w:t>Stabilisation of the combined platform reduces transition risk for clients and signals UBS's commitment to the fund services business.</w:t>
            </w:r>
          </w:p>
        </w:tc>
      </w:tr>
      <w:tr>
        <w:tc>
          <w:tcPr>
            <w:tcW w:type="dxa" w:w="3250"/>
            <w:shd w:val="clear" w:color="auto" w:fill="EEF3FA"/>
          </w:tcPr>
          <w:p>
            <w:pPr>
              <w:spacing w:after="40" w:before="40"/>
            </w:pPr>
            <w:r>
              <w:rPr>
                <w:rFonts w:ascii="Calibri" w:hAnsi="Calibri"/>
                <w:b w:val="0"/>
                <w:sz w:val="20"/>
              </w:rPr>
              <w:t>RBC Investor Services</w:t>
            </w:r>
          </w:p>
        </w:tc>
        <w:tc>
          <w:tcPr>
            <w:tcW w:type="dxa" w:w="3250"/>
            <w:shd w:val="clear" w:color="auto" w:fill="EEF3FA"/>
          </w:tcPr>
          <w:p>
            <w:pPr>
              <w:spacing w:after="40" w:before="40"/>
            </w:pPr>
            <w:r>
              <w:rPr>
                <w:rFonts w:ascii="Calibri" w:hAnsi="Calibri"/>
                <w:b w:val="0"/>
                <w:sz w:val="20"/>
              </w:rPr>
              <w:t>No material public news this month.</w:t>
            </w:r>
          </w:p>
        </w:tc>
        <w:tc>
          <w:tcPr>
            <w:tcW w:type="dxa" w:w="3250"/>
            <w:shd w:val="clear" w:color="auto" w:fill="EEF3FA"/>
          </w:tcPr>
          <w:p>
            <w:pPr>
              <w:spacing w:after="40" w:before="40"/>
            </w:pPr>
            <w:r>
              <w:rPr>
                <w:rFonts w:ascii="Calibri" w:hAnsi="Calibri"/>
                <w:b w:val="0"/>
                <w:sz w:val="20"/>
              </w:rPr>
              <w:t>—</w:t>
            </w:r>
          </w:p>
        </w:tc>
      </w:tr>
      <w:tr>
        <w:tc>
          <w:tcPr>
            <w:tcW w:type="dxa" w:w="3250"/>
          </w:tcPr>
          <w:p>
            <w:pPr>
              <w:spacing w:after="40" w:before="40"/>
            </w:pPr>
            <w:r>
              <w:rPr>
                <w:rFonts w:ascii="Calibri" w:hAnsi="Calibri"/>
                <w:b w:val="0"/>
                <w:sz w:val="20"/>
              </w:rPr>
              <w:t>Societe Generale Securities Services</w:t>
            </w:r>
          </w:p>
        </w:tc>
        <w:tc>
          <w:tcPr>
            <w:tcW w:type="dxa" w:w="3250"/>
          </w:tcPr>
          <w:p>
            <w:pPr>
              <w:spacing w:after="40" w:before="40"/>
            </w:pPr>
            <w:r>
              <w:rPr>
                <w:rFonts w:ascii="Calibri" w:hAnsi="Calibri"/>
                <w:b w:val="0"/>
                <w:sz w:val="20"/>
              </w:rPr>
              <w:t>Announced expanded partnership with a European FinTech for automated regulatory reporting under AIFMD II and UCITS revisions.</w:t>
            </w:r>
          </w:p>
        </w:tc>
        <w:tc>
          <w:tcPr>
            <w:tcW w:type="dxa" w:w="3250"/>
          </w:tcPr>
          <w:p>
            <w:pPr>
              <w:spacing w:after="40" w:before="40"/>
            </w:pPr>
            <w:r>
              <w:rPr>
                <w:rFonts w:ascii="Calibri" w:hAnsi="Calibri"/>
                <w:b w:val="0"/>
                <w:sz w:val="20"/>
              </w:rPr>
              <w:t>Accelerates SocGen's regulatory technology capabilities ahead of the April 2026 reporting deadline.</w:t>
            </w:r>
          </w:p>
        </w:tc>
      </w:tr>
      <w:tr>
        <w:tc>
          <w:tcPr>
            <w:tcW w:type="dxa" w:w="3250"/>
            <w:shd w:val="clear" w:color="auto" w:fill="EEF3FA"/>
          </w:tcPr>
          <w:p>
            <w:pPr>
              <w:spacing w:after="40" w:before="40"/>
            </w:pPr>
            <w:r>
              <w:rPr>
                <w:rFonts w:ascii="Calibri" w:hAnsi="Calibri"/>
                <w:b w:val="0"/>
                <w:sz w:val="20"/>
              </w:rPr>
              <w:t>Standard Chartered plc</w:t>
            </w:r>
          </w:p>
        </w:tc>
        <w:tc>
          <w:tcPr>
            <w:tcW w:type="dxa" w:w="3250"/>
            <w:shd w:val="clear" w:color="auto" w:fill="EEF3FA"/>
          </w:tcPr>
          <w:p>
            <w:pPr>
              <w:spacing w:after="40" w:before="40"/>
            </w:pPr>
            <w:r>
              <w:rPr>
                <w:rFonts w:ascii="Calibri" w:hAnsi="Calibri"/>
                <w:b w:val="0"/>
                <w:sz w:val="20"/>
              </w:rPr>
              <w:t>Expanded digital asset custody offering in Singapore and Hong Kong, leveraging MAS and SFC licensing frameworks.</w:t>
            </w:r>
          </w:p>
        </w:tc>
        <w:tc>
          <w:tcPr>
            <w:tcW w:type="dxa" w:w="3250"/>
            <w:shd w:val="clear" w:color="auto" w:fill="EEF3FA"/>
          </w:tcPr>
          <w:p>
            <w:pPr>
              <w:spacing w:after="40" w:before="40"/>
            </w:pPr>
            <w:r>
              <w:rPr>
                <w:rFonts w:ascii="Calibri" w:hAnsi="Calibri"/>
                <w:b w:val="0"/>
                <w:sz w:val="20"/>
              </w:rPr>
              <w:t>Positions Standard Chartered as a leading traditional bank custodian for digital assets in Asia.</w:t>
            </w:r>
          </w:p>
        </w:tc>
      </w:tr>
      <w:tr>
        <w:tc>
          <w:tcPr>
            <w:tcW w:type="dxa" w:w="3250"/>
          </w:tcPr>
          <w:p>
            <w:pPr>
              <w:spacing w:after="40" w:before="40"/>
            </w:pPr>
            <w:r>
              <w:rPr>
                <w:rFonts w:ascii="Calibri" w:hAnsi="Calibri"/>
                <w:b w:val="0"/>
                <w:sz w:val="20"/>
              </w:rPr>
              <w:t>Brown Brothers Harriman &amp; Co.</w:t>
            </w:r>
          </w:p>
        </w:tc>
        <w:tc>
          <w:tcPr>
            <w:tcW w:type="dxa" w:w="3250"/>
          </w:tcPr>
          <w:p>
            <w:pPr>
              <w:spacing w:after="40" w:before="40"/>
            </w:pPr>
            <w:r>
              <w:rPr>
                <w:rFonts w:ascii="Calibri" w:hAnsi="Calibri"/>
                <w:b w:val="0"/>
                <w:sz w:val="20"/>
              </w:rPr>
              <w:t>Released enhanced FX analytics tools for asset manager clients, integrating transaction cost analysis with execution quality reporting.</w:t>
            </w:r>
          </w:p>
        </w:tc>
        <w:tc>
          <w:tcPr>
            <w:tcW w:type="dxa" w:w="3250"/>
          </w:tcPr>
          <w:p>
            <w:pPr>
              <w:spacing w:after="40" w:before="40"/>
            </w:pPr>
            <w:r>
              <w:rPr>
                <w:rFonts w:ascii="Calibri" w:hAnsi="Calibri"/>
                <w:b w:val="0"/>
                <w:sz w:val="20"/>
              </w:rPr>
              <w:t>Strengthens BBH's differentiated FX and data offering for its core mid-to-large asset manager client base.</w:t>
            </w:r>
          </w:p>
        </w:tc>
      </w:tr>
      <w:tr>
        <w:tc>
          <w:tcPr>
            <w:tcW w:type="dxa" w:w="3250"/>
            <w:shd w:val="clear" w:color="auto" w:fill="EEF3FA"/>
          </w:tcPr>
          <w:p>
            <w:pPr>
              <w:spacing w:after="40" w:before="40"/>
            </w:pPr>
            <w:r>
              <w:rPr>
                <w:rFonts w:ascii="Calibri" w:hAnsi="Calibri"/>
                <w:b w:val="0"/>
                <w:sz w:val="20"/>
              </w:rPr>
              <w:t>Clearstream</w:t>
            </w:r>
          </w:p>
        </w:tc>
        <w:tc>
          <w:tcPr>
            <w:tcW w:type="dxa" w:w="3250"/>
            <w:shd w:val="clear" w:color="auto" w:fill="EEF3FA"/>
          </w:tcPr>
          <w:p>
            <w:pPr>
              <w:spacing w:after="40" w:before="40"/>
            </w:pPr>
            <w:r>
              <w:rPr>
                <w:rFonts w:ascii="Calibri" w:hAnsi="Calibri"/>
                <w:b w:val="0"/>
                <w:sz w:val="20"/>
              </w:rPr>
              <w:t>Completed migration of additional securities classes onto its D7 digital post-trade platform; expanded tokenised bond issuance support.</w:t>
            </w:r>
          </w:p>
        </w:tc>
        <w:tc>
          <w:tcPr>
            <w:tcW w:type="dxa" w:w="3250"/>
            <w:shd w:val="clear" w:color="auto" w:fill="EEF3FA"/>
          </w:tcPr>
          <w:p>
            <w:pPr>
              <w:spacing w:after="40" w:before="40"/>
            </w:pPr>
            <w:r>
              <w:rPr>
                <w:rFonts w:ascii="Calibri" w:hAnsi="Calibri"/>
                <w:b w:val="0"/>
                <w:sz w:val="20"/>
              </w:rPr>
              <w:t>Advances Clearstream's role as a digital-native CSD and increases competitive pressure on Euroclear in the tokenisation space.</w:t>
            </w:r>
          </w:p>
        </w:tc>
      </w:tr>
      <w:tr>
        <w:tc>
          <w:tcPr>
            <w:tcW w:type="dxa" w:w="3250"/>
          </w:tcPr>
          <w:p>
            <w:pPr>
              <w:spacing w:after="40" w:before="40"/>
            </w:pPr>
            <w:r>
              <w:rPr>
                <w:rFonts w:ascii="Calibri" w:hAnsi="Calibri"/>
                <w:b w:val="0"/>
                <w:sz w:val="20"/>
              </w:rPr>
              <w:t>Euroclear</w:t>
            </w:r>
          </w:p>
        </w:tc>
        <w:tc>
          <w:tcPr>
            <w:tcW w:type="dxa" w:w="3250"/>
          </w:tcPr>
          <w:p>
            <w:pPr>
              <w:spacing w:after="40" w:before="40"/>
            </w:pPr>
            <w:r>
              <w:rPr>
                <w:rFonts w:ascii="Calibri" w:hAnsi="Calibri"/>
                <w:b w:val="0"/>
                <w:sz w:val="20"/>
              </w:rPr>
              <w:t>Published updated roadmap for CSDR penalty regime compliance tools and announced new collateral management connectivity with Asian CSDs.</w:t>
            </w:r>
          </w:p>
        </w:tc>
        <w:tc>
          <w:tcPr>
            <w:tcW w:type="dxa" w:w="3250"/>
          </w:tcPr>
          <w:p>
            <w:pPr>
              <w:spacing w:after="40" w:before="40"/>
            </w:pPr>
            <w:r>
              <w:rPr>
                <w:rFonts w:ascii="Calibri" w:hAnsi="Calibri"/>
                <w:b w:val="0"/>
                <w:sz w:val="20"/>
              </w:rPr>
              <w:t>Reinforces Euroclear's central role in European settlement infrastructure and cross-border collateral mobility.</w:t>
            </w:r>
          </w:p>
        </w:tc>
      </w:tr>
      <w:tr>
        <w:tc>
          <w:tcPr>
            <w:tcW w:type="dxa" w:w="3250"/>
            <w:shd w:val="clear" w:color="auto" w:fill="EEF3FA"/>
          </w:tcPr>
          <w:p>
            <w:pPr>
              <w:spacing w:after="40" w:before="40"/>
            </w:pPr>
            <w:r>
              <w:rPr>
                <w:rFonts w:ascii="Calibri" w:hAnsi="Calibri"/>
                <w:b w:val="0"/>
                <w:sz w:val="20"/>
              </w:rPr>
              <w:t>CIBC Mellon</w:t>
            </w:r>
          </w:p>
        </w:tc>
        <w:tc>
          <w:tcPr>
            <w:tcW w:type="dxa" w:w="3250"/>
            <w:shd w:val="clear" w:color="auto" w:fill="EEF3FA"/>
          </w:tcPr>
          <w:p>
            <w:pPr>
              <w:spacing w:after="40" w:before="40"/>
            </w:pPr>
            <w:r>
              <w:rPr>
                <w:rFonts w:ascii="Calibri" w:hAnsi="Calibri"/>
                <w:b w:val="0"/>
                <w:sz w:val="20"/>
              </w:rPr>
              <w:t>No material public news this month.</w:t>
            </w:r>
          </w:p>
        </w:tc>
        <w:tc>
          <w:tcPr>
            <w:tcW w:type="dxa" w:w="3250"/>
            <w:shd w:val="clear" w:color="auto" w:fill="EEF3FA"/>
          </w:tcPr>
          <w:p>
            <w:pPr>
              <w:spacing w:after="40" w:before="40"/>
            </w:pPr>
            <w:r>
              <w:rPr>
                <w:rFonts w:ascii="Calibri" w:hAnsi="Calibri"/>
                <w:b w:val="0"/>
                <w:sz w:val="20"/>
              </w:rPr>
              <w:t>—</w:t>
            </w:r>
          </w:p>
        </w:tc>
      </w:tr>
      <w:tr>
        <w:tc>
          <w:tcPr>
            <w:tcW w:type="dxa" w:w="3250"/>
          </w:tcPr>
          <w:p>
            <w:pPr>
              <w:spacing w:after="40" w:before="40"/>
            </w:pPr>
            <w:r>
              <w:rPr>
                <w:rFonts w:ascii="Calibri" w:hAnsi="Calibri"/>
                <w:b w:val="0"/>
                <w:sz w:val="20"/>
              </w:rPr>
              <w:t>Coinbase Custody (Coinbase Prime)</w:t>
            </w:r>
          </w:p>
        </w:tc>
        <w:tc>
          <w:tcPr>
            <w:tcW w:type="dxa" w:w="3250"/>
          </w:tcPr>
          <w:p>
            <w:pPr>
              <w:spacing w:after="40" w:before="40"/>
            </w:pPr>
            <w:r>
              <w:rPr>
                <w:rFonts w:ascii="Calibri" w:hAnsi="Calibri"/>
                <w:b w:val="0"/>
                <w:sz w:val="20"/>
              </w:rPr>
              <w:t>Expanded institutional custody client base following SEC revised qualified custodian guidance; added support for additional digital asset protocols.</w:t>
            </w:r>
          </w:p>
        </w:tc>
        <w:tc>
          <w:tcPr>
            <w:tcW w:type="dxa" w:w="3250"/>
          </w:tcPr>
          <w:p>
            <w:pPr>
              <w:spacing w:after="40" w:before="40"/>
            </w:pPr>
            <w:r>
              <w:rPr>
                <w:rFonts w:ascii="Calibri" w:hAnsi="Calibri"/>
                <w:b w:val="0"/>
                <w:sz w:val="20"/>
              </w:rPr>
              <w:t>Benefits directly from the more accommodative US regulatory environment for bank and broker-dealer crypto custody.</w:t>
            </w:r>
          </w:p>
        </w:tc>
      </w:tr>
      <w:tr>
        <w:tc>
          <w:tcPr>
            <w:tcW w:type="dxa" w:w="3250"/>
            <w:shd w:val="clear" w:color="auto" w:fill="EEF3FA"/>
          </w:tcPr>
          <w:p>
            <w:pPr>
              <w:spacing w:after="40" w:before="40"/>
            </w:pPr>
            <w:r>
              <w:rPr>
                <w:rFonts w:ascii="Calibri" w:hAnsi="Calibri"/>
                <w:b w:val="0"/>
                <w:sz w:val="20"/>
              </w:rPr>
              <w:t>BitGo</w:t>
            </w:r>
          </w:p>
        </w:tc>
        <w:tc>
          <w:tcPr>
            <w:tcW w:type="dxa" w:w="3250"/>
            <w:shd w:val="clear" w:color="auto" w:fill="EEF3FA"/>
          </w:tcPr>
          <w:p>
            <w:pPr>
              <w:spacing w:after="40" w:before="40"/>
            </w:pPr>
            <w:r>
              <w:rPr>
                <w:rFonts w:ascii="Calibri" w:hAnsi="Calibri"/>
                <w:b w:val="0"/>
                <w:sz w:val="20"/>
              </w:rPr>
              <w:t>Received approval for a trust charter expansion in the US; announced new insurance coverage arrangements for custodied digital assets.</w:t>
            </w:r>
          </w:p>
        </w:tc>
        <w:tc>
          <w:tcPr>
            <w:tcW w:type="dxa" w:w="3250"/>
            <w:shd w:val="clear" w:color="auto" w:fill="EEF3FA"/>
          </w:tcPr>
          <w:p>
            <w:pPr>
              <w:spacing w:after="40" w:before="40"/>
            </w:pPr>
            <w:r>
              <w:rPr>
                <w:rFonts w:ascii="Calibri" w:hAnsi="Calibri"/>
                <w:b w:val="0"/>
                <w:sz w:val="20"/>
              </w:rPr>
              <w:t>Strengthens BitGo's positioning as a regulated, insured institutional digital asset custodian competing with traditional players.</w:t>
            </w:r>
          </w:p>
        </w:tc>
      </w:tr>
      <w:tr>
        <w:tc>
          <w:tcPr>
            <w:tcW w:type="dxa" w:w="3250"/>
          </w:tcPr>
          <w:p>
            <w:pPr>
              <w:spacing w:after="40" w:before="40"/>
            </w:pPr>
            <w:r>
              <w:rPr>
                <w:rFonts w:ascii="Calibri" w:hAnsi="Calibri"/>
                <w:b w:val="0"/>
                <w:sz w:val="20"/>
              </w:rPr>
              <w:t>Fidelity Digital Assets</w:t>
            </w:r>
          </w:p>
        </w:tc>
        <w:tc>
          <w:tcPr>
            <w:tcW w:type="dxa" w:w="3250"/>
          </w:tcPr>
          <w:p>
            <w:pPr>
              <w:spacing w:after="40" w:before="40"/>
            </w:pPr>
            <w:r>
              <w:rPr>
                <w:rFonts w:ascii="Calibri" w:hAnsi="Calibri"/>
                <w:b w:val="0"/>
                <w:sz w:val="20"/>
              </w:rPr>
              <w:t>Confirmed plans to expand institutional crypto custody services in response to SEC guidance; added support for tokenised money market products.</w:t>
            </w:r>
          </w:p>
        </w:tc>
        <w:tc>
          <w:tcPr>
            <w:tcW w:type="dxa" w:w="3250"/>
          </w:tcPr>
          <w:p>
            <w:pPr>
              <w:spacing w:after="40" w:before="40"/>
            </w:pPr>
            <w:r>
              <w:rPr>
                <w:rFonts w:ascii="Calibri" w:hAnsi="Calibri"/>
                <w:b w:val="0"/>
                <w:sz w:val="20"/>
              </w:rPr>
              <w:t>Fidelity's scale and brand recognition make it a formidable competitor to both pure-play and traditional custodians in the digital space.</w:t>
            </w:r>
          </w:p>
        </w:tc>
      </w:tr>
      <w:tr>
        <w:tc>
          <w:tcPr>
            <w:tcW w:type="dxa" w:w="3250"/>
            <w:shd w:val="clear" w:color="auto" w:fill="EEF3FA"/>
          </w:tcPr>
          <w:p>
            <w:pPr>
              <w:spacing w:after="40" w:before="40"/>
            </w:pPr>
            <w:r>
              <w:rPr>
                <w:rFonts w:ascii="Calibri" w:hAnsi="Calibri"/>
                <w:b w:val="0"/>
                <w:sz w:val="20"/>
              </w:rPr>
              <w:t>Anchorage Digital</w:t>
            </w:r>
          </w:p>
        </w:tc>
        <w:tc>
          <w:tcPr>
            <w:tcW w:type="dxa" w:w="3250"/>
            <w:shd w:val="clear" w:color="auto" w:fill="EEF3FA"/>
          </w:tcPr>
          <w:p>
            <w:pPr>
              <w:spacing w:after="40" w:before="40"/>
            </w:pPr>
            <w:r>
              <w:rPr>
                <w:rFonts w:ascii="Calibri" w:hAnsi="Calibri"/>
                <w:b w:val="0"/>
                <w:sz w:val="20"/>
              </w:rPr>
              <w:t>Expanded OCC-regulated digital bank services with new staking and governance features for institutional custody clients.</w:t>
            </w:r>
          </w:p>
        </w:tc>
        <w:tc>
          <w:tcPr>
            <w:tcW w:type="dxa" w:w="3250"/>
            <w:shd w:val="clear" w:color="auto" w:fill="EEF3FA"/>
          </w:tcPr>
          <w:p>
            <w:pPr>
              <w:spacing w:after="40" w:before="40"/>
            </w:pPr>
            <w:r>
              <w:rPr>
                <w:rFonts w:ascii="Calibri" w:hAnsi="Calibri"/>
                <w:b w:val="0"/>
                <w:sz w:val="20"/>
              </w:rPr>
              <w:t>Differentiates Anchorage through its unique federal bank charter and broadening service capabilities.</w:t>
            </w:r>
          </w:p>
        </w:tc>
      </w:tr>
      <w:tr>
        <w:tc>
          <w:tcPr>
            <w:tcW w:type="dxa" w:w="3250"/>
          </w:tcPr>
          <w:p>
            <w:pPr>
              <w:spacing w:after="40" w:before="40"/>
            </w:pPr>
            <w:r>
              <w:rPr>
                <w:rFonts w:ascii="Calibri" w:hAnsi="Calibri"/>
                <w:b w:val="0"/>
                <w:sz w:val="20"/>
              </w:rPr>
              <w:t>Fireblocks</w:t>
            </w:r>
          </w:p>
        </w:tc>
        <w:tc>
          <w:tcPr>
            <w:tcW w:type="dxa" w:w="3250"/>
          </w:tcPr>
          <w:p>
            <w:pPr>
              <w:spacing w:after="40" w:before="40"/>
            </w:pPr>
            <w:r>
              <w:rPr>
                <w:rFonts w:ascii="Calibri" w:hAnsi="Calibri"/>
                <w:b w:val="0"/>
                <w:sz w:val="20"/>
              </w:rPr>
              <w:t>Announced new integrations with three major global custodians for institutional wallet infrastructure and MPC-based key management.</w:t>
            </w:r>
          </w:p>
        </w:tc>
        <w:tc>
          <w:tcPr>
            <w:tcW w:type="dxa" w:w="3250"/>
          </w:tcPr>
          <w:p>
            <w:pPr>
              <w:spacing w:after="40" w:before="40"/>
            </w:pPr>
            <w:r>
              <w:rPr>
                <w:rFonts w:ascii="Calibri" w:hAnsi="Calibri"/>
                <w:b w:val="0"/>
                <w:sz w:val="20"/>
              </w:rPr>
              <w:t>Reinforces Fireblocks's role as the infrastructure layer connecting traditional custodians to digital asset ecosystems.</w:t>
            </w:r>
          </w:p>
        </w:tc>
      </w:tr>
      <w:tr>
        <w:tc>
          <w:tcPr>
            <w:tcW w:type="dxa" w:w="3250"/>
            <w:shd w:val="clear" w:color="auto" w:fill="EEF3FA"/>
          </w:tcPr>
          <w:p>
            <w:pPr>
              <w:spacing w:after="40" w:before="40"/>
            </w:pPr>
            <w:r>
              <w:rPr>
                <w:rFonts w:ascii="Calibri" w:hAnsi="Calibri"/>
                <w:b w:val="0"/>
                <w:sz w:val="20"/>
              </w:rPr>
              <w:t>Copper</w:t>
            </w:r>
          </w:p>
        </w:tc>
        <w:tc>
          <w:tcPr>
            <w:tcW w:type="dxa" w:w="3250"/>
            <w:shd w:val="clear" w:color="auto" w:fill="EEF3FA"/>
          </w:tcPr>
          <w:p>
            <w:pPr>
              <w:spacing w:after="40" w:before="40"/>
            </w:pPr>
            <w:r>
              <w:rPr>
                <w:rFonts w:ascii="Calibri" w:hAnsi="Calibri"/>
                <w:b w:val="0"/>
                <w:sz w:val="20"/>
              </w:rPr>
              <w:t>Continued expansion of ClearLoop off-exchange settlement network with additional crypto exchange integrations.</w:t>
            </w:r>
          </w:p>
        </w:tc>
        <w:tc>
          <w:tcPr>
            <w:tcW w:type="dxa" w:w="3250"/>
            <w:shd w:val="clear" w:color="auto" w:fill="EEF3FA"/>
          </w:tcPr>
          <w:p>
            <w:pPr>
              <w:spacing w:after="40" w:before="40"/>
            </w:pPr>
            <w:r>
              <w:rPr>
                <w:rFonts w:ascii="Calibri" w:hAnsi="Calibri"/>
                <w:b w:val="0"/>
                <w:sz w:val="20"/>
              </w:rPr>
              <w:t>Strengthens Copper's value proposition for institutional investors seeking to reduce counterparty risk in crypto trading.</w:t>
            </w:r>
          </w:p>
        </w:tc>
      </w:tr>
      <w:tr>
        <w:tc>
          <w:tcPr>
            <w:tcW w:type="dxa" w:w="3250"/>
          </w:tcPr>
          <w:p>
            <w:pPr>
              <w:spacing w:after="40" w:before="40"/>
            </w:pPr>
            <w:r>
              <w:rPr>
                <w:rFonts w:ascii="Calibri" w:hAnsi="Calibri"/>
                <w:b w:val="0"/>
                <w:sz w:val="20"/>
              </w:rPr>
              <w:t>Komainu</w:t>
            </w:r>
          </w:p>
        </w:tc>
        <w:tc>
          <w:tcPr>
            <w:tcW w:type="dxa" w:w="3250"/>
          </w:tcPr>
          <w:p>
            <w:pPr>
              <w:spacing w:after="40" w:before="40"/>
            </w:pPr>
            <w:r>
              <w:rPr>
                <w:rFonts w:ascii="Calibri" w:hAnsi="Calibri"/>
                <w:b w:val="0"/>
                <w:sz w:val="20"/>
              </w:rPr>
              <w:t>Expanded regulated digital asset custody services in the Middle East and Asia-Pacific following new licensing approvals.</w:t>
            </w:r>
          </w:p>
        </w:tc>
        <w:tc>
          <w:tcPr>
            <w:tcW w:type="dxa" w:w="3250"/>
          </w:tcPr>
          <w:p>
            <w:pPr>
              <w:spacing w:after="40" w:before="40"/>
            </w:pPr>
            <w:r>
              <w:rPr>
                <w:rFonts w:ascii="Calibri" w:hAnsi="Calibri"/>
                <w:b w:val="0"/>
                <w:sz w:val="20"/>
              </w:rPr>
              <w:t>Joint venture of Nomura, CoinShares, and Ledger gains geographic breadth in high-growth institutional crypto markets.</w:t>
            </w:r>
          </w:p>
        </w:tc>
      </w:tr>
      <w:tr>
        <w:tc>
          <w:tcPr>
            <w:tcW w:type="dxa" w:w="3250"/>
            <w:shd w:val="clear" w:color="auto" w:fill="EEF3FA"/>
          </w:tcPr>
          <w:p>
            <w:pPr>
              <w:spacing w:after="40" w:before="40"/>
            </w:pPr>
            <w:r>
              <w:rPr>
                <w:rFonts w:ascii="Calibri" w:hAnsi="Calibri"/>
                <w:b w:val="0"/>
                <w:sz w:val="20"/>
              </w:rPr>
              <w:t>Zodia Custody</w:t>
            </w:r>
          </w:p>
        </w:tc>
        <w:tc>
          <w:tcPr>
            <w:tcW w:type="dxa" w:w="3250"/>
            <w:shd w:val="clear" w:color="auto" w:fill="EEF3FA"/>
          </w:tcPr>
          <w:p>
            <w:pPr>
              <w:spacing w:after="40" w:before="40"/>
            </w:pPr>
            <w:r>
              <w:rPr>
                <w:rFonts w:ascii="Calibri" w:hAnsi="Calibri"/>
                <w:b w:val="0"/>
                <w:sz w:val="20"/>
              </w:rPr>
              <w:t>No material public news this month.</w:t>
            </w:r>
          </w:p>
        </w:tc>
        <w:tc>
          <w:tcPr>
            <w:tcW w:type="dxa" w:w="3250"/>
            <w:shd w:val="clear" w:color="auto" w:fill="EEF3FA"/>
          </w:tcPr>
          <w:p>
            <w:pPr>
              <w:spacing w:after="40" w:before="40"/>
            </w:pPr>
            <w:r>
              <w:rPr>
                <w:rFonts w:ascii="Calibri" w:hAnsi="Calibri"/>
                <w:b w:val="0"/>
                <w:sz w:val="20"/>
              </w:rPr>
              <w:t>—</w:t>
            </w:r>
          </w:p>
        </w:tc>
      </w:tr>
      <w:tr>
        <w:tc>
          <w:tcPr>
            <w:tcW w:type="dxa" w:w="3250"/>
          </w:tcPr>
          <w:p>
            <w:pPr>
              <w:spacing w:after="40" w:before="40"/>
            </w:pPr>
            <w:r>
              <w:rPr>
                <w:rFonts w:ascii="Calibri" w:hAnsi="Calibri"/>
                <w:b w:val="0"/>
                <w:sz w:val="20"/>
              </w:rPr>
              <w:t>NYDIG</w:t>
            </w:r>
          </w:p>
        </w:tc>
        <w:tc>
          <w:tcPr>
            <w:tcW w:type="dxa" w:w="3250"/>
          </w:tcPr>
          <w:p>
            <w:pPr>
              <w:spacing w:after="40" w:before="40"/>
            </w:pPr>
            <w:r>
              <w:rPr>
                <w:rFonts w:ascii="Calibri" w:hAnsi="Calibri"/>
                <w:b w:val="0"/>
                <w:sz w:val="20"/>
              </w:rPr>
              <w:t>Focused on Bitcoin-collateralised lending products for institutional clients; expanded banking partnerships for bitcoin custody.</w:t>
            </w:r>
          </w:p>
        </w:tc>
        <w:tc>
          <w:tcPr>
            <w:tcW w:type="dxa" w:w="3250"/>
          </w:tcPr>
          <w:p>
            <w:pPr>
              <w:spacing w:after="40" w:before="40"/>
            </w:pPr>
            <w:r>
              <w:rPr>
                <w:rFonts w:ascii="Calibri" w:hAnsi="Calibri"/>
                <w:b w:val="0"/>
                <w:sz w:val="20"/>
              </w:rPr>
              <w:t>Reinforces NYDIG's niche as a Bitcoin-specialist institutional platform bridging traditional finance and crypto.</w:t>
            </w:r>
          </w:p>
        </w:tc>
      </w:tr>
      <w:tr>
        <w:tc>
          <w:tcPr>
            <w:tcW w:type="dxa" w:w="3250"/>
            <w:shd w:val="clear" w:color="auto" w:fill="EEF3FA"/>
          </w:tcPr>
          <w:p>
            <w:pPr>
              <w:spacing w:after="40" w:before="40"/>
            </w:pPr>
            <w:r>
              <w:rPr>
                <w:rFonts w:ascii="Calibri" w:hAnsi="Calibri"/>
                <w:b w:val="0"/>
                <w:sz w:val="20"/>
              </w:rPr>
              <w:t>Taurus</w:t>
            </w:r>
          </w:p>
        </w:tc>
        <w:tc>
          <w:tcPr>
            <w:tcW w:type="dxa" w:w="3250"/>
            <w:shd w:val="clear" w:color="auto" w:fill="EEF3FA"/>
          </w:tcPr>
          <w:p>
            <w:pPr>
              <w:spacing w:after="40" w:before="40"/>
            </w:pPr>
            <w:r>
              <w:rPr>
                <w:rFonts w:ascii="Calibri" w:hAnsi="Calibri"/>
                <w:b w:val="0"/>
                <w:sz w:val="20"/>
              </w:rPr>
              <w:t>Deepened partnership with Deutsche Bank for tokenised securities issuance and custody infrastructure across European markets.</w:t>
            </w:r>
          </w:p>
        </w:tc>
        <w:tc>
          <w:tcPr>
            <w:tcW w:type="dxa" w:w="3250"/>
            <w:shd w:val="clear" w:color="auto" w:fill="EEF3FA"/>
          </w:tcPr>
          <w:p>
            <w:pPr>
              <w:spacing w:after="40" w:before="40"/>
            </w:pPr>
            <w:r>
              <w:rPr>
                <w:rFonts w:ascii="Calibri" w:hAnsi="Calibri"/>
                <w:b w:val="0"/>
                <w:sz w:val="20"/>
              </w:rPr>
              <w:t>Positions Taurus as a key technology partner for European banks entering the digital securities space.</w:t>
            </w:r>
          </w:p>
        </w:tc>
      </w:tr>
      <w:tr>
        <w:tc>
          <w:tcPr>
            <w:tcW w:type="dxa" w:w="3250"/>
          </w:tcPr>
          <w:p>
            <w:pPr>
              <w:spacing w:after="40" w:before="40"/>
            </w:pPr>
            <w:r>
              <w:rPr>
                <w:rFonts w:ascii="Calibri" w:hAnsi="Calibri"/>
                <w:b w:val="0"/>
                <w:sz w:val="20"/>
              </w:rPr>
              <w:t>Kraken</w:t>
            </w:r>
          </w:p>
        </w:tc>
        <w:tc>
          <w:tcPr>
            <w:tcW w:type="dxa" w:w="3250"/>
          </w:tcPr>
          <w:p>
            <w:pPr>
              <w:spacing w:after="40" w:before="40"/>
            </w:pPr>
            <w:r>
              <w:rPr>
                <w:rFonts w:ascii="Calibri" w:hAnsi="Calibri"/>
                <w:b w:val="0"/>
                <w:sz w:val="20"/>
              </w:rPr>
              <w:t>Advanced preparations for a potential IPO or direct listing, bolstering institutional custody and staking services ahead of a public market debut.</w:t>
            </w:r>
          </w:p>
        </w:tc>
        <w:tc>
          <w:tcPr>
            <w:tcW w:type="dxa" w:w="3250"/>
          </w:tcPr>
          <w:p>
            <w:pPr>
              <w:spacing w:after="40" w:before="40"/>
            </w:pPr>
            <w:r>
              <w:rPr>
                <w:rFonts w:ascii="Calibri" w:hAnsi="Calibri"/>
                <w:b w:val="0"/>
                <w:sz w:val="20"/>
              </w:rPr>
              <w:t>A Kraken IPO would mark a significant moment for the crypto industry and expand the pool of publicly listed digital asset custodians.</w:t>
            </w:r>
          </w:p>
        </w:tc>
      </w:tr>
    </w:tbl>
    <w:p/>
    <w:p>
      <w:pPr>
        <w:jc w:val="center"/>
      </w:pPr>
      <w:r>
        <w:rPr>
          <w:rFonts w:ascii="Calibri" w:hAnsi="Calibri"/>
          <w:i/>
          <w:color w:val="888888"/>
          <w:sz w:val="16"/>
        </w:rPr>
        <w:t>This document is confidential and intended solely for the RBC Investor Services Senior Management Team. Do not distribute.</w:t>
      </w:r>
    </w:p>
    <w:sectPr w:rsidR="00E71C96" w:rsidRPr="00E15B30" w:rsidSect="00AA3776">
      <w:footerReference w:type="first" r:id="rId8"/>
      <w:pgSz w:w="11909" w:h="16834" w:code="9"/>
      <w:pgMar w:top="1080" w:right="1080" w:bottom="562" w:left="1080" w:header="0" w:footer="432" w:gutter="0"/>
      <w:pgBorders w:offsetFrom="page">
        <w:top w:val="single" w:sz="2" w:space="18" w:color="002159"/>
        <w:left w:val="single" w:sz="2" w:space="18" w:color="002159"/>
        <w:bottom w:val="single" w:sz="2" w:space="18" w:color="002159"/>
        <w:right w:val="single" w:sz="2" w:space="18" w:color="002159"/>
      </w:pgBorders>
      <w:pgNumType w:fmt="lowerRoman"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8EBA7" w14:textId="77777777" w:rsidR="00C02A6A" w:rsidRDefault="00C02A6A">
      <w:r>
        <w:separator/>
      </w:r>
    </w:p>
    <w:p w14:paraId="085563AF" w14:textId="77777777" w:rsidR="00C02A6A" w:rsidRDefault="00C02A6A"/>
    <w:p w14:paraId="4EDDD97C" w14:textId="77777777" w:rsidR="00C02A6A" w:rsidRDefault="00C02A6A"/>
  </w:endnote>
  <w:endnote w:type="continuationSeparator" w:id="0">
    <w:p w14:paraId="3D54E17F" w14:textId="77777777" w:rsidR="00C02A6A" w:rsidRDefault="00C02A6A">
      <w:r>
        <w:continuationSeparator/>
      </w:r>
    </w:p>
    <w:p w14:paraId="7C5BAB43" w14:textId="77777777" w:rsidR="00C02A6A" w:rsidRDefault="00C02A6A"/>
    <w:p w14:paraId="63C61948" w14:textId="77777777" w:rsidR="00C02A6A" w:rsidRDefault="00C02A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old">
    <w:altName w:val="Times New Roman"/>
    <w:panose1 w:val="020B0704020202020204"/>
    <w:charset w:val="00"/>
    <w:family w:val="swiss"/>
    <w:pitch w:val="default"/>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embedRegular r:id="rId1" w:fontKey="{6747D7DF-3D6A-4ED2-AAC8-D3BA8B1D5C25}"/>
    <w:embedBold r:id="rId2" w:fontKey="{3454AD14-499D-4863-A694-692B1ADC694F}"/>
    <w:embedItalic r:id="rId3" w:fontKey="{781E6330-149F-411B-9735-59DF1E9C6AC7}"/>
  </w:font>
  <w:font w:name="Century Gothic">
    <w:panose1 w:val="020B0502020202020204"/>
    <w:charset w:val="00"/>
    <w:family w:val="swiss"/>
    <w:pitch w:val="variable"/>
    <w:sig w:usb0="00000287" w:usb1="00000000" w:usb2="00000000" w:usb3="00000000" w:csb0="0000009F" w:csb1="00000000"/>
    <w:embedRegular r:id="rId4" w:fontKey="{D252A5BB-800E-45C5-A3D6-74B880434F06}"/>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5" w:fontKey="{5FFF8507-1812-43FD-B3B6-FCE8389267C5}"/>
  </w:font>
  <w:font w:name="Arial Black">
    <w:panose1 w:val="020B0A04020102020204"/>
    <w:charset w:val="00"/>
    <w:family w:val="swiss"/>
    <w:pitch w:val="variable"/>
    <w:sig w:usb0="A00002AF" w:usb1="400078FB" w:usb2="00000000" w:usb3="00000000" w:csb0="0000009F" w:csb1="00000000"/>
    <w:embedRegular r:id="rId6" w:fontKey="{BB4AD9BD-E88A-4869-B5B9-C5B7C74BC6F5}"/>
  </w:font>
  <w:font w:name="Georgia">
    <w:panose1 w:val="02040502050405020303"/>
    <w:charset w:val="00"/>
    <w:family w:val="roman"/>
    <w:pitch w:val="variable"/>
    <w:sig w:usb0="00000287" w:usb1="00000000" w:usb2="00000000" w:usb3="00000000" w:csb0="0000009F" w:csb1="00000000"/>
    <w:embedBoldItalic r:id="rId7" w:fontKey="{3E708344-5C7E-4DC6-965D-F2C9BDEF92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4F06D" w14:textId="69824C84" w:rsidR="004F69BC" w:rsidRPr="00E4290C" w:rsidRDefault="004F69BC" w:rsidP="00E4290C">
    <w:pPr>
      <w:pStyle w:val="FooterBackcover"/>
      <w:spacing w:after="180"/>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BE78E6" w14:textId="77777777" w:rsidR="00C02A6A" w:rsidRDefault="00C02A6A" w:rsidP="00494966">
      <w:pPr>
        <w:pStyle w:val="FootnoteSeparator"/>
      </w:pPr>
    </w:p>
    <w:p w14:paraId="4B31063E" w14:textId="77777777" w:rsidR="00C02A6A" w:rsidRDefault="00C02A6A"/>
    <w:p w14:paraId="32C94793" w14:textId="77777777" w:rsidR="00C02A6A" w:rsidRDefault="00C02A6A"/>
  </w:footnote>
  <w:footnote w:type="continuationSeparator" w:id="0">
    <w:p w14:paraId="147C50A4" w14:textId="77777777" w:rsidR="00C02A6A" w:rsidRDefault="00C02A6A">
      <w:r>
        <w:continuationSeparator/>
      </w:r>
    </w:p>
    <w:p w14:paraId="002E624C" w14:textId="77777777" w:rsidR="00C02A6A" w:rsidRDefault="00C02A6A"/>
    <w:p w14:paraId="0E7DB25D" w14:textId="77777777" w:rsidR="00C02A6A" w:rsidRDefault="00C02A6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EF83E62"/>
    <w:lvl w:ilvl="0">
      <w:start w:val="1"/>
      <w:numFmt w:val="decimal"/>
      <w:pStyle w:val="ListNumber5"/>
      <w:lvlText w:val="%1."/>
      <w:lvlJc w:val="left"/>
      <w:pPr>
        <w:tabs>
          <w:tab w:val="num" w:pos="1492"/>
        </w:tabs>
        <w:ind w:left="1492" w:hanging="360"/>
      </w:pPr>
    </w:lvl>
  </w:abstractNum>
  <w:abstractNum w:abstractNumId="1" w15:restartNumberingAfterBreak="0">
    <w:nsid w:val="FFFFFF7E"/>
    <w:multiLevelType w:val="singleLevel"/>
    <w:tmpl w:val="9CFC16B4"/>
    <w:lvl w:ilvl="0">
      <w:start w:val="1"/>
      <w:numFmt w:val="decimal"/>
      <w:pStyle w:val="ListNumber3"/>
      <w:lvlText w:val="%1."/>
      <w:lvlJc w:val="left"/>
      <w:pPr>
        <w:tabs>
          <w:tab w:val="num" w:pos="926"/>
        </w:tabs>
        <w:ind w:left="926" w:hanging="360"/>
      </w:pPr>
    </w:lvl>
  </w:abstractNum>
  <w:abstractNum w:abstractNumId="2" w15:restartNumberingAfterBreak="0">
    <w:nsid w:val="FFFFFF7F"/>
    <w:multiLevelType w:val="singleLevel"/>
    <w:tmpl w:val="317A77E2"/>
    <w:lvl w:ilvl="0">
      <w:start w:val="1"/>
      <w:numFmt w:val="decimal"/>
      <w:pStyle w:val="ListNumber2"/>
      <w:lvlText w:val="%1."/>
      <w:lvlJc w:val="left"/>
      <w:pPr>
        <w:tabs>
          <w:tab w:val="num" w:pos="643"/>
        </w:tabs>
        <w:ind w:left="643" w:hanging="360"/>
      </w:pPr>
    </w:lvl>
  </w:abstractNum>
  <w:abstractNum w:abstractNumId="3" w15:restartNumberingAfterBreak="0">
    <w:nsid w:val="FFFFFF80"/>
    <w:multiLevelType w:val="singleLevel"/>
    <w:tmpl w:val="765AE9E0"/>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619AA81A"/>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0EE6481D"/>
    <w:multiLevelType w:val="multilevel"/>
    <w:tmpl w:val="9272BB36"/>
    <w:styleLink w:val="111111"/>
    <w:lvl w:ilvl="0">
      <w:start w:val="1"/>
      <w:numFmt w:val="decimal"/>
      <w:lvlText w:val="%1."/>
      <w:lvlJc w:val="left"/>
      <w:pPr>
        <w:tabs>
          <w:tab w:val="num" w:pos="720"/>
        </w:tabs>
        <w:ind w:left="720" w:hanging="360"/>
      </w:pPr>
      <w:rPr>
        <w:rFonts w:ascii="Arial" w:hAnsi="Arial"/>
        <w:color w:val="002144"/>
        <w:sz w:val="36"/>
      </w:rPr>
    </w:lvl>
    <w:lvl w:ilvl="1">
      <w:start w:val="1"/>
      <w:numFmt w:val="decimal"/>
      <w:lvlText w:val="%1.%2."/>
      <w:lvlJc w:val="left"/>
      <w:pPr>
        <w:tabs>
          <w:tab w:val="num" w:pos="1152"/>
        </w:tabs>
        <w:ind w:left="1152" w:hanging="432"/>
      </w:pPr>
      <w:rPr>
        <w:rFonts w:hint="default"/>
        <w:sz w:val="25"/>
      </w:rPr>
    </w:lvl>
    <w:lvl w:ilvl="2">
      <w:start w:val="1"/>
      <w:numFmt w:val="decimal"/>
      <w:lvlText w:val="%1.%2.%3."/>
      <w:lvlJc w:val="left"/>
      <w:pPr>
        <w:tabs>
          <w:tab w:val="num" w:pos="1584"/>
        </w:tabs>
        <w:ind w:left="1584" w:hanging="504"/>
      </w:pPr>
      <w:rPr>
        <w:rFonts w:hint="default"/>
      </w:rPr>
    </w:lvl>
    <w:lvl w:ilvl="3">
      <w:start w:val="1"/>
      <w:numFmt w:val="decimal"/>
      <w:lvlText w:val="%1.%2.%3.%4."/>
      <w:lvlJc w:val="left"/>
      <w:pPr>
        <w:tabs>
          <w:tab w:val="num" w:pos="2088"/>
        </w:tabs>
        <w:ind w:left="2088" w:hanging="648"/>
      </w:pPr>
      <w:rPr>
        <w:rFonts w:hint="default"/>
      </w:rPr>
    </w:lvl>
    <w:lvl w:ilvl="4">
      <w:start w:val="1"/>
      <w:numFmt w:val="decimal"/>
      <w:lvlText w:val="%1.%2.%3.%4.%5."/>
      <w:lvlJc w:val="left"/>
      <w:pPr>
        <w:tabs>
          <w:tab w:val="num" w:pos="2592"/>
        </w:tabs>
        <w:ind w:left="2592" w:hanging="792"/>
      </w:pPr>
      <w:rPr>
        <w:rFonts w:hint="default"/>
      </w:rPr>
    </w:lvl>
    <w:lvl w:ilvl="5">
      <w:start w:val="1"/>
      <w:numFmt w:val="decimal"/>
      <w:lvlText w:val="%1.%2.%3.%4.%5.%6."/>
      <w:lvlJc w:val="left"/>
      <w:pPr>
        <w:tabs>
          <w:tab w:val="num" w:pos="3096"/>
        </w:tabs>
        <w:ind w:left="3096" w:hanging="936"/>
      </w:pPr>
      <w:rPr>
        <w:rFonts w:hint="default"/>
      </w:rPr>
    </w:lvl>
    <w:lvl w:ilvl="6">
      <w:start w:val="1"/>
      <w:numFmt w:val="decimal"/>
      <w:lvlText w:val="%1.%2.%3.%4.%5.%6.%7."/>
      <w:lvlJc w:val="left"/>
      <w:pPr>
        <w:tabs>
          <w:tab w:val="num" w:pos="3600"/>
        </w:tabs>
        <w:ind w:left="3600" w:hanging="1080"/>
      </w:pPr>
      <w:rPr>
        <w:rFonts w:hint="default"/>
      </w:rPr>
    </w:lvl>
    <w:lvl w:ilvl="7">
      <w:start w:val="1"/>
      <w:numFmt w:val="decimal"/>
      <w:lvlText w:val="%1.%2.%3.%4.%5.%6.%7.%8."/>
      <w:lvlJc w:val="left"/>
      <w:pPr>
        <w:tabs>
          <w:tab w:val="num" w:pos="4104"/>
        </w:tabs>
        <w:ind w:left="4104" w:hanging="1224"/>
      </w:pPr>
      <w:rPr>
        <w:rFonts w:hint="default"/>
      </w:rPr>
    </w:lvl>
    <w:lvl w:ilvl="8">
      <w:start w:val="1"/>
      <w:numFmt w:val="decimal"/>
      <w:lvlText w:val="%1.%2.%3.%4.%5.%6.%7.%8.%9."/>
      <w:lvlJc w:val="left"/>
      <w:pPr>
        <w:tabs>
          <w:tab w:val="num" w:pos="4680"/>
        </w:tabs>
        <w:ind w:left="4680" w:hanging="1440"/>
      </w:pPr>
      <w:rPr>
        <w:rFonts w:hint="default"/>
      </w:rPr>
    </w:lvl>
  </w:abstractNum>
  <w:abstractNum w:abstractNumId="6" w15:restartNumberingAfterBreak="0">
    <w:nsid w:val="14F94586"/>
    <w:multiLevelType w:val="hybridMultilevel"/>
    <w:tmpl w:val="671E8414"/>
    <w:lvl w:ilvl="0" w:tplc="BA62B44E">
      <w:start w:val="1"/>
      <w:numFmt w:val="upperLetter"/>
      <w:pStyle w:val="List"/>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DD7F2F"/>
    <w:multiLevelType w:val="hybridMultilevel"/>
    <w:tmpl w:val="3FCCCD1A"/>
    <w:lvl w:ilvl="0" w:tplc="F8927B7A">
      <w:start w:val="1"/>
      <w:numFmt w:val="bullet"/>
      <w:pStyle w:val="ListBullet2"/>
      <w:lvlText w:val=""/>
      <w:lvlJc w:val="left"/>
      <w:pPr>
        <w:tabs>
          <w:tab w:val="num" w:pos="680"/>
        </w:tabs>
        <w:ind w:left="680" w:hanging="340"/>
      </w:pPr>
      <w:rPr>
        <w:rFonts w:ascii="Wingdings" w:hAnsi="Wingdings" w:hint="default"/>
        <w:color w:val="8499A6"/>
        <w:sz w:val="20"/>
      </w:rPr>
    </w:lvl>
    <w:lvl w:ilvl="1" w:tplc="B0649FC8">
      <w:start w:val="1"/>
      <w:numFmt w:val="bullet"/>
      <w:lvlText w:val="o"/>
      <w:lvlJc w:val="left"/>
      <w:pPr>
        <w:tabs>
          <w:tab w:val="num" w:pos="2806"/>
        </w:tabs>
        <w:ind w:left="2806" w:hanging="360"/>
      </w:pPr>
      <w:rPr>
        <w:rFonts w:ascii="Courier New" w:hAnsi="Courier New" w:hint="default"/>
      </w:rPr>
    </w:lvl>
    <w:lvl w:ilvl="2" w:tplc="04090005" w:tentative="1">
      <w:start w:val="1"/>
      <w:numFmt w:val="bullet"/>
      <w:lvlText w:val=""/>
      <w:lvlJc w:val="left"/>
      <w:pPr>
        <w:tabs>
          <w:tab w:val="num" w:pos="3526"/>
        </w:tabs>
        <w:ind w:left="3526" w:hanging="360"/>
      </w:pPr>
      <w:rPr>
        <w:rFonts w:ascii="Wingdings" w:hAnsi="Wingdings" w:hint="default"/>
      </w:rPr>
    </w:lvl>
    <w:lvl w:ilvl="3" w:tplc="04090001" w:tentative="1">
      <w:start w:val="1"/>
      <w:numFmt w:val="bullet"/>
      <w:lvlText w:val=""/>
      <w:lvlJc w:val="left"/>
      <w:pPr>
        <w:tabs>
          <w:tab w:val="num" w:pos="4246"/>
        </w:tabs>
        <w:ind w:left="4246" w:hanging="360"/>
      </w:pPr>
      <w:rPr>
        <w:rFonts w:ascii="Symbol" w:hAnsi="Symbol" w:hint="default"/>
      </w:rPr>
    </w:lvl>
    <w:lvl w:ilvl="4" w:tplc="04090003" w:tentative="1">
      <w:start w:val="1"/>
      <w:numFmt w:val="bullet"/>
      <w:lvlText w:val="o"/>
      <w:lvlJc w:val="left"/>
      <w:pPr>
        <w:tabs>
          <w:tab w:val="num" w:pos="4966"/>
        </w:tabs>
        <w:ind w:left="4966" w:hanging="360"/>
      </w:pPr>
      <w:rPr>
        <w:rFonts w:ascii="Courier New" w:hAnsi="Courier New" w:hint="default"/>
      </w:rPr>
    </w:lvl>
    <w:lvl w:ilvl="5" w:tplc="04090005" w:tentative="1">
      <w:start w:val="1"/>
      <w:numFmt w:val="bullet"/>
      <w:lvlText w:val=""/>
      <w:lvlJc w:val="left"/>
      <w:pPr>
        <w:tabs>
          <w:tab w:val="num" w:pos="5686"/>
        </w:tabs>
        <w:ind w:left="5686" w:hanging="360"/>
      </w:pPr>
      <w:rPr>
        <w:rFonts w:ascii="Wingdings" w:hAnsi="Wingdings" w:hint="default"/>
      </w:rPr>
    </w:lvl>
    <w:lvl w:ilvl="6" w:tplc="04090001" w:tentative="1">
      <w:start w:val="1"/>
      <w:numFmt w:val="bullet"/>
      <w:lvlText w:val=""/>
      <w:lvlJc w:val="left"/>
      <w:pPr>
        <w:tabs>
          <w:tab w:val="num" w:pos="6406"/>
        </w:tabs>
        <w:ind w:left="6406" w:hanging="360"/>
      </w:pPr>
      <w:rPr>
        <w:rFonts w:ascii="Symbol" w:hAnsi="Symbol" w:hint="default"/>
      </w:rPr>
    </w:lvl>
    <w:lvl w:ilvl="7" w:tplc="04090003" w:tentative="1">
      <w:start w:val="1"/>
      <w:numFmt w:val="bullet"/>
      <w:lvlText w:val="o"/>
      <w:lvlJc w:val="left"/>
      <w:pPr>
        <w:tabs>
          <w:tab w:val="num" w:pos="7126"/>
        </w:tabs>
        <w:ind w:left="7126" w:hanging="360"/>
      </w:pPr>
      <w:rPr>
        <w:rFonts w:ascii="Courier New" w:hAnsi="Courier New" w:hint="default"/>
      </w:rPr>
    </w:lvl>
    <w:lvl w:ilvl="8" w:tplc="04090005" w:tentative="1">
      <w:start w:val="1"/>
      <w:numFmt w:val="bullet"/>
      <w:lvlText w:val=""/>
      <w:lvlJc w:val="left"/>
      <w:pPr>
        <w:tabs>
          <w:tab w:val="num" w:pos="7846"/>
        </w:tabs>
        <w:ind w:left="7846" w:hanging="360"/>
      </w:pPr>
      <w:rPr>
        <w:rFonts w:ascii="Wingdings" w:hAnsi="Wingdings" w:hint="default"/>
      </w:rPr>
    </w:lvl>
  </w:abstractNum>
  <w:abstractNum w:abstractNumId="8" w15:restartNumberingAfterBreak="0">
    <w:nsid w:val="196D1F1A"/>
    <w:multiLevelType w:val="hybridMultilevel"/>
    <w:tmpl w:val="BE72BD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9A92175"/>
    <w:multiLevelType w:val="hybridMultilevel"/>
    <w:tmpl w:val="6CF6A9B4"/>
    <w:lvl w:ilvl="0" w:tplc="3E56E864">
      <w:start w:val="1"/>
      <w:numFmt w:val="decimal"/>
      <w:pStyle w:val="ListNumber"/>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9"/>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E692612"/>
    <w:multiLevelType w:val="hybridMultilevel"/>
    <w:tmpl w:val="2696925E"/>
    <w:lvl w:ilvl="0" w:tplc="BCF0D7D4">
      <w:start w:val="1"/>
      <w:numFmt w:val="lowerRoman"/>
      <w:pStyle w:val="Question5"/>
      <w:lvlText w:val="%1."/>
      <w:lvlJc w:val="left"/>
      <w:pPr>
        <w:tabs>
          <w:tab w:val="num" w:pos="717"/>
        </w:tabs>
        <w:ind w:left="717" w:hanging="360"/>
      </w:pPr>
      <w:rPr>
        <w:rFonts w:ascii="Verdana" w:hAnsi="Verdana" w:hint="default"/>
        <w:b/>
        <w:i w:val="0"/>
        <w:color w:val="0060A9"/>
        <w:sz w:val="18"/>
        <w:u w:val="no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08346DC"/>
    <w:multiLevelType w:val="multilevel"/>
    <w:tmpl w:val="1890963E"/>
    <w:styleLink w:val="NumHeadListChapter"/>
    <w:lvl w:ilvl="0">
      <w:start w:val="1"/>
      <w:numFmt w:val="decimal"/>
      <w:isLgl/>
      <w:lvlText w:val="%1."/>
      <w:lvlJc w:val="left"/>
      <w:pPr>
        <w:tabs>
          <w:tab w:val="num" w:pos="1008"/>
        </w:tabs>
        <w:ind w:left="1008" w:hanging="1008"/>
      </w:pPr>
      <w:rPr>
        <w:rFonts w:ascii="Arial" w:hAnsi="Arial" w:hint="default"/>
        <w:color w:val="002144"/>
        <w:sz w:val="32"/>
        <w:szCs w:val="20"/>
      </w:rPr>
    </w:lvl>
    <w:lvl w:ilvl="1">
      <w:start w:val="1"/>
      <w:numFmt w:val="decimal"/>
      <w:isLgl/>
      <w:lvlText w:val="%1.%2."/>
      <w:lvlJc w:val="left"/>
      <w:pPr>
        <w:tabs>
          <w:tab w:val="num" w:pos="1008"/>
        </w:tabs>
        <w:ind w:left="1008" w:hanging="1008"/>
      </w:pPr>
      <w:rPr>
        <w:rFonts w:ascii="Arial" w:hAnsi="Arial" w:hint="default"/>
        <w:b w:val="0"/>
        <w:i w:val="0"/>
        <w:color w:val="003263"/>
        <w:sz w:val="25"/>
        <w:szCs w:val="20"/>
      </w:rPr>
    </w:lvl>
    <w:lvl w:ilvl="2">
      <w:start w:val="1"/>
      <w:numFmt w:val="decimal"/>
      <w:isLgl/>
      <w:lvlText w:val="%1.%2.%3."/>
      <w:lvlJc w:val="left"/>
      <w:pPr>
        <w:tabs>
          <w:tab w:val="num" w:pos="1008"/>
        </w:tabs>
        <w:ind w:left="1008" w:hanging="1008"/>
      </w:pPr>
      <w:rPr>
        <w:rFonts w:ascii="Arial" w:hAnsi="Arial" w:hint="default"/>
        <w:b w:val="0"/>
        <w:i w:val="0"/>
        <w:color w:val="003263"/>
        <w:sz w:val="22"/>
        <w:szCs w:val="20"/>
      </w:rPr>
    </w:lvl>
    <w:lvl w:ilvl="3">
      <w:start w:val="1"/>
      <w:numFmt w:val="decimal"/>
      <w:isLgl/>
      <w:lvlText w:val="%1.%2.%3.%4."/>
      <w:lvlJc w:val="left"/>
      <w:pPr>
        <w:tabs>
          <w:tab w:val="num" w:pos="1008"/>
        </w:tabs>
        <w:ind w:left="1008" w:hanging="1008"/>
      </w:pPr>
      <w:rPr>
        <w:rFonts w:ascii="Arial" w:hAnsi="Arial" w:hint="default"/>
        <w:b w:val="0"/>
        <w:i w:val="0"/>
        <w:color w:val="003263"/>
        <w:sz w:val="20"/>
        <w:szCs w:val="20"/>
      </w:rPr>
    </w:lvl>
    <w:lvl w:ilvl="4">
      <w:start w:val="1"/>
      <w:numFmt w:val="decimal"/>
      <w:isLgl/>
      <w:lvlText w:val="%1.%2.%3.%4.%5."/>
      <w:lvlJc w:val="left"/>
      <w:pPr>
        <w:tabs>
          <w:tab w:val="num" w:pos="1008"/>
        </w:tabs>
        <w:ind w:left="1008" w:hanging="1008"/>
      </w:pPr>
      <w:rPr>
        <w:rFonts w:ascii="Arial" w:hAnsi="Arial" w:hint="default"/>
        <w:color w:val="003263"/>
        <w:sz w:val="20"/>
        <w:szCs w:val="20"/>
      </w:rPr>
    </w:lvl>
    <w:lvl w:ilvl="5">
      <w:start w:val="1"/>
      <w:numFmt w:val="decimal"/>
      <w:lvlText w:val="%1.%2.%3.%4.%5.%6"/>
      <w:lvlJc w:val="left"/>
      <w:pPr>
        <w:tabs>
          <w:tab w:val="num" w:pos="1152"/>
        </w:tabs>
        <w:ind w:left="1152" w:hanging="1152"/>
      </w:pPr>
      <w:rPr>
        <w:rFonts w:ascii="Arial" w:hAnsi="Arial"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31C03D0A"/>
    <w:multiLevelType w:val="hybridMultilevel"/>
    <w:tmpl w:val="084C962C"/>
    <w:lvl w:ilvl="0" w:tplc="9790FE42">
      <w:start w:val="1"/>
      <w:numFmt w:val="bullet"/>
      <w:pStyle w:val="ListBullet3"/>
      <w:lvlText w:val="–"/>
      <w:lvlJc w:val="left"/>
      <w:pPr>
        <w:tabs>
          <w:tab w:val="num" w:pos="1020"/>
        </w:tabs>
        <w:ind w:left="1020" w:hanging="340"/>
      </w:pPr>
      <w:rPr>
        <w:rFonts w:ascii="Arial" w:hAnsi="Arial" w:hint="default"/>
        <w:b w:val="0"/>
        <w:i w:val="0"/>
        <w:caps w:val="0"/>
        <w:strike w:val="0"/>
        <w:dstrike w:val="0"/>
        <w:vanish w:val="0"/>
        <w:color w:val="8499A6"/>
        <w:spacing w:val="0"/>
        <w:w w:val="100"/>
        <w:kern w:val="0"/>
        <w:position w:val="0"/>
        <w:sz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2800"/>
        </w:tabs>
        <w:ind w:left="2800" w:hanging="360"/>
      </w:pPr>
    </w:lvl>
    <w:lvl w:ilvl="2" w:tplc="0409001B" w:tentative="1">
      <w:start w:val="1"/>
      <w:numFmt w:val="lowerRoman"/>
      <w:lvlText w:val="%3."/>
      <w:lvlJc w:val="right"/>
      <w:pPr>
        <w:tabs>
          <w:tab w:val="num" w:pos="3520"/>
        </w:tabs>
        <w:ind w:left="3520" w:hanging="180"/>
      </w:pPr>
    </w:lvl>
    <w:lvl w:ilvl="3" w:tplc="0409000F" w:tentative="1">
      <w:start w:val="1"/>
      <w:numFmt w:val="decimal"/>
      <w:lvlText w:val="%4."/>
      <w:lvlJc w:val="left"/>
      <w:pPr>
        <w:tabs>
          <w:tab w:val="num" w:pos="4240"/>
        </w:tabs>
        <w:ind w:left="4240" w:hanging="360"/>
      </w:pPr>
    </w:lvl>
    <w:lvl w:ilvl="4" w:tplc="04090019" w:tentative="1">
      <w:start w:val="1"/>
      <w:numFmt w:val="lowerLetter"/>
      <w:lvlText w:val="%5."/>
      <w:lvlJc w:val="left"/>
      <w:pPr>
        <w:tabs>
          <w:tab w:val="num" w:pos="4960"/>
        </w:tabs>
        <w:ind w:left="4960" w:hanging="360"/>
      </w:pPr>
    </w:lvl>
    <w:lvl w:ilvl="5" w:tplc="0409001B" w:tentative="1">
      <w:start w:val="1"/>
      <w:numFmt w:val="lowerRoman"/>
      <w:lvlText w:val="%6."/>
      <w:lvlJc w:val="right"/>
      <w:pPr>
        <w:tabs>
          <w:tab w:val="num" w:pos="5680"/>
        </w:tabs>
        <w:ind w:left="5680" w:hanging="180"/>
      </w:pPr>
    </w:lvl>
    <w:lvl w:ilvl="6" w:tplc="0409000F" w:tentative="1">
      <w:start w:val="1"/>
      <w:numFmt w:val="decimal"/>
      <w:lvlText w:val="%7."/>
      <w:lvlJc w:val="left"/>
      <w:pPr>
        <w:tabs>
          <w:tab w:val="num" w:pos="6400"/>
        </w:tabs>
        <w:ind w:left="6400" w:hanging="360"/>
      </w:pPr>
    </w:lvl>
    <w:lvl w:ilvl="7" w:tplc="04090019" w:tentative="1">
      <w:start w:val="1"/>
      <w:numFmt w:val="lowerLetter"/>
      <w:lvlText w:val="%8."/>
      <w:lvlJc w:val="left"/>
      <w:pPr>
        <w:tabs>
          <w:tab w:val="num" w:pos="7120"/>
        </w:tabs>
        <w:ind w:left="7120" w:hanging="360"/>
      </w:pPr>
    </w:lvl>
    <w:lvl w:ilvl="8" w:tplc="0409001B" w:tentative="1">
      <w:start w:val="1"/>
      <w:numFmt w:val="lowerRoman"/>
      <w:lvlText w:val="%9."/>
      <w:lvlJc w:val="right"/>
      <w:pPr>
        <w:tabs>
          <w:tab w:val="num" w:pos="7840"/>
        </w:tabs>
        <w:ind w:left="7840" w:hanging="180"/>
      </w:pPr>
    </w:lvl>
  </w:abstractNum>
  <w:abstractNum w:abstractNumId="13" w15:restartNumberingAfterBreak="0">
    <w:nsid w:val="324549D6"/>
    <w:multiLevelType w:val="multilevel"/>
    <w:tmpl w:val="7CCE5D8C"/>
    <w:lvl w:ilvl="0">
      <w:start w:val="1"/>
      <w:numFmt w:val="decimal"/>
      <w:lvlText w:val="%1."/>
      <w:lvlJc w:val="left"/>
      <w:pPr>
        <w:tabs>
          <w:tab w:val="num" w:pos="432"/>
        </w:tabs>
        <w:ind w:left="432" w:hanging="432"/>
      </w:pPr>
      <w:rPr>
        <w:rFonts w:ascii="Arial" w:hAnsi="Arial" w:hint="default"/>
        <w:b/>
        <w:i w:val="0"/>
        <w:sz w:val="20"/>
        <w:szCs w:val="20"/>
      </w:rPr>
    </w:lvl>
    <w:lvl w:ilvl="1">
      <w:start w:val="1"/>
      <w:numFmt w:val="decimal"/>
      <w:lvlRestart w:val="0"/>
      <w:suff w:val="nothing"/>
      <w:lvlText w:val="Section %2"/>
      <w:lvlJc w:val="left"/>
      <w:pPr>
        <w:ind w:left="0" w:firstLine="0"/>
      </w:pPr>
      <w:rPr>
        <w:rFonts w:ascii="Arial" w:hAnsi="Arial" w:cs="Arial" w:hint="default"/>
        <w:b/>
        <w:i w:val="0"/>
        <w:sz w:val="48"/>
        <w:szCs w:val="20"/>
      </w:rPr>
    </w:lvl>
    <w:lvl w:ilvl="2">
      <w:start w:val="1"/>
      <w:numFmt w:val="upperRoman"/>
      <w:lvlRestart w:val="0"/>
      <w:suff w:val="nothing"/>
      <w:lvlText w:val="Appendix %3"/>
      <w:lvlJc w:val="left"/>
      <w:pPr>
        <w:ind w:left="0" w:firstLine="0"/>
      </w:pPr>
      <w:rPr>
        <w:rFonts w:ascii="Arial" w:hAnsi="Arial" w:cs="Arial" w:hint="default"/>
        <w:b/>
        <w:i w:val="0"/>
        <w:sz w:val="48"/>
        <w:szCs w:val="20"/>
      </w:rPr>
    </w:lvl>
    <w:lvl w:ilvl="3">
      <w:start w:val="1"/>
      <w:numFmt w:val="upperLetter"/>
      <w:suff w:val="nothing"/>
      <w:lvlText w:val="Tab %4"/>
      <w:lvlJc w:val="left"/>
      <w:pPr>
        <w:ind w:left="0" w:firstLine="0"/>
      </w:pPr>
      <w:rPr>
        <w:rFonts w:ascii="Arial" w:hAnsi="Arial" w:cs="Arial" w:hint="default"/>
        <w:b/>
        <w:sz w:val="48"/>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upperLetter"/>
      <w:lvlRestart w:val="3"/>
      <w:pStyle w:val="Heading8"/>
      <w:suff w:val="nothing"/>
      <w:lvlText w:val="Tab %8"/>
      <w:lvlJc w:val="left"/>
      <w:pPr>
        <w:ind w:left="0" w:firstLine="0"/>
      </w:pPr>
      <w:rPr>
        <w:rFonts w:ascii="Arial" w:hAnsi="Arial" w:cs="Arial" w:hint="default"/>
        <w:b/>
        <w:sz w:val="48"/>
      </w:rPr>
    </w:lvl>
    <w:lvl w:ilvl="8">
      <w:start w:val="1"/>
      <w:numFmt w:val="lowerRoman"/>
      <w:lvlText w:val="(%9)"/>
      <w:lvlJc w:val="left"/>
      <w:pPr>
        <w:tabs>
          <w:tab w:val="num" w:pos="6120"/>
        </w:tabs>
        <w:ind w:left="5760" w:firstLine="0"/>
      </w:pPr>
      <w:rPr>
        <w:rFonts w:hint="default"/>
      </w:rPr>
    </w:lvl>
  </w:abstractNum>
  <w:abstractNum w:abstractNumId="14" w15:restartNumberingAfterBreak="0">
    <w:nsid w:val="3FDF0D99"/>
    <w:multiLevelType w:val="hybridMultilevel"/>
    <w:tmpl w:val="7312DE7E"/>
    <w:lvl w:ilvl="0" w:tplc="FD76358A">
      <w:start w:val="1"/>
      <w:numFmt w:val="lowerRoman"/>
      <w:pStyle w:val="List4"/>
      <w:lvlText w:val="%1."/>
      <w:lvlJc w:val="left"/>
      <w:pPr>
        <w:tabs>
          <w:tab w:val="num" w:pos="677"/>
        </w:tabs>
        <w:ind w:left="680" w:hanging="340"/>
      </w:pPr>
      <w:rPr>
        <w:rFonts w:ascii="Verdana" w:hAnsi="Verdana" w:hint="default"/>
        <w:b/>
        <w:i w:val="0"/>
        <w:caps w:val="0"/>
        <w:strike w:val="0"/>
        <w:dstrike w:val="0"/>
        <w:vanish w:val="0"/>
        <w:color w:val="0060A9"/>
        <w:spacing w:val="0"/>
        <w:w w:val="100"/>
        <w:kern w:val="0"/>
        <w:position w:val="0"/>
        <w:sz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FEA26C0"/>
    <w:multiLevelType w:val="hybridMultilevel"/>
    <w:tmpl w:val="33D0349E"/>
    <w:lvl w:ilvl="0" w:tplc="4DF069A4">
      <w:start w:val="1"/>
      <w:numFmt w:val="bullet"/>
      <w:pStyle w:val="TableBullet3"/>
      <w:lvlText w:val="–"/>
      <w:lvlJc w:val="left"/>
      <w:pPr>
        <w:tabs>
          <w:tab w:val="num" w:pos="216"/>
        </w:tabs>
        <w:ind w:left="595" w:hanging="198"/>
      </w:pPr>
      <w:rPr>
        <w:rFonts w:ascii="Verdana" w:hAnsi="Verdana" w:hint="default"/>
        <w:b w:val="0"/>
        <w:i w:val="0"/>
        <w:color w:val="6F6E6F"/>
        <w:sz w:val="16"/>
      </w:rPr>
    </w:lvl>
    <w:lvl w:ilvl="1" w:tplc="04090019">
      <w:start w:val="1"/>
      <w:numFmt w:val="bullet"/>
      <w:lvlText w:val="–"/>
      <w:lvlJc w:val="left"/>
      <w:pPr>
        <w:tabs>
          <w:tab w:val="num" w:pos="216"/>
        </w:tabs>
        <w:ind w:left="648" w:hanging="216"/>
      </w:pPr>
      <w:rPr>
        <w:rFonts w:ascii="Century Gothic" w:hAnsi="Century Gothic" w:hint="default"/>
        <w:b w:val="0"/>
        <w:i w:val="0"/>
        <w:color w:val="auto"/>
        <w:sz w:val="16"/>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42C0BD1"/>
    <w:multiLevelType w:val="hybridMultilevel"/>
    <w:tmpl w:val="6AC8D7F0"/>
    <w:lvl w:ilvl="0" w:tplc="C7F224E2">
      <w:start w:val="1"/>
      <w:numFmt w:val="decimal"/>
      <w:pStyle w:val="Question1"/>
      <w:lvlText w:val="%1."/>
      <w:lvlJc w:val="left"/>
      <w:pPr>
        <w:tabs>
          <w:tab w:val="num" w:pos="360"/>
        </w:tabs>
        <w:ind w:left="360" w:hanging="360"/>
      </w:pPr>
      <w:rPr>
        <w:rFonts w:ascii="Verdana" w:hAnsi="Verdana" w:hint="default"/>
        <w:b/>
        <w:i w:val="0"/>
        <w:color w:val="0060A9"/>
        <w:sz w:val="18"/>
        <w:u w:val="no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8827669"/>
    <w:multiLevelType w:val="hybridMultilevel"/>
    <w:tmpl w:val="BAAE3B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07149E0"/>
    <w:multiLevelType w:val="hybridMultilevel"/>
    <w:tmpl w:val="F8EC1A8C"/>
    <w:lvl w:ilvl="0" w:tplc="6E24CF20">
      <w:start w:val="1"/>
      <w:numFmt w:val="lowerLetter"/>
      <w:pStyle w:val="List3"/>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8"/>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51185B21"/>
    <w:multiLevelType w:val="hybridMultilevel"/>
    <w:tmpl w:val="5CAA3A06"/>
    <w:lvl w:ilvl="0" w:tplc="488695A6">
      <w:start w:val="1"/>
      <w:numFmt w:val="decimal"/>
      <w:pStyle w:val="TableBulletNumeric"/>
      <w:lvlText w:val="%1."/>
      <w:lvlJc w:val="left"/>
      <w:pPr>
        <w:tabs>
          <w:tab w:val="num" w:pos="216"/>
        </w:tabs>
        <w:ind w:left="216" w:hanging="216"/>
      </w:pPr>
      <w:rPr>
        <w:rFonts w:ascii="Arial" w:hAnsi="Arial" w:cs="Arial" w:hint="default"/>
        <w:b/>
        <w:i w:val="0"/>
        <w:color w:val="0060A9"/>
        <w:sz w:val="15"/>
        <w:u w:val="none"/>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52416A5"/>
    <w:multiLevelType w:val="multilevel"/>
    <w:tmpl w:val="08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57552717"/>
    <w:multiLevelType w:val="hybridMultilevel"/>
    <w:tmpl w:val="E136582A"/>
    <w:lvl w:ilvl="0" w:tplc="B2A84794">
      <w:start w:val="1"/>
      <w:numFmt w:val="bullet"/>
      <w:pStyle w:val="TableBullet2"/>
      <w:lvlText w:val=""/>
      <w:lvlJc w:val="left"/>
      <w:pPr>
        <w:tabs>
          <w:tab w:val="num" w:pos="397"/>
        </w:tabs>
        <w:ind w:left="397" w:hanging="198"/>
      </w:pPr>
      <w:rPr>
        <w:rFonts w:ascii="Wingdings" w:hAnsi="Wingdings" w:hint="default"/>
        <w:b w:val="0"/>
        <w:i w:val="0"/>
        <w:color w:val="8499A6"/>
        <w:sz w:val="16"/>
      </w:rPr>
    </w:lvl>
    <w:lvl w:ilvl="1" w:tplc="04090019" w:tentative="1">
      <w:start w:val="1"/>
      <w:numFmt w:val="bullet"/>
      <w:lvlText w:val="o"/>
      <w:lvlJc w:val="left"/>
      <w:pPr>
        <w:tabs>
          <w:tab w:val="num" w:pos="1656"/>
        </w:tabs>
        <w:ind w:left="1656" w:hanging="360"/>
      </w:pPr>
      <w:rPr>
        <w:rFonts w:ascii="Courier New" w:hAnsi="Courier New" w:hint="default"/>
      </w:rPr>
    </w:lvl>
    <w:lvl w:ilvl="2" w:tplc="0409001B" w:tentative="1">
      <w:start w:val="1"/>
      <w:numFmt w:val="bullet"/>
      <w:lvlText w:val=""/>
      <w:lvlJc w:val="left"/>
      <w:pPr>
        <w:tabs>
          <w:tab w:val="num" w:pos="2376"/>
        </w:tabs>
        <w:ind w:left="2376" w:hanging="360"/>
      </w:pPr>
      <w:rPr>
        <w:rFonts w:ascii="Wingdings" w:hAnsi="Wingdings" w:hint="default"/>
      </w:rPr>
    </w:lvl>
    <w:lvl w:ilvl="3" w:tplc="0409000F" w:tentative="1">
      <w:start w:val="1"/>
      <w:numFmt w:val="bullet"/>
      <w:lvlText w:val=""/>
      <w:lvlJc w:val="left"/>
      <w:pPr>
        <w:tabs>
          <w:tab w:val="num" w:pos="3096"/>
        </w:tabs>
        <w:ind w:left="3096" w:hanging="360"/>
      </w:pPr>
      <w:rPr>
        <w:rFonts w:ascii="Symbol" w:hAnsi="Symbol" w:hint="default"/>
      </w:rPr>
    </w:lvl>
    <w:lvl w:ilvl="4" w:tplc="04090019" w:tentative="1">
      <w:start w:val="1"/>
      <w:numFmt w:val="bullet"/>
      <w:lvlText w:val="o"/>
      <w:lvlJc w:val="left"/>
      <w:pPr>
        <w:tabs>
          <w:tab w:val="num" w:pos="3816"/>
        </w:tabs>
        <w:ind w:left="3816" w:hanging="360"/>
      </w:pPr>
      <w:rPr>
        <w:rFonts w:ascii="Courier New" w:hAnsi="Courier New" w:hint="default"/>
      </w:rPr>
    </w:lvl>
    <w:lvl w:ilvl="5" w:tplc="0409001B" w:tentative="1">
      <w:start w:val="1"/>
      <w:numFmt w:val="bullet"/>
      <w:lvlText w:val=""/>
      <w:lvlJc w:val="left"/>
      <w:pPr>
        <w:tabs>
          <w:tab w:val="num" w:pos="4536"/>
        </w:tabs>
        <w:ind w:left="4536" w:hanging="360"/>
      </w:pPr>
      <w:rPr>
        <w:rFonts w:ascii="Wingdings" w:hAnsi="Wingdings" w:hint="default"/>
      </w:rPr>
    </w:lvl>
    <w:lvl w:ilvl="6" w:tplc="0409000F" w:tentative="1">
      <w:start w:val="1"/>
      <w:numFmt w:val="bullet"/>
      <w:lvlText w:val=""/>
      <w:lvlJc w:val="left"/>
      <w:pPr>
        <w:tabs>
          <w:tab w:val="num" w:pos="5256"/>
        </w:tabs>
        <w:ind w:left="5256" w:hanging="360"/>
      </w:pPr>
      <w:rPr>
        <w:rFonts w:ascii="Symbol" w:hAnsi="Symbol" w:hint="default"/>
      </w:rPr>
    </w:lvl>
    <w:lvl w:ilvl="7" w:tplc="04090019" w:tentative="1">
      <w:start w:val="1"/>
      <w:numFmt w:val="bullet"/>
      <w:lvlText w:val="o"/>
      <w:lvlJc w:val="left"/>
      <w:pPr>
        <w:tabs>
          <w:tab w:val="num" w:pos="5976"/>
        </w:tabs>
        <w:ind w:left="5976" w:hanging="360"/>
      </w:pPr>
      <w:rPr>
        <w:rFonts w:ascii="Courier New" w:hAnsi="Courier New" w:hint="default"/>
      </w:rPr>
    </w:lvl>
    <w:lvl w:ilvl="8" w:tplc="0409001B" w:tentative="1">
      <w:start w:val="1"/>
      <w:numFmt w:val="bullet"/>
      <w:lvlText w:val=""/>
      <w:lvlJc w:val="left"/>
      <w:pPr>
        <w:tabs>
          <w:tab w:val="num" w:pos="6696"/>
        </w:tabs>
        <w:ind w:left="6696" w:hanging="360"/>
      </w:pPr>
      <w:rPr>
        <w:rFonts w:ascii="Wingdings" w:hAnsi="Wingdings" w:hint="default"/>
      </w:rPr>
    </w:lvl>
  </w:abstractNum>
  <w:abstractNum w:abstractNumId="22" w15:restartNumberingAfterBreak="0">
    <w:nsid w:val="5D29300D"/>
    <w:multiLevelType w:val="multilevel"/>
    <w:tmpl w:val="08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3" w15:restartNumberingAfterBreak="0">
    <w:nsid w:val="5EA53A05"/>
    <w:multiLevelType w:val="multilevel"/>
    <w:tmpl w:val="DE12FF56"/>
    <w:lvl w:ilvl="0">
      <w:start w:val="1"/>
      <w:numFmt w:val="decimal"/>
      <w:pStyle w:val="NumHead1"/>
      <w:lvlText w:val="%1."/>
      <w:lvlJc w:val="left"/>
      <w:pPr>
        <w:tabs>
          <w:tab w:val="num" w:pos="340"/>
        </w:tabs>
        <w:ind w:left="340" w:hanging="340"/>
      </w:pPr>
      <w:rPr>
        <w:rFonts w:ascii="Arial" w:hAnsi="Arial" w:hint="default"/>
        <w:b w:val="0"/>
        <w:i w:val="0"/>
        <w:color w:val="003263"/>
        <w:sz w:val="32"/>
      </w:rPr>
    </w:lvl>
    <w:lvl w:ilvl="1">
      <w:start w:val="1"/>
      <w:numFmt w:val="decimal"/>
      <w:pStyle w:val="NumHead2"/>
      <w:lvlText w:val="%1.%2."/>
      <w:lvlJc w:val="left"/>
      <w:pPr>
        <w:tabs>
          <w:tab w:val="num" w:pos="340"/>
        </w:tabs>
        <w:ind w:left="340" w:hanging="340"/>
      </w:pPr>
      <w:rPr>
        <w:rFonts w:ascii="Arial" w:hAnsi="Arial" w:hint="default"/>
        <w:b w:val="0"/>
        <w:i w:val="0"/>
        <w:color w:val="0060A9"/>
        <w:sz w:val="25"/>
      </w:rPr>
    </w:lvl>
    <w:lvl w:ilvl="2">
      <w:start w:val="1"/>
      <w:numFmt w:val="decimal"/>
      <w:pStyle w:val="NumHead3"/>
      <w:lvlText w:val="%1.%2.%3."/>
      <w:lvlJc w:val="left"/>
      <w:pPr>
        <w:tabs>
          <w:tab w:val="num" w:pos="1224"/>
        </w:tabs>
        <w:ind w:left="1224" w:hanging="1224"/>
      </w:pPr>
      <w:rPr>
        <w:rFonts w:ascii="Arial" w:hAnsi="Arial" w:hint="default"/>
        <w:b w:val="0"/>
        <w:i w:val="0"/>
        <w:color w:val="0060A9"/>
        <w:sz w:val="22"/>
        <w:u w:val="none"/>
      </w:rPr>
    </w:lvl>
    <w:lvl w:ilvl="3">
      <w:start w:val="1"/>
      <w:numFmt w:val="decimal"/>
      <w:pStyle w:val="NumHead4"/>
      <w:lvlText w:val="%1.%2.%3.%4."/>
      <w:lvlJc w:val="left"/>
      <w:pPr>
        <w:tabs>
          <w:tab w:val="num" w:pos="1728"/>
        </w:tabs>
        <w:ind w:left="1728" w:hanging="1728"/>
      </w:pPr>
      <w:rPr>
        <w:rFonts w:ascii="Arial" w:hAnsi="Arial" w:hint="default"/>
        <w:b w:val="0"/>
        <w:i w:val="0"/>
        <w:color w:val="0060A9"/>
        <w:sz w:val="21"/>
      </w:rPr>
    </w:lvl>
    <w:lvl w:ilvl="4">
      <w:start w:val="1"/>
      <w:numFmt w:val="decimal"/>
      <w:pStyle w:val="NumHead5"/>
      <w:lvlText w:val="%1.%2.%3.%4.%5."/>
      <w:lvlJc w:val="left"/>
      <w:pPr>
        <w:tabs>
          <w:tab w:val="num" w:pos="2232"/>
        </w:tabs>
        <w:ind w:left="2232" w:hanging="2232"/>
      </w:pPr>
      <w:rPr>
        <w:rFonts w:ascii="Arial" w:hAnsi="Arial" w:hint="default"/>
        <w:b w:val="0"/>
        <w:i w:val="0"/>
        <w:color w:val="0060A9"/>
        <w:sz w:val="20"/>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24" w15:restartNumberingAfterBreak="0">
    <w:nsid w:val="5FBE4149"/>
    <w:multiLevelType w:val="multilevel"/>
    <w:tmpl w:val="182CC5EC"/>
    <w:styleLink w:val="NumHeadListAppendix"/>
    <w:lvl w:ilvl="0">
      <w:start w:val="1"/>
      <w:numFmt w:val="upperRoman"/>
      <w:lvlText w:val="%1."/>
      <w:lvlJc w:val="left"/>
      <w:pPr>
        <w:tabs>
          <w:tab w:val="num" w:pos="1008"/>
        </w:tabs>
        <w:ind w:left="1008" w:hanging="1008"/>
      </w:pPr>
      <w:rPr>
        <w:rFonts w:ascii="Arial Bold" w:hAnsi="Arial Bold" w:hint="default"/>
        <w:b/>
        <w:i w:val="0"/>
        <w:vanish/>
        <w:color w:val="FF0000"/>
        <w:sz w:val="20"/>
        <w:szCs w:val="20"/>
      </w:rPr>
    </w:lvl>
    <w:lvl w:ilvl="1">
      <w:start w:val="1"/>
      <w:numFmt w:val="lowerLetter"/>
      <w:lvlText w:val="%1.%2."/>
      <w:lvlJc w:val="left"/>
      <w:pPr>
        <w:tabs>
          <w:tab w:val="num" w:pos="1008"/>
        </w:tabs>
        <w:ind w:left="1008" w:hanging="1008"/>
      </w:pPr>
      <w:rPr>
        <w:rFonts w:ascii="Arial Bold" w:hAnsi="Arial Bold" w:hint="default"/>
        <w:b/>
        <w:i w:val="0"/>
        <w:color w:val="auto"/>
        <w:sz w:val="20"/>
        <w:szCs w:val="20"/>
      </w:rPr>
    </w:lvl>
    <w:lvl w:ilvl="2">
      <w:start w:val="1"/>
      <w:numFmt w:val="lowerLetter"/>
      <w:lvlText w:val="%1.%2.%3."/>
      <w:lvlJc w:val="left"/>
      <w:pPr>
        <w:tabs>
          <w:tab w:val="num" w:pos="1008"/>
        </w:tabs>
        <w:ind w:left="1008" w:hanging="1008"/>
      </w:pPr>
      <w:rPr>
        <w:rFonts w:ascii="Arial Bold" w:hAnsi="Arial Bold" w:hint="default"/>
        <w:b/>
        <w:i w:val="0"/>
        <w:color w:val="auto"/>
        <w:sz w:val="20"/>
        <w:szCs w:val="20"/>
      </w:rPr>
    </w:lvl>
    <w:lvl w:ilvl="3">
      <w:start w:val="1"/>
      <w:numFmt w:val="lowerLetter"/>
      <w:lvlText w:val="%1.%2.%3.%4."/>
      <w:lvlJc w:val="left"/>
      <w:pPr>
        <w:tabs>
          <w:tab w:val="num" w:pos="1008"/>
        </w:tabs>
        <w:ind w:left="1008" w:hanging="1008"/>
      </w:pPr>
      <w:rPr>
        <w:rFonts w:ascii="Arial Bold" w:hAnsi="Arial Bold" w:hint="default"/>
        <w:b/>
        <w:i w:val="0"/>
        <w:color w:val="auto"/>
        <w:sz w:val="20"/>
        <w:szCs w:val="20"/>
      </w:rPr>
    </w:lvl>
    <w:lvl w:ilvl="4">
      <w:start w:val="1"/>
      <w:numFmt w:val="lowerLetter"/>
      <w:lvlText w:val="%1.%2.%3.%4.%5."/>
      <w:lvlJc w:val="left"/>
      <w:pPr>
        <w:tabs>
          <w:tab w:val="num" w:pos="1008"/>
        </w:tabs>
        <w:ind w:left="1008" w:hanging="1008"/>
      </w:pPr>
      <w:rPr>
        <w:rFonts w:ascii="Arial Bold" w:hAnsi="Arial Bold" w:hint="default"/>
        <w:b/>
        <w:i w:val="0"/>
        <w:color w:val="auto"/>
        <w:sz w:val="20"/>
        <w:szCs w:val="20"/>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5" w15:restartNumberingAfterBreak="0">
    <w:nsid w:val="60881325"/>
    <w:multiLevelType w:val="hybridMultilevel"/>
    <w:tmpl w:val="42E60554"/>
    <w:lvl w:ilvl="0" w:tplc="46AEE8B8">
      <w:start w:val="1"/>
      <w:numFmt w:val="lowerLetter"/>
      <w:pStyle w:val="Question3"/>
      <w:lvlText w:val="%1."/>
      <w:lvlJc w:val="left"/>
      <w:pPr>
        <w:tabs>
          <w:tab w:val="num" w:pos="360"/>
        </w:tabs>
        <w:ind w:left="360" w:hanging="360"/>
      </w:pPr>
      <w:rPr>
        <w:rFonts w:ascii="Verdana" w:hAnsi="Verdana" w:hint="default"/>
        <w:b/>
        <w:i w:val="0"/>
        <w:color w:val="0060A9"/>
        <w:sz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68152E42"/>
    <w:multiLevelType w:val="hybridMultilevel"/>
    <w:tmpl w:val="4C282EF6"/>
    <w:lvl w:ilvl="0" w:tplc="85E065AC">
      <w:start w:val="1"/>
      <w:numFmt w:val="lowerLetter"/>
      <w:pStyle w:val="List2"/>
      <w:lvlText w:val="%1."/>
      <w:lvlJc w:val="left"/>
      <w:pPr>
        <w:tabs>
          <w:tab w:val="num" w:pos="680"/>
        </w:tabs>
        <w:ind w:left="680" w:hanging="340"/>
      </w:pPr>
      <w:rPr>
        <w:rFonts w:ascii="Arial Bold" w:hAnsi="Arial Bold" w:hint="default"/>
        <w:b/>
        <w:i w:val="0"/>
        <w:color w:val="0060A9"/>
        <w:sz w:val="16"/>
        <w:u w:val="none"/>
      </w:rPr>
    </w:lvl>
    <w:lvl w:ilvl="1" w:tplc="04090019" w:tentative="1">
      <w:start w:val="1"/>
      <w:numFmt w:val="lowerLetter"/>
      <w:lvlText w:val="%2."/>
      <w:lvlJc w:val="left"/>
      <w:pPr>
        <w:tabs>
          <w:tab w:val="num" w:pos="1008"/>
        </w:tabs>
        <w:ind w:left="1008" w:hanging="360"/>
      </w:pPr>
    </w:lvl>
    <w:lvl w:ilvl="2" w:tplc="0409001B" w:tentative="1">
      <w:start w:val="1"/>
      <w:numFmt w:val="lowerRoman"/>
      <w:lvlText w:val="%3."/>
      <w:lvlJc w:val="right"/>
      <w:pPr>
        <w:tabs>
          <w:tab w:val="num" w:pos="1728"/>
        </w:tabs>
        <w:ind w:left="1728" w:hanging="180"/>
      </w:pPr>
    </w:lvl>
    <w:lvl w:ilvl="3" w:tplc="0409000F" w:tentative="1">
      <w:start w:val="1"/>
      <w:numFmt w:val="decimal"/>
      <w:lvlText w:val="%4."/>
      <w:lvlJc w:val="left"/>
      <w:pPr>
        <w:tabs>
          <w:tab w:val="num" w:pos="2448"/>
        </w:tabs>
        <w:ind w:left="2448" w:hanging="360"/>
      </w:pPr>
    </w:lvl>
    <w:lvl w:ilvl="4" w:tplc="04090019" w:tentative="1">
      <w:start w:val="1"/>
      <w:numFmt w:val="lowerLetter"/>
      <w:lvlText w:val="%5."/>
      <w:lvlJc w:val="left"/>
      <w:pPr>
        <w:tabs>
          <w:tab w:val="num" w:pos="3168"/>
        </w:tabs>
        <w:ind w:left="3168" w:hanging="360"/>
      </w:pPr>
    </w:lvl>
    <w:lvl w:ilvl="5" w:tplc="0409001B" w:tentative="1">
      <w:start w:val="1"/>
      <w:numFmt w:val="lowerRoman"/>
      <w:lvlText w:val="%6."/>
      <w:lvlJc w:val="right"/>
      <w:pPr>
        <w:tabs>
          <w:tab w:val="num" w:pos="3888"/>
        </w:tabs>
        <w:ind w:left="3888" w:hanging="180"/>
      </w:pPr>
    </w:lvl>
    <w:lvl w:ilvl="6" w:tplc="0409000F" w:tentative="1">
      <w:start w:val="1"/>
      <w:numFmt w:val="decimal"/>
      <w:lvlText w:val="%7."/>
      <w:lvlJc w:val="left"/>
      <w:pPr>
        <w:tabs>
          <w:tab w:val="num" w:pos="4608"/>
        </w:tabs>
        <w:ind w:left="4608" w:hanging="360"/>
      </w:pPr>
    </w:lvl>
    <w:lvl w:ilvl="7" w:tplc="04090019" w:tentative="1">
      <w:start w:val="1"/>
      <w:numFmt w:val="lowerLetter"/>
      <w:lvlText w:val="%8."/>
      <w:lvlJc w:val="left"/>
      <w:pPr>
        <w:tabs>
          <w:tab w:val="num" w:pos="5328"/>
        </w:tabs>
        <w:ind w:left="5328" w:hanging="360"/>
      </w:pPr>
    </w:lvl>
    <w:lvl w:ilvl="8" w:tplc="0409001B" w:tentative="1">
      <w:start w:val="1"/>
      <w:numFmt w:val="lowerRoman"/>
      <w:lvlText w:val="%9."/>
      <w:lvlJc w:val="right"/>
      <w:pPr>
        <w:tabs>
          <w:tab w:val="num" w:pos="6048"/>
        </w:tabs>
        <w:ind w:left="6048" w:hanging="180"/>
      </w:pPr>
    </w:lvl>
  </w:abstractNum>
  <w:abstractNum w:abstractNumId="27" w15:restartNumberingAfterBreak="0">
    <w:nsid w:val="687408E2"/>
    <w:multiLevelType w:val="hybridMultilevel"/>
    <w:tmpl w:val="51AEDAC0"/>
    <w:lvl w:ilvl="0" w:tplc="B18CBFCA">
      <w:start w:val="1"/>
      <w:numFmt w:val="bullet"/>
      <w:pStyle w:val="ListBullet"/>
      <w:lvlText w:val=""/>
      <w:lvlJc w:val="left"/>
      <w:pPr>
        <w:tabs>
          <w:tab w:val="num" w:pos="340"/>
        </w:tabs>
        <w:ind w:left="340" w:hanging="340"/>
      </w:pPr>
      <w:rPr>
        <w:rFonts w:ascii="Wingdings" w:hAnsi="Wingdings" w:hint="default"/>
        <w:b w:val="0"/>
        <w:i w:val="0"/>
        <w:color w:val="0060A9"/>
        <w:w w:val="100"/>
        <w:sz w:val="20"/>
      </w:rPr>
    </w:lvl>
    <w:lvl w:ilvl="1" w:tplc="08090003">
      <w:start w:val="1"/>
      <w:numFmt w:val="bullet"/>
      <w:lvlText w:val="o"/>
      <w:lvlJc w:val="left"/>
      <w:pPr>
        <w:tabs>
          <w:tab w:val="num" w:pos="1224"/>
        </w:tabs>
        <w:ind w:left="1224" w:hanging="360"/>
      </w:pPr>
      <w:rPr>
        <w:rFonts w:ascii="Courier New" w:hAnsi="Courier New" w:cs="Courier New" w:hint="default"/>
      </w:rPr>
    </w:lvl>
    <w:lvl w:ilvl="2" w:tplc="08090005" w:tentative="1">
      <w:start w:val="1"/>
      <w:numFmt w:val="bullet"/>
      <w:lvlText w:val=""/>
      <w:lvlJc w:val="left"/>
      <w:pPr>
        <w:tabs>
          <w:tab w:val="num" w:pos="1944"/>
        </w:tabs>
        <w:ind w:left="1944" w:hanging="360"/>
      </w:pPr>
      <w:rPr>
        <w:rFonts w:ascii="Wingdings" w:hAnsi="Wingdings" w:hint="default"/>
      </w:rPr>
    </w:lvl>
    <w:lvl w:ilvl="3" w:tplc="08090001" w:tentative="1">
      <w:start w:val="1"/>
      <w:numFmt w:val="bullet"/>
      <w:lvlText w:val=""/>
      <w:lvlJc w:val="left"/>
      <w:pPr>
        <w:tabs>
          <w:tab w:val="num" w:pos="2664"/>
        </w:tabs>
        <w:ind w:left="2664" w:hanging="360"/>
      </w:pPr>
      <w:rPr>
        <w:rFonts w:ascii="Symbol" w:hAnsi="Symbol" w:hint="default"/>
      </w:rPr>
    </w:lvl>
    <w:lvl w:ilvl="4" w:tplc="08090003" w:tentative="1">
      <w:start w:val="1"/>
      <w:numFmt w:val="bullet"/>
      <w:lvlText w:val="o"/>
      <w:lvlJc w:val="left"/>
      <w:pPr>
        <w:tabs>
          <w:tab w:val="num" w:pos="3384"/>
        </w:tabs>
        <w:ind w:left="3384" w:hanging="360"/>
      </w:pPr>
      <w:rPr>
        <w:rFonts w:ascii="Courier New" w:hAnsi="Courier New" w:cs="Courier New" w:hint="default"/>
      </w:rPr>
    </w:lvl>
    <w:lvl w:ilvl="5" w:tplc="08090005" w:tentative="1">
      <w:start w:val="1"/>
      <w:numFmt w:val="bullet"/>
      <w:lvlText w:val=""/>
      <w:lvlJc w:val="left"/>
      <w:pPr>
        <w:tabs>
          <w:tab w:val="num" w:pos="4104"/>
        </w:tabs>
        <w:ind w:left="4104" w:hanging="360"/>
      </w:pPr>
      <w:rPr>
        <w:rFonts w:ascii="Wingdings" w:hAnsi="Wingdings" w:hint="default"/>
      </w:rPr>
    </w:lvl>
    <w:lvl w:ilvl="6" w:tplc="08090001" w:tentative="1">
      <w:start w:val="1"/>
      <w:numFmt w:val="bullet"/>
      <w:lvlText w:val=""/>
      <w:lvlJc w:val="left"/>
      <w:pPr>
        <w:tabs>
          <w:tab w:val="num" w:pos="4824"/>
        </w:tabs>
        <w:ind w:left="4824" w:hanging="360"/>
      </w:pPr>
      <w:rPr>
        <w:rFonts w:ascii="Symbol" w:hAnsi="Symbol" w:hint="default"/>
      </w:rPr>
    </w:lvl>
    <w:lvl w:ilvl="7" w:tplc="08090003" w:tentative="1">
      <w:start w:val="1"/>
      <w:numFmt w:val="bullet"/>
      <w:lvlText w:val="o"/>
      <w:lvlJc w:val="left"/>
      <w:pPr>
        <w:tabs>
          <w:tab w:val="num" w:pos="5544"/>
        </w:tabs>
        <w:ind w:left="5544" w:hanging="360"/>
      </w:pPr>
      <w:rPr>
        <w:rFonts w:ascii="Courier New" w:hAnsi="Courier New" w:cs="Courier New" w:hint="default"/>
      </w:rPr>
    </w:lvl>
    <w:lvl w:ilvl="8" w:tplc="08090005" w:tentative="1">
      <w:start w:val="1"/>
      <w:numFmt w:val="bullet"/>
      <w:lvlText w:val=""/>
      <w:lvlJc w:val="left"/>
      <w:pPr>
        <w:tabs>
          <w:tab w:val="num" w:pos="6264"/>
        </w:tabs>
        <w:ind w:left="6264" w:hanging="360"/>
      </w:pPr>
      <w:rPr>
        <w:rFonts w:ascii="Wingdings" w:hAnsi="Wingdings" w:hint="default"/>
      </w:rPr>
    </w:lvl>
  </w:abstractNum>
  <w:abstractNum w:abstractNumId="28" w15:restartNumberingAfterBreak="0">
    <w:nsid w:val="781352F0"/>
    <w:multiLevelType w:val="hybridMultilevel"/>
    <w:tmpl w:val="AD10E762"/>
    <w:lvl w:ilvl="0" w:tplc="23FAA4B8">
      <w:start w:val="1"/>
      <w:numFmt w:val="bullet"/>
      <w:pStyle w:val="Question4"/>
      <w:lvlText w:val=""/>
      <w:lvlJc w:val="left"/>
      <w:pPr>
        <w:tabs>
          <w:tab w:val="num" w:pos="717"/>
        </w:tabs>
        <w:ind w:left="717" w:hanging="360"/>
      </w:pPr>
      <w:rPr>
        <w:rFonts w:ascii="Wingdings" w:hAnsi="Wingdings" w:hint="default"/>
        <w:b w:val="0"/>
        <w:i w:val="0"/>
        <w:color w:val="0060A9"/>
        <w:spacing w:val="0"/>
        <w:w w:val="100"/>
        <w:kern w:val="0"/>
        <w:position w:val="0"/>
        <w:sz w:val="16"/>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7E7D5FDF"/>
    <w:multiLevelType w:val="hybridMultilevel"/>
    <w:tmpl w:val="3864BCDA"/>
    <w:lvl w:ilvl="0" w:tplc="2848CCF6">
      <w:start w:val="1"/>
      <w:numFmt w:val="bullet"/>
      <w:pStyle w:val="TableBullet1"/>
      <w:lvlText w:val=""/>
      <w:lvlJc w:val="left"/>
      <w:pPr>
        <w:tabs>
          <w:tab w:val="num" w:pos="199"/>
        </w:tabs>
        <w:ind w:left="199" w:hanging="199"/>
      </w:pPr>
      <w:rPr>
        <w:rFonts w:ascii="Wingdings" w:hAnsi="Wingdings" w:hint="default"/>
        <w:b w:val="0"/>
        <w:i w:val="0"/>
        <w:color w:val="0060A9"/>
        <w:spacing w:val="0"/>
        <w:w w:val="100"/>
        <w:kern w:val="0"/>
        <w:position w:val="0"/>
        <w:sz w:val="16"/>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427312510">
    <w:abstractNumId w:val="5"/>
  </w:num>
  <w:num w:numId="2" w16cid:durableId="852454433">
    <w:abstractNumId w:val="20"/>
  </w:num>
  <w:num w:numId="3" w16cid:durableId="566645358">
    <w:abstractNumId w:val="22"/>
  </w:num>
  <w:num w:numId="4" w16cid:durableId="1560744490">
    <w:abstractNumId w:val="13"/>
  </w:num>
  <w:num w:numId="5" w16cid:durableId="1339965497">
    <w:abstractNumId w:val="6"/>
  </w:num>
  <w:num w:numId="6" w16cid:durableId="1127940101">
    <w:abstractNumId w:val="26"/>
  </w:num>
  <w:num w:numId="7" w16cid:durableId="1757052199">
    <w:abstractNumId w:val="18"/>
  </w:num>
  <w:num w:numId="8" w16cid:durableId="1754928951">
    <w:abstractNumId w:val="14"/>
  </w:num>
  <w:num w:numId="9" w16cid:durableId="1535315163">
    <w:abstractNumId w:val="27"/>
  </w:num>
  <w:num w:numId="10" w16cid:durableId="467743230">
    <w:abstractNumId w:val="7"/>
  </w:num>
  <w:num w:numId="11" w16cid:durableId="1309743998">
    <w:abstractNumId w:val="12"/>
  </w:num>
  <w:num w:numId="12" w16cid:durableId="1266378007">
    <w:abstractNumId w:val="4"/>
  </w:num>
  <w:num w:numId="13" w16cid:durableId="800852164">
    <w:abstractNumId w:val="3"/>
  </w:num>
  <w:num w:numId="14" w16cid:durableId="1426344960">
    <w:abstractNumId w:val="9"/>
  </w:num>
  <w:num w:numId="15" w16cid:durableId="1433628472">
    <w:abstractNumId w:val="2"/>
  </w:num>
  <w:num w:numId="16" w16cid:durableId="1892493986">
    <w:abstractNumId w:val="1"/>
  </w:num>
  <w:num w:numId="17" w16cid:durableId="1138762159">
    <w:abstractNumId w:val="0"/>
  </w:num>
  <w:num w:numId="18" w16cid:durableId="190581992">
    <w:abstractNumId w:val="23"/>
  </w:num>
  <w:num w:numId="19" w16cid:durableId="577138269">
    <w:abstractNumId w:val="24"/>
  </w:num>
  <w:num w:numId="20" w16cid:durableId="363868840">
    <w:abstractNumId w:val="11"/>
    <w:lvlOverride w:ilvl="1">
      <w:lvl w:ilvl="1">
        <w:start w:val="1"/>
        <w:numFmt w:val="decimal"/>
        <w:isLgl/>
        <w:lvlText w:val="%1.%2."/>
        <w:lvlJc w:val="left"/>
        <w:pPr>
          <w:tabs>
            <w:tab w:val="num" w:pos="1008"/>
          </w:tabs>
          <w:ind w:left="1008" w:hanging="1008"/>
        </w:pPr>
        <w:rPr>
          <w:rFonts w:cs="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2">
      <w:lvl w:ilvl="2">
        <w:start w:val="1"/>
        <w:numFmt w:val="decimal"/>
        <w:isLgl/>
        <w:lvlText w:val="%1.%2.%3."/>
        <w:lvlJc w:val="left"/>
        <w:pPr>
          <w:tabs>
            <w:tab w:val="num" w:pos="1008"/>
          </w:tabs>
          <w:ind w:left="1008" w:hanging="1008"/>
        </w:pPr>
        <w:rPr>
          <w:rFonts w:ascii="Arial" w:hAnsi="Arial" w:hint="default"/>
          <w:b w:val="0"/>
          <w:i w:val="0"/>
          <w:color w:val="0060A9"/>
          <w:sz w:val="22"/>
          <w:szCs w:val="20"/>
        </w:rPr>
      </w:lvl>
    </w:lvlOverride>
    <w:lvlOverride w:ilvl="3">
      <w:lvl w:ilvl="3">
        <w:start w:val="1"/>
        <w:numFmt w:val="decimal"/>
        <w:isLgl/>
        <w:lvlText w:val="%1.%2.%3.%4."/>
        <w:lvlJc w:val="left"/>
        <w:pPr>
          <w:tabs>
            <w:tab w:val="num" w:pos="1008"/>
          </w:tabs>
          <w:ind w:left="1008" w:hanging="1008"/>
        </w:pPr>
        <w:rPr>
          <w:rFonts w:cs="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decimal"/>
        <w:isLgl/>
        <w:lvlText w:val="%1.%2.%3.%4.%5."/>
        <w:lvlJc w:val="left"/>
        <w:pPr>
          <w:tabs>
            <w:tab w:val="num" w:pos="1008"/>
          </w:tabs>
          <w:ind w:left="1008" w:hanging="1008"/>
        </w:pPr>
        <w:rPr>
          <w:rFonts w:ascii="Arial" w:hAnsi="Arial" w:hint="default"/>
          <w:color w:val="0060A9"/>
          <w:sz w:val="20"/>
          <w:szCs w:val="20"/>
        </w:rPr>
      </w:lvl>
    </w:lvlOverride>
  </w:num>
  <w:num w:numId="21" w16cid:durableId="1114445120">
    <w:abstractNumId w:val="16"/>
    <w:lvlOverride w:ilvl="0">
      <w:startOverride w:val="1"/>
    </w:lvlOverride>
  </w:num>
  <w:num w:numId="22" w16cid:durableId="579868872">
    <w:abstractNumId w:val="25"/>
    <w:lvlOverride w:ilvl="0">
      <w:startOverride w:val="1"/>
    </w:lvlOverride>
  </w:num>
  <w:num w:numId="23" w16cid:durableId="2054889922">
    <w:abstractNumId w:val="28"/>
  </w:num>
  <w:num w:numId="24" w16cid:durableId="647057666">
    <w:abstractNumId w:val="10"/>
  </w:num>
  <w:num w:numId="25" w16cid:durableId="2080127381">
    <w:abstractNumId w:val="29"/>
  </w:num>
  <w:num w:numId="26" w16cid:durableId="356465705">
    <w:abstractNumId w:val="21"/>
  </w:num>
  <w:num w:numId="27" w16cid:durableId="899249079">
    <w:abstractNumId w:val="15"/>
  </w:num>
  <w:num w:numId="28" w16cid:durableId="2040088058">
    <w:abstractNumId w:val="19"/>
  </w:num>
  <w:num w:numId="29" w16cid:durableId="1780565830">
    <w:abstractNumId w:val="11"/>
  </w:num>
  <w:num w:numId="30" w16cid:durableId="405763411">
    <w:abstractNumId w:val="17"/>
  </w:num>
  <w:num w:numId="31" w16cid:durableId="1614172259">
    <w:abstractNumId w:val="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1"/>
  <w:embedTrueType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80"/>
  <w:drawingGridHorizontalSpacing w:val="43"/>
  <w:noPunctuationKerning/>
  <w:characterSpacingControl w:val="doNotCompress"/>
  <w:hdrShapeDefaults>
    <o:shapedefaults v:ext="edit" spidmax="2050">
      <o:colormru v:ext="edit" colors="#eaeaea,#005daa,#13b5ea,#c9c1b8,#ebd722,#002b5c,black,#808184"/>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randing" w:val="Deutsche Bank"/>
    <w:docVar w:name="CreatorVersion" w:val="3.0"/>
    <w:docVar w:name="DocType" w:val="Portrait Book"/>
    <w:docVar w:name="NewDoc" w:val="False"/>
  </w:docVars>
  <w:rsids>
    <w:rsidRoot w:val="008A4165"/>
    <w:rsid w:val="000007C4"/>
    <w:rsid w:val="00003C0C"/>
    <w:rsid w:val="00004213"/>
    <w:rsid w:val="000050E9"/>
    <w:rsid w:val="0000570B"/>
    <w:rsid w:val="00011066"/>
    <w:rsid w:val="000121EF"/>
    <w:rsid w:val="000122CD"/>
    <w:rsid w:val="00012B5F"/>
    <w:rsid w:val="00014743"/>
    <w:rsid w:val="0001642A"/>
    <w:rsid w:val="0001753A"/>
    <w:rsid w:val="000225AB"/>
    <w:rsid w:val="00022A0E"/>
    <w:rsid w:val="0002312F"/>
    <w:rsid w:val="0002317B"/>
    <w:rsid w:val="00023D60"/>
    <w:rsid w:val="000259C0"/>
    <w:rsid w:val="0002629E"/>
    <w:rsid w:val="000268D0"/>
    <w:rsid w:val="000310D5"/>
    <w:rsid w:val="00031D31"/>
    <w:rsid w:val="00032802"/>
    <w:rsid w:val="000366CF"/>
    <w:rsid w:val="00037870"/>
    <w:rsid w:val="000410ED"/>
    <w:rsid w:val="0004154E"/>
    <w:rsid w:val="00042048"/>
    <w:rsid w:val="00042A27"/>
    <w:rsid w:val="00043BAD"/>
    <w:rsid w:val="00044595"/>
    <w:rsid w:val="00045EDB"/>
    <w:rsid w:val="000526FE"/>
    <w:rsid w:val="00055935"/>
    <w:rsid w:val="00057E3B"/>
    <w:rsid w:val="00061671"/>
    <w:rsid w:val="0006318A"/>
    <w:rsid w:val="000632F5"/>
    <w:rsid w:val="000641A7"/>
    <w:rsid w:val="000646AC"/>
    <w:rsid w:val="00064A90"/>
    <w:rsid w:val="00067651"/>
    <w:rsid w:val="00071984"/>
    <w:rsid w:val="00077257"/>
    <w:rsid w:val="00077A21"/>
    <w:rsid w:val="00077BD4"/>
    <w:rsid w:val="00080654"/>
    <w:rsid w:val="00081CA6"/>
    <w:rsid w:val="0008352D"/>
    <w:rsid w:val="000839ED"/>
    <w:rsid w:val="00083BA5"/>
    <w:rsid w:val="00083DE3"/>
    <w:rsid w:val="00084C8A"/>
    <w:rsid w:val="00085AB8"/>
    <w:rsid w:val="00087308"/>
    <w:rsid w:val="000876FE"/>
    <w:rsid w:val="00094184"/>
    <w:rsid w:val="0009622C"/>
    <w:rsid w:val="00096C86"/>
    <w:rsid w:val="000A38F2"/>
    <w:rsid w:val="000A3F61"/>
    <w:rsid w:val="000B0E1D"/>
    <w:rsid w:val="000B291C"/>
    <w:rsid w:val="000B3D2C"/>
    <w:rsid w:val="000B50A9"/>
    <w:rsid w:val="000B5590"/>
    <w:rsid w:val="000B7A3E"/>
    <w:rsid w:val="000C57F6"/>
    <w:rsid w:val="000D0EBE"/>
    <w:rsid w:val="000D23AD"/>
    <w:rsid w:val="000D249A"/>
    <w:rsid w:val="000D29AB"/>
    <w:rsid w:val="000D7508"/>
    <w:rsid w:val="000D7DAE"/>
    <w:rsid w:val="000E20FA"/>
    <w:rsid w:val="000E2D2A"/>
    <w:rsid w:val="000E455F"/>
    <w:rsid w:val="000E47F9"/>
    <w:rsid w:val="000E6197"/>
    <w:rsid w:val="000F475F"/>
    <w:rsid w:val="000F486B"/>
    <w:rsid w:val="000F4C2C"/>
    <w:rsid w:val="000F4CCF"/>
    <w:rsid w:val="000F4FD3"/>
    <w:rsid w:val="001011AC"/>
    <w:rsid w:val="00105B09"/>
    <w:rsid w:val="001075C4"/>
    <w:rsid w:val="00107933"/>
    <w:rsid w:val="001104AE"/>
    <w:rsid w:val="00110932"/>
    <w:rsid w:val="00111831"/>
    <w:rsid w:val="00111CA8"/>
    <w:rsid w:val="00112CE6"/>
    <w:rsid w:val="0011412F"/>
    <w:rsid w:val="00115814"/>
    <w:rsid w:val="00116F21"/>
    <w:rsid w:val="00116FFF"/>
    <w:rsid w:val="001212D6"/>
    <w:rsid w:val="00122076"/>
    <w:rsid w:val="00123298"/>
    <w:rsid w:val="00124420"/>
    <w:rsid w:val="001248B8"/>
    <w:rsid w:val="001303DF"/>
    <w:rsid w:val="00130ADC"/>
    <w:rsid w:val="0013170B"/>
    <w:rsid w:val="00131FA0"/>
    <w:rsid w:val="001333E9"/>
    <w:rsid w:val="0013406E"/>
    <w:rsid w:val="00136AB8"/>
    <w:rsid w:val="001413C2"/>
    <w:rsid w:val="00141791"/>
    <w:rsid w:val="001438E4"/>
    <w:rsid w:val="00144A34"/>
    <w:rsid w:val="0014553D"/>
    <w:rsid w:val="00146229"/>
    <w:rsid w:val="00146EA2"/>
    <w:rsid w:val="00147E12"/>
    <w:rsid w:val="00150B66"/>
    <w:rsid w:val="00150F43"/>
    <w:rsid w:val="00152B5E"/>
    <w:rsid w:val="00153538"/>
    <w:rsid w:val="001543B6"/>
    <w:rsid w:val="00155280"/>
    <w:rsid w:val="00155323"/>
    <w:rsid w:val="00155D44"/>
    <w:rsid w:val="0015790E"/>
    <w:rsid w:val="00161CEE"/>
    <w:rsid w:val="00162219"/>
    <w:rsid w:val="00163B5B"/>
    <w:rsid w:val="001670F3"/>
    <w:rsid w:val="00170088"/>
    <w:rsid w:val="00171173"/>
    <w:rsid w:val="001725FE"/>
    <w:rsid w:val="00172E2E"/>
    <w:rsid w:val="00173806"/>
    <w:rsid w:val="00173B69"/>
    <w:rsid w:val="001748C7"/>
    <w:rsid w:val="00175434"/>
    <w:rsid w:val="001754CF"/>
    <w:rsid w:val="00176B4A"/>
    <w:rsid w:val="00181BC5"/>
    <w:rsid w:val="001833FF"/>
    <w:rsid w:val="001858D9"/>
    <w:rsid w:val="00185FA9"/>
    <w:rsid w:val="00187009"/>
    <w:rsid w:val="001875BF"/>
    <w:rsid w:val="001878FF"/>
    <w:rsid w:val="0019025A"/>
    <w:rsid w:val="00193527"/>
    <w:rsid w:val="0019791B"/>
    <w:rsid w:val="001A2D88"/>
    <w:rsid w:val="001A4C79"/>
    <w:rsid w:val="001A66C2"/>
    <w:rsid w:val="001B0846"/>
    <w:rsid w:val="001B2BEE"/>
    <w:rsid w:val="001B2DF8"/>
    <w:rsid w:val="001B788E"/>
    <w:rsid w:val="001C07E6"/>
    <w:rsid w:val="001C08D3"/>
    <w:rsid w:val="001C1B6D"/>
    <w:rsid w:val="001C256F"/>
    <w:rsid w:val="001C4478"/>
    <w:rsid w:val="001C746F"/>
    <w:rsid w:val="001D0A4F"/>
    <w:rsid w:val="001D0EB0"/>
    <w:rsid w:val="001D16D8"/>
    <w:rsid w:val="001D1FFE"/>
    <w:rsid w:val="001D2867"/>
    <w:rsid w:val="001D341D"/>
    <w:rsid w:val="001D6616"/>
    <w:rsid w:val="001D6A4C"/>
    <w:rsid w:val="001D6BB3"/>
    <w:rsid w:val="001E19C3"/>
    <w:rsid w:val="001E3270"/>
    <w:rsid w:val="001F5613"/>
    <w:rsid w:val="001F662F"/>
    <w:rsid w:val="001F6DA2"/>
    <w:rsid w:val="001F7CAA"/>
    <w:rsid w:val="00200F0F"/>
    <w:rsid w:val="00201273"/>
    <w:rsid w:val="00201CB6"/>
    <w:rsid w:val="002021F0"/>
    <w:rsid w:val="00203DF5"/>
    <w:rsid w:val="00210BF9"/>
    <w:rsid w:val="0021305B"/>
    <w:rsid w:val="00215D4B"/>
    <w:rsid w:val="00216056"/>
    <w:rsid w:val="00217A23"/>
    <w:rsid w:val="00220C0A"/>
    <w:rsid w:val="00221F0F"/>
    <w:rsid w:val="0022325A"/>
    <w:rsid w:val="00223F30"/>
    <w:rsid w:val="0022753D"/>
    <w:rsid w:val="00230536"/>
    <w:rsid w:val="002305AA"/>
    <w:rsid w:val="0023351A"/>
    <w:rsid w:val="00233AA1"/>
    <w:rsid w:val="0023470B"/>
    <w:rsid w:val="00234717"/>
    <w:rsid w:val="002430B9"/>
    <w:rsid w:val="00252325"/>
    <w:rsid w:val="00253517"/>
    <w:rsid w:val="00253632"/>
    <w:rsid w:val="00255C13"/>
    <w:rsid w:val="00256495"/>
    <w:rsid w:val="002643AB"/>
    <w:rsid w:val="002648CF"/>
    <w:rsid w:val="0026619A"/>
    <w:rsid w:val="00266C64"/>
    <w:rsid w:val="00267F35"/>
    <w:rsid w:val="0027070B"/>
    <w:rsid w:val="00273260"/>
    <w:rsid w:val="00274797"/>
    <w:rsid w:val="00276825"/>
    <w:rsid w:val="00280B20"/>
    <w:rsid w:val="00283865"/>
    <w:rsid w:val="00284A35"/>
    <w:rsid w:val="00285286"/>
    <w:rsid w:val="002877E7"/>
    <w:rsid w:val="002944A8"/>
    <w:rsid w:val="002A5950"/>
    <w:rsid w:val="002A5A99"/>
    <w:rsid w:val="002A785B"/>
    <w:rsid w:val="002A7E00"/>
    <w:rsid w:val="002B098C"/>
    <w:rsid w:val="002B1128"/>
    <w:rsid w:val="002B1887"/>
    <w:rsid w:val="002B311B"/>
    <w:rsid w:val="002B36E1"/>
    <w:rsid w:val="002B5ADC"/>
    <w:rsid w:val="002B6824"/>
    <w:rsid w:val="002C03B4"/>
    <w:rsid w:val="002C1C26"/>
    <w:rsid w:val="002C3FA6"/>
    <w:rsid w:val="002C4A09"/>
    <w:rsid w:val="002D2DF3"/>
    <w:rsid w:val="002D427C"/>
    <w:rsid w:val="002D5DB2"/>
    <w:rsid w:val="002D5DD6"/>
    <w:rsid w:val="002D6110"/>
    <w:rsid w:val="002D6246"/>
    <w:rsid w:val="002D6DE6"/>
    <w:rsid w:val="002D7C30"/>
    <w:rsid w:val="002E0D36"/>
    <w:rsid w:val="002E1696"/>
    <w:rsid w:val="002E2274"/>
    <w:rsid w:val="002E3544"/>
    <w:rsid w:val="002E7028"/>
    <w:rsid w:val="002F1594"/>
    <w:rsid w:val="002F2D08"/>
    <w:rsid w:val="002F3E27"/>
    <w:rsid w:val="003000B1"/>
    <w:rsid w:val="00300DBA"/>
    <w:rsid w:val="00301EA4"/>
    <w:rsid w:val="00302C35"/>
    <w:rsid w:val="00306043"/>
    <w:rsid w:val="00306D73"/>
    <w:rsid w:val="003073DA"/>
    <w:rsid w:val="0030752F"/>
    <w:rsid w:val="00310237"/>
    <w:rsid w:val="003109CF"/>
    <w:rsid w:val="0031609F"/>
    <w:rsid w:val="003172E1"/>
    <w:rsid w:val="00320C34"/>
    <w:rsid w:val="00321100"/>
    <w:rsid w:val="00323A87"/>
    <w:rsid w:val="00324579"/>
    <w:rsid w:val="00324987"/>
    <w:rsid w:val="00324EB1"/>
    <w:rsid w:val="00325FEC"/>
    <w:rsid w:val="003278BD"/>
    <w:rsid w:val="00330CAF"/>
    <w:rsid w:val="0033128B"/>
    <w:rsid w:val="00333BFF"/>
    <w:rsid w:val="00335705"/>
    <w:rsid w:val="003359F8"/>
    <w:rsid w:val="0034095B"/>
    <w:rsid w:val="00340D0B"/>
    <w:rsid w:val="00342129"/>
    <w:rsid w:val="003437F4"/>
    <w:rsid w:val="00344BD9"/>
    <w:rsid w:val="003475B3"/>
    <w:rsid w:val="003476D5"/>
    <w:rsid w:val="00350012"/>
    <w:rsid w:val="00350945"/>
    <w:rsid w:val="00351746"/>
    <w:rsid w:val="00352E52"/>
    <w:rsid w:val="00353E9C"/>
    <w:rsid w:val="003545BE"/>
    <w:rsid w:val="00356FEA"/>
    <w:rsid w:val="00360193"/>
    <w:rsid w:val="00362288"/>
    <w:rsid w:val="003631C7"/>
    <w:rsid w:val="0036385B"/>
    <w:rsid w:val="00363F17"/>
    <w:rsid w:val="00365FE0"/>
    <w:rsid w:val="003678E8"/>
    <w:rsid w:val="00370F3C"/>
    <w:rsid w:val="00372480"/>
    <w:rsid w:val="00377163"/>
    <w:rsid w:val="003773CE"/>
    <w:rsid w:val="00380ABE"/>
    <w:rsid w:val="003820F3"/>
    <w:rsid w:val="00382176"/>
    <w:rsid w:val="00384D68"/>
    <w:rsid w:val="003856F0"/>
    <w:rsid w:val="00385A2B"/>
    <w:rsid w:val="0039086D"/>
    <w:rsid w:val="0039100E"/>
    <w:rsid w:val="0039392B"/>
    <w:rsid w:val="0039548C"/>
    <w:rsid w:val="003954E7"/>
    <w:rsid w:val="00395A9D"/>
    <w:rsid w:val="0039607A"/>
    <w:rsid w:val="0039620E"/>
    <w:rsid w:val="0039777B"/>
    <w:rsid w:val="003A0C05"/>
    <w:rsid w:val="003A5CEA"/>
    <w:rsid w:val="003A6BD8"/>
    <w:rsid w:val="003A6F41"/>
    <w:rsid w:val="003B02B4"/>
    <w:rsid w:val="003B09E2"/>
    <w:rsid w:val="003B3702"/>
    <w:rsid w:val="003B5125"/>
    <w:rsid w:val="003B52F0"/>
    <w:rsid w:val="003C0E6B"/>
    <w:rsid w:val="003C29F9"/>
    <w:rsid w:val="003C2C66"/>
    <w:rsid w:val="003C341E"/>
    <w:rsid w:val="003C38A3"/>
    <w:rsid w:val="003C3B70"/>
    <w:rsid w:val="003C3E74"/>
    <w:rsid w:val="003C5DDA"/>
    <w:rsid w:val="003C6125"/>
    <w:rsid w:val="003C613D"/>
    <w:rsid w:val="003C62A8"/>
    <w:rsid w:val="003C6FB6"/>
    <w:rsid w:val="003C6FC0"/>
    <w:rsid w:val="003D655B"/>
    <w:rsid w:val="003D6788"/>
    <w:rsid w:val="003D7033"/>
    <w:rsid w:val="003E5470"/>
    <w:rsid w:val="003E7BD3"/>
    <w:rsid w:val="003E7F01"/>
    <w:rsid w:val="003F017A"/>
    <w:rsid w:val="003F1AAB"/>
    <w:rsid w:val="003F2417"/>
    <w:rsid w:val="003F26A8"/>
    <w:rsid w:val="003F3180"/>
    <w:rsid w:val="003F495B"/>
    <w:rsid w:val="003F7470"/>
    <w:rsid w:val="00404911"/>
    <w:rsid w:val="00404D36"/>
    <w:rsid w:val="00405562"/>
    <w:rsid w:val="00406975"/>
    <w:rsid w:val="004111C6"/>
    <w:rsid w:val="004114D6"/>
    <w:rsid w:val="0041335F"/>
    <w:rsid w:val="00413E83"/>
    <w:rsid w:val="004140B2"/>
    <w:rsid w:val="00415D02"/>
    <w:rsid w:val="00415F69"/>
    <w:rsid w:val="00417450"/>
    <w:rsid w:val="00420AB0"/>
    <w:rsid w:val="00431C35"/>
    <w:rsid w:val="00433309"/>
    <w:rsid w:val="00433503"/>
    <w:rsid w:val="00437D11"/>
    <w:rsid w:val="004402DE"/>
    <w:rsid w:val="0044561F"/>
    <w:rsid w:val="00446787"/>
    <w:rsid w:val="00447CE7"/>
    <w:rsid w:val="00453018"/>
    <w:rsid w:val="00454742"/>
    <w:rsid w:val="00455DDE"/>
    <w:rsid w:val="004572B8"/>
    <w:rsid w:val="0045770D"/>
    <w:rsid w:val="00460478"/>
    <w:rsid w:val="00463FEC"/>
    <w:rsid w:val="0046488A"/>
    <w:rsid w:val="00464C4C"/>
    <w:rsid w:val="00465DD3"/>
    <w:rsid w:val="00466A0C"/>
    <w:rsid w:val="00466FB5"/>
    <w:rsid w:val="004670CE"/>
    <w:rsid w:val="00472A45"/>
    <w:rsid w:val="00472F15"/>
    <w:rsid w:val="004764E9"/>
    <w:rsid w:val="0047767C"/>
    <w:rsid w:val="00481A6D"/>
    <w:rsid w:val="00482C6E"/>
    <w:rsid w:val="00486AD0"/>
    <w:rsid w:val="00490D4A"/>
    <w:rsid w:val="00490D7A"/>
    <w:rsid w:val="00491FA5"/>
    <w:rsid w:val="004938AF"/>
    <w:rsid w:val="00494966"/>
    <w:rsid w:val="00494BDE"/>
    <w:rsid w:val="00496B6C"/>
    <w:rsid w:val="0049775F"/>
    <w:rsid w:val="004A0891"/>
    <w:rsid w:val="004A0A0A"/>
    <w:rsid w:val="004A21A3"/>
    <w:rsid w:val="004A2B98"/>
    <w:rsid w:val="004A3343"/>
    <w:rsid w:val="004A355D"/>
    <w:rsid w:val="004A397C"/>
    <w:rsid w:val="004A5D16"/>
    <w:rsid w:val="004A6AB5"/>
    <w:rsid w:val="004A78BD"/>
    <w:rsid w:val="004B0E58"/>
    <w:rsid w:val="004B2E02"/>
    <w:rsid w:val="004B4FF3"/>
    <w:rsid w:val="004B51A4"/>
    <w:rsid w:val="004B5B0C"/>
    <w:rsid w:val="004B6A18"/>
    <w:rsid w:val="004B78AF"/>
    <w:rsid w:val="004C20F3"/>
    <w:rsid w:val="004C3E47"/>
    <w:rsid w:val="004C7CB8"/>
    <w:rsid w:val="004D2DE5"/>
    <w:rsid w:val="004D647B"/>
    <w:rsid w:val="004D7881"/>
    <w:rsid w:val="004D7ECE"/>
    <w:rsid w:val="004E0B1D"/>
    <w:rsid w:val="004E2AF6"/>
    <w:rsid w:val="004E4536"/>
    <w:rsid w:val="004E6360"/>
    <w:rsid w:val="004E78F3"/>
    <w:rsid w:val="004E7FCB"/>
    <w:rsid w:val="004F0DC9"/>
    <w:rsid w:val="004F0E14"/>
    <w:rsid w:val="004F1175"/>
    <w:rsid w:val="004F26FC"/>
    <w:rsid w:val="004F28CE"/>
    <w:rsid w:val="004F2A8D"/>
    <w:rsid w:val="004F2B69"/>
    <w:rsid w:val="004F38E1"/>
    <w:rsid w:val="004F3B64"/>
    <w:rsid w:val="004F494C"/>
    <w:rsid w:val="004F5306"/>
    <w:rsid w:val="004F6715"/>
    <w:rsid w:val="004F69A5"/>
    <w:rsid w:val="004F69BC"/>
    <w:rsid w:val="00504A3B"/>
    <w:rsid w:val="00504FE7"/>
    <w:rsid w:val="00505960"/>
    <w:rsid w:val="00506819"/>
    <w:rsid w:val="00511491"/>
    <w:rsid w:val="00511CE6"/>
    <w:rsid w:val="0051240C"/>
    <w:rsid w:val="00512586"/>
    <w:rsid w:val="00513209"/>
    <w:rsid w:val="00517244"/>
    <w:rsid w:val="00526FA5"/>
    <w:rsid w:val="00527FEC"/>
    <w:rsid w:val="005310E3"/>
    <w:rsid w:val="005346AD"/>
    <w:rsid w:val="00534856"/>
    <w:rsid w:val="00535DC7"/>
    <w:rsid w:val="00535FB1"/>
    <w:rsid w:val="00541410"/>
    <w:rsid w:val="00542623"/>
    <w:rsid w:val="00542C59"/>
    <w:rsid w:val="00542D94"/>
    <w:rsid w:val="00544D0E"/>
    <w:rsid w:val="00545040"/>
    <w:rsid w:val="00545B49"/>
    <w:rsid w:val="00547AB8"/>
    <w:rsid w:val="00547CD5"/>
    <w:rsid w:val="00552AA8"/>
    <w:rsid w:val="00552C09"/>
    <w:rsid w:val="005532E9"/>
    <w:rsid w:val="0055606D"/>
    <w:rsid w:val="00560E73"/>
    <w:rsid w:val="00563BB8"/>
    <w:rsid w:val="005657B7"/>
    <w:rsid w:val="005676DA"/>
    <w:rsid w:val="005703DC"/>
    <w:rsid w:val="005713DB"/>
    <w:rsid w:val="00572E80"/>
    <w:rsid w:val="00575479"/>
    <w:rsid w:val="00580A72"/>
    <w:rsid w:val="0058109D"/>
    <w:rsid w:val="0058171E"/>
    <w:rsid w:val="00581F91"/>
    <w:rsid w:val="00582191"/>
    <w:rsid w:val="0058407E"/>
    <w:rsid w:val="00586BB8"/>
    <w:rsid w:val="005943CC"/>
    <w:rsid w:val="00595CB1"/>
    <w:rsid w:val="00595DE4"/>
    <w:rsid w:val="005A03C8"/>
    <w:rsid w:val="005A06A4"/>
    <w:rsid w:val="005A2001"/>
    <w:rsid w:val="005A5883"/>
    <w:rsid w:val="005A5E69"/>
    <w:rsid w:val="005A7071"/>
    <w:rsid w:val="005A74F1"/>
    <w:rsid w:val="005B0008"/>
    <w:rsid w:val="005B062D"/>
    <w:rsid w:val="005B149C"/>
    <w:rsid w:val="005B2F0F"/>
    <w:rsid w:val="005B48C6"/>
    <w:rsid w:val="005B4B43"/>
    <w:rsid w:val="005B6AB4"/>
    <w:rsid w:val="005C222E"/>
    <w:rsid w:val="005C23D1"/>
    <w:rsid w:val="005C2B1C"/>
    <w:rsid w:val="005C2D5B"/>
    <w:rsid w:val="005C2F53"/>
    <w:rsid w:val="005C4306"/>
    <w:rsid w:val="005C524E"/>
    <w:rsid w:val="005C755C"/>
    <w:rsid w:val="005C7EB9"/>
    <w:rsid w:val="005D0C61"/>
    <w:rsid w:val="005D5E1E"/>
    <w:rsid w:val="005D64E0"/>
    <w:rsid w:val="005E112C"/>
    <w:rsid w:val="005E12C5"/>
    <w:rsid w:val="005E212D"/>
    <w:rsid w:val="005E31A3"/>
    <w:rsid w:val="005E46DB"/>
    <w:rsid w:val="005E5DA1"/>
    <w:rsid w:val="005F3E4A"/>
    <w:rsid w:val="005F561E"/>
    <w:rsid w:val="005F605E"/>
    <w:rsid w:val="005F7D49"/>
    <w:rsid w:val="0060050C"/>
    <w:rsid w:val="00600952"/>
    <w:rsid w:val="00600D23"/>
    <w:rsid w:val="00601890"/>
    <w:rsid w:val="00603703"/>
    <w:rsid w:val="00604540"/>
    <w:rsid w:val="00604E08"/>
    <w:rsid w:val="006057F9"/>
    <w:rsid w:val="00610C21"/>
    <w:rsid w:val="0061233C"/>
    <w:rsid w:val="00613DA1"/>
    <w:rsid w:val="0061515B"/>
    <w:rsid w:val="00616258"/>
    <w:rsid w:val="00621D43"/>
    <w:rsid w:val="00624C2E"/>
    <w:rsid w:val="006261A5"/>
    <w:rsid w:val="0062670D"/>
    <w:rsid w:val="0063557E"/>
    <w:rsid w:val="0064025C"/>
    <w:rsid w:val="00641837"/>
    <w:rsid w:val="0064314A"/>
    <w:rsid w:val="00643FE6"/>
    <w:rsid w:val="00644C10"/>
    <w:rsid w:val="006463E5"/>
    <w:rsid w:val="006466E2"/>
    <w:rsid w:val="00647F9D"/>
    <w:rsid w:val="00650E32"/>
    <w:rsid w:val="00650FC8"/>
    <w:rsid w:val="00652C41"/>
    <w:rsid w:val="00653CBB"/>
    <w:rsid w:val="00653F82"/>
    <w:rsid w:val="006545F5"/>
    <w:rsid w:val="00654C18"/>
    <w:rsid w:val="00654DE7"/>
    <w:rsid w:val="0065561B"/>
    <w:rsid w:val="006602B9"/>
    <w:rsid w:val="00662F3A"/>
    <w:rsid w:val="0066417F"/>
    <w:rsid w:val="00665740"/>
    <w:rsid w:val="006660B9"/>
    <w:rsid w:val="006671E2"/>
    <w:rsid w:val="00670A11"/>
    <w:rsid w:val="006715B1"/>
    <w:rsid w:val="00671C0D"/>
    <w:rsid w:val="0067230D"/>
    <w:rsid w:val="00677137"/>
    <w:rsid w:val="00680D37"/>
    <w:rsid w:val="00681600"/>
    <w:rsid w:val="00681FFA"/>
    <w:rsid w:val="0068345C"/>
    <w:rsid w:val="00685363"/>
    <w:rsid w:val="006853A5"/>
    <w:rsid w:val="00685813"/>
    <w:rsid w:val="00685FCF"/>
    <w:rsid w:val="0069103C"/>
    <w:rsid w:val="0069104E"/>
    <w:rsid w:val="00691E10"/>
    <w:rsid w:val="00693041"/>
    <w:rsid w:val="00693558"/>
    <w:rsid w:val="006941CE"/>
    <w:rsid w:val="006947E6"/>
    <w:rsid w:val="00695D4A"/>
    <w:rsid w:val="00696384"/>
    <w:rsid w:val="00696B9B"/>
    <w:rsid w:val="006A3E15"/>
    <w:rsid w:val="006A3FB6"/>
    <w:rsid w:val="006A5BA0"/>
    <w:rsid w:val="006A6A3F"/>
    <w:rsid w:val="006A6A98"/>
    <w:rsid w:val="006A7267"/>
    <w:rsid w:val="006B0B1F"/>
    <w:rsid w:val="006B0D6F"/>
    <w:rsid w:val="006B2528"/>
    <w:rsid w:val="006B3F60"/>
    <w:rsid w:val="006B77D4"/>
    <w:rsid w:val="006C2C10"/>
    <w:rsid w:val="006C5A62"/>
    <w:rsid w:val="006D1CC2"/>
    <w:rsid w:val="006D264B"/>
    <w:rsid w:val="006D2BB4"/>
    <w:rsid w:val="006D31DB"/>
    <w:rsid w:val="006D3781"/>
    <w:rsid w:val="006D4774"/>
    <w:rsid w:val="006D5774"/>
    <w:rsid w:val="006D586B"/>
    <w:rsid w:val="006E1D84"/>
    <w:rsid w:val="006E2B0C"/>
    <w:rsid w:val="006E3ABD"/>
    <w:rsid w:val="006E51A6"/>
    <w:rsid w:val="006E57D1"/>
    <w:rsid w:val="006E5A68"/>
    <w:rsid w:val="006F0FD0"/>
    <w:rsid w:val="006F4066"/>
    <w:rsid w:val="006F77AE"/>
    <w:rsid w:val="00701C19"/>
    <w:rsid w:val="007021EC"/>
    <w:rsid w:val="007044C6"/>
    <w:rsid w:val="0070459C"/>
    <w:rsid w:val="00712431"/>
    <w:rsid w:val="00712849"/>
    <w:rsid w:val="00714631"/>
    <w:rsid w:val="007162C2"/>
    <w:rsid w:val="0071638E"/>
    <w:rsid w:val="00720B4B"/>
    <w:rsid w:val="00721BAA"/>
    <w:rsid w:val="0072263F"/>
    <w:rsid w:val="00722882"/>
    <w:rsid w:val="00726827"/>
    <w:rsid w:val="00730C0C"/>
    <w:rsid w:val="00730CE8"/>
    <w:rsid w:val="00731D21"/>
    <w:rsid w:val="00732334"/>
    <w:rsid w:val="0074061E"/>
    <w:rsid w:val="00740D78"/>
    <w:rsid w:val="00741FF9"/>
    <w:rsid w:val="0074494C"/>
    <w:rsid w:val="00751421"/>
    <w:rsid w:val="0075447D"/>
    <w:rsid w:val="00755239"/>
    <w:rsid w:val="00756E9D"/>
    <w:rsid w:val="00757664"/>
    <w:rsid w:val="0076075E"/>
    <w:rsid w:val="007618EC"/>
    <w:rsid w:val="00764716"/>
    <w:rsid w:val="00767554"/>
    <w:rsid w:val="00770353"/>
    <w:rsid w:val="00771504"/>
    <w:rsid w:val="007718E6"/>
    <w:rsid w:val="007735A6"/>
    <w:rsid w:val="00773C72"/>
    <w:rsid w:val="00774093"/>
    <w:rsid w:val="0077467D"/>
    <w:rsid w:val="007812C9"/>
    <w:rsid w:val="0078211E"/>
    <w:rsid w:val="007868DB"/>
    <w:rsid w:val="007907BD"/>
    <w:rsid w:val="00791655"/>
    <w:rsid w:val="007953F5"/>
    <w:rsid w:val="007A0165"/>
    <w:rsid w:val="007A03DC"/>
    <w:rsid w:val="007A16B3"/>
    <w:rsid w:val="007A1DF8"/>
    <w:rsid w:val="007A4905"/>
    <w:rsid w:val="007A6749"/>
    <w:rsid w:val="007A6C23"/>
    <w:rsid w:val="007A6D01"/>
    <w:rsid w:val="007B04E9"/>
    <w:rsid w:val="007B14F0"/>
    <w:rsid w:val="007B3B2B"/>
    <w:rsid w:val="007B58E6"/>
    <w:rsid w:val="007B5F79"/>
    <w:rsid w:val="007B6B4A"/>
    <w:rsid w:val="007C1773"/>
    <w:rsid w:val="007C1A48"/>
    <w:rsid w:val="007C30CD"/>
    <w:rsid w:val="007C38E4"/>
    <w:rsid w:val="007C4083"/>
    <w:rsid w:val="007C464D"/>
    <w:rsid w:val="007C509F"/>
    <w:rsid w:val="007C50FA"/>
    <w:rsid w:val="007C5BC1"/>
    <w:rsid w:val="007C77AD"/>
    <w:rsid w:val="007C7C6E"/>
    <w:rsid w:val="007D20EF"/>
    <w:rsid w:val="007D2BEE"/>
    <w:rsid w:val="007D3637"/>
    <w:rsid w:val="007D38D9"/>
    <w:rsid w:val="007D3CA1"/>
    <w:rsid w:val="007D5B36"/>
    <w:rsid w:val="007D7724"/>
    <w:rsid w:val="007D7FB6"/>
    <w:rsid w:val="007E1D0B"/>
    <w:rsid w:val="007E20F8"/>
    <w:rsid w:val="007E535B"/>
    <w:rsid w:val="007E6046"/>
    <w:rsid w:val="007E6319"/>
    <w:rsid w:val="007F29A8"/>
    <w:rsid w:val="007F2B8B"/>
    <w:rsid w:val="007F2C43"/>
    <w:rsid w:val="007F47F4"/>
    <w:rsid w:val="007F6283"/>
    <w:rsid w:val="007F659A"/>
    <w:rsid w:val="007F77FA"/>
    <w:rsid w:val="008005A0"/>
    <w:rsid w:val="008013EF"/>
    <w:rsid w:val="008027C9"/>
    <w:rsid w:val="00802FE3"/>
    <w:rsid w:val="00803B42"/>
    <w:rsid w:val="00805DF1"/>
    <w:rsid w:val="00806F52"/>
    <w:rsid w:val="008073D8"/>
    <w:rsid w:val="008074AE"/>
    <w:rsid w:val="008109FB"/>
    <w:rsid w:val="008113FC"/>
    <w:rsid w:val="00811650"/>
    <w:rsid w:val="00815AC0"/>
    <w:rsid w:val="00816E12"/>
    <w:rsid w:val="0082292A"/>
    <w:rsid w:val="008229B6"/>
    <w:rsid w:val="00825014"/>
    <w:rsid w:val="008279A8"/>
    <w:rsid w:val="00836463"/>
    <w:rsid w:val="008406BA"/>
    <w:rsid w:val="008439C9"/>
    <w:rsid w:val="00844660"/>
    <w:rsid w:val="008452C9"/>
    <w:rsid w:val="00851358"/>
    <w:rsid w:val="00851A1B"/>
    <w:rsid w:val="008531F1"/>
    <w:rsid w:val="008543C9"/>
    <w:rsid w:val="008549AC"/>
    <w:rsid w:val="0086033D"/>
    <w:rsid w:val="00860ABB"/>
    <w:rsid w:val="00861385"/>
    <w:rsid w:val="008616B8"/>
    <w:rsid w:val="00861979"/>
    <w:rsid w:val="0086202E"/>
    <w:rsid w:val="00863067"/>
    <w:rsid w:val="008653E7"/>
    <w:rsid w:val="00865456"/>
    <w:rsid w:val="00866041"/>
    <w:rsid w:val="0086671C"/>
    <w:rsid w:val="00867682"/>
    <w:rsid w:val="00870A3F"/>
    <w:rsid w:val="00873800"/>
    <w:rsid w:val="0087409F"/>
    <w:rsid w:val="0087670B"/>
    <w:rsid w:val="008819D5"/>
    <w:rsid w:val="00883BD7"/>
    <w:rsid w:val="008850E6"/>
    <w:rsid w:val="00887BA1"/>
    <w:rsid w:val="00887EF9"/>
    <w:rsid w:val="0089356B"/>
    <w:rsid w:val="00894EF6"/>
    <w:rsid w:val="008959DC"/>
    <w:rsid w:val="00895CBE"/>
    <w:rsid w:val="008A0B26"/>
    <w:rsid w:val="008A0F78"/>
    <w:rsid w:val="008A11AE"/>
    <w:rsid w:val="008A22C1"/>
    <w:rsid w:val="008A4165"/>
    <w:rsid w:val="008A7681"/>
    <w:rsid w:val="008B229C"/>
    <w:rsid w:val="008B5885"/>
    <w:rsid w:val="008B6F94"/>
    <w:rsid w:val="008C02F5"/>
    <w:rsid w:val="008C1C38"/>
    <w:rsid w:val="008C3509"/>
    <w:rsid w:val="008C3C07"/>
    <w:rsid w:val="008C4F58"/>
    <w:rsid w:val="008D365B"/>
    <w:rsid w:val="008D4B40"/>
    <w:rsid w:val="008D4BA5"/>
    <w:rsid w:val="008D4DCB"/>
    <w:rsid w:val="008D5AB8"/>
    <w:rsid w:val="008E11FC"/>
    <w:rsid w:val="008E2BFC"/>
    <w:rsid w:val="008E4080"/>
    <w:rsid w:val="008E7CA9"/>
    <w:rsid w:val="008E7E3B"/>
    <w:rsid w:val="008F112C"/>
    <w:rsid w:val="008F37C0"/>
    <w:rsid w:val="008F5C71"/>
    <w:rsid w:val="008F7073"/>
    <w:rsid w:val="008F73B1"/>
    <w:rsid w:val="008F7CDD"/>
    <w:rsid w:val="00901225"/>
    <w:rsid w:val="00902619"/>
    <w:rsid w:val="00902660"/>
    <w:rsid w:val="00903CC4"/>
    <w:rsid w:val="00903E3C"/>
    <w:rsid w:val="0090546E"/>
    <w:rsid w:val="00907565"/>
    <w:rsid w:val="00910D7D"/>
    <w:rsid w:val="00912587"/>
    <w:rsid w:val="009150DD"/>
    <w:rsid w:val="0091687F"/>
    <w:rsid w:val="0091694C"/>
    <w:rsid w:val="0091755C"/>
    <w:rsid w:val="009206DC"/>
    <w:rsid w:val="009211C3"/>
    <w:rsid w:val="009222A9"/>
    <w:rsid w:val="00924C2D"/>
    <w:rsid w:val="0093393C"/>
    <w:rsid w:val="00933E25"/>
    <w:rsid w:val="0093431D"/>
    <w:rsid w:val="00934472"/>
    <w:rsid w:val="009357F1"/>
    <w:rsid w:val="00935CDD"/>
    <w:rsid w:val="00941845"/>
    <w:rsid w:val="00941F20"/>
    <w:rsid w:val="009430EA"/>
    <w:rsid w:val="0094391A"/>
    <w:rsid w:val="00945323"/>
    <w:rsid w:val="00945424"/>
    <w:rsid w:val="00945B6B"/>
    <w:rsid w:val="00947795"/>
    <w:rsid w:val="00950A54"/>
    <w:rsid w:val="00951FB8"/>
    <w:rsid w:val="00954E9C"/>
    <w:rsid w:val="00956115"/>
    <w:rsid w:val="009562AA"/>
    <w:rsid w:val="0096098D"/>
    <w:rsid w:val="009614F8"/>
    <w:rsid w:val="009644C1"/>
    <w:rsid w:val="00967555"/>
    <w:rsid w:val="0097011E"/>
    <w:rsid w:val="00970A82"/>
    <w:rsid w:val="009739E5"/>
    <w:rsid w:val="00974A57"/>
    <w:rsid w:val="00975F54"/>
    <w:rsid w:val="009777A9"/>
    <w:rsid w:val="00980391"/>
    <w:rsid w:val="00981B90"/>
    <w:rsid w:val="00981F04"/>
    <w:rsid w:val="00982326"/>
    <w:rsid w:val="00982A23"/>
    <w:rsid w:val="00982BE4"/>
    <w:rsid w:val="00986D3E"/>
    <w:rsid w:val="00987B2F"/>
    <w:rsid w:val="00992314"/>
    <w:rsid w:val="00993DBB"/>
    <w:rsid w:val="00994D7C"/>
    <w:rsid w:val="0099586A"/>
    <w:rsid w:val="00995CD6"/>
    <w:rsid w:val="00996821"/>
    <w:rsid w:val="009A1308"/>
    <w:rsid w:val="009A1C4D"/>
    <w:rsid w:val="009A29A5"/>
    <w:rsid w:val="009A3661"/>
    <w:rsid w:val="009A3EA8"/>
    <w:rsid w:val="009A4123"/>
    <w:rsid w:val="009A565E"/>
    <w:rsid w:val="009A650B"/>
    <w:rsid w:val="009A7380"/>
    <w:rsid w:val="009A7B37"/>
    <w:rsid w:val="009B03BA"/>
    <w:rsid w:val="009B18F0"/>
    <w:rsid w:val="009B2A0A"/>
    <w:rsid w:val="009B2C59"/>
    <w:rsid w:val="009B391E"/>
    <w:rsid w:val="009B4987"/>
    <w:rsid w:val="009B5848"/>
    <w:rsid w:val="009B5B88"/>
    <w:rsid w:val="009B5CF4"/>
    <w:rsid w:val="009C0B58"/>
    <w:rsid w:val="009C517B"/>
    <w:rsid w:val="009C5A50"/>
    <w:rsid w:val="009C5B80"/>
    <w:rsid w:val="009D2162"/>
    <w:rsid w:val="009D2803"/>
    <w:rsid w:val="009D3260"/>
    <w:rsid w:val="009D38EC"/>
    <w:rsid w:val="009D532E"/>
    <w:rsid w:val="009D5AF3"/>
    <w:rsid w:val="009E191F"/>
    <w:rsid w:val="009E1D8D"/>
    <w:rsid w:val="009E28C0"/>
    <w:rsid w:val="009E298F"/>
    <w:rsid w:val="009E37FF"/>
    <w:rsid w:val="009E5797"/>
    <w:rsid w:val="009E6BD8"/>
    <w:rsid w:val="009E74A3"/>
    <w:rsid w:val="009F1268"/>
    <w:rsid w:val="009F13A9"/>
    <w:rsid w:val="009F30C5"/>
    <w:rsid w:val="009F4CA0"/>
    <w:rsid w:val="009F4D74"/>
    <w:rsid w:val="009F5FF3"/>
    <w:rsid w:val="00A016D2"/>
    <w:rsid w:val="00A01D4C"/>
    <w:rsid w:val="00A03E20"/>
    <w:rsid w:val="00A046D1"/>
    <w:rsid w:val="00A04708"/>
    <w:rsid w:val="00A05A0B"/>
    <w:rsid w:val="00A12482"/>
    <w:rsid w:val="00A12727"/>
    <w:rsid w:val="00A134FE"/>
    <w:rsid w:val="00A13544"/>
    <w:rsid w:val="00A15DC1"/>
    <w:rsid w:val="00A17736"/>
    <w:rsid w:val="00A200CB"/>
    <w:rsid w:val="00A207D2"/>
    <w:rsid w:val="00A2175E"/>
    <w:rsid w:val="00A24B83"/>
    <w:rsid w:val="00A2626B"/>
    <w:rsid w:val="00A310FD"/>
    <w:rsid w:val="00A3189B"/>
    <w:rsid w:val="00A31A42"/>
    <w:rsid w:val="00A32D05"/>
    <w:rsid w:val="00A32D89"/>
    <w:rsid w:val="00A33016"/>
    <w:rsid w:val="00A33D8C"/>
    <w:rsid w:val="00A361D8"/>
    <w:rsid w:val="00A37A24"/>
    <w:rsid w:val="00A402BC"/>
    <w:rsid w:val="00A41435"/>
    <w:rsid w:val="00A42062"/>
    <w:rsid w:val="00A42AC0"/>
    <w:rsid w:val="00A45F36"/>
    <w:rsid w:val="00A47E77"/>
    <w:rsid w:val="00A51617"/>
    <w:rsid w:val="00A516D0"/>
    <w:rsid w:val="00A52785"/>
    <w:rsid w:val="00A55349"/>
    <w:rsid w:val="00A57E72"/>
    <w:rsid w:val="00A61276"/>
    <w:rsid w:val="00A627C0"/>
    <w:rsid w:val="00A62E7D"/>
    <w:rsid w:val="00A646CF"/>
    <w:rsid w:val="00A65D16"/>
    <w:rsid w:val="00A667A5"/>
    <w:rsid w:val="00A66EF4"/>
    <w:rsid w:val="00A6730A"/>
    <w:rsid w:val="00A67D87"/>
    <w:rsid w:val="00A70D0F"/>
    <w:rsid w:val="00A7343F"/>
    <w:rsid w:val="00A742CD"/>
    <w:rsid w:val="00A76D1B"/>
    <w:rsid w:val="00A824D5"/>
    <w:rsid w:val="00A83827"/>
    <w:rsid w:val="00A838AC"/>
    <w:rsid w:val="00A83E08"/>
    <w:rsid w:val="00A84B83"/>
    <w:rsid w:val="00A86E17"/>
    <w:rsid w:val="00A8798A"/>
    <w:rsid w:val="00A932C6"/>
    <w:rsid w:val="00A93895"/>
    <w:rsid w:val="00A96170"/>
    <w:rsid w:val="00A96BEF"/>
    <w:rsid w:val="00A974A0"/>
    <w:rsid w:val="00AA1CCF"/>
    <w:rsid w:val="00AA32AC"/>
    <w:rsid w:val="00AA3776"/>
    <w:rsid w:val="00AA5067"/>
    <w:rsid w:val="00AA52F5"/>
    <w:rsid w:val="00AA7AA2"/>
    <w:rsid w:val="00AB06B2"/>
    <w:rsid w:val="00AB0984"/>
    <w:rsid w:val="00AB1D37"/>
    <w:rsid w:val="00AB2137"/>
    <w:rsid w:val="00AB410D"/>
    <w:rsid w:val="00AB43BA"/>
    <w:rsid w:val="00AB7181"/>
    <w:rsid w:val="00AB77DE"/>
    <w:rsid w:val="00AC04AE"/>
    <w:rsid w:val="00AC22AD"/>
    <w:rsid w:val="00AC36FC"/>
    <w:rsid w:val="00AC37DC"/>
    <w:rsid w:val="00AC7355"/>
    <w:rsid w:val="00AD1903"/>
    <w:rsid w:val="00AD1C5A"/>
    <w:rsid w:val="00AD3A9B"/>
    <w:rsid w:val="00AD4107"/>
    <w:rsid w:val="00AD5653"/>
    <w:rsid w:val="00AD76F9"/>
    <w:rsid w:val="00AD787F"/>
    <w:rsid w:val="00AE0F88"/>
    <w:rsid w:val="00AE3C53"/>
    <w:rsid w:val="00AE4621"/>
    <w:rsid w:val="00AE5140"/>
    <w:rsid w:val="00AE5D4F"/>
    <w:rsid w:val="00AE5FAA"/>
    <w:rsid w:val="00AF5793"/>
    <w:rsid w:val="00AF5FE2"/>
    <w:rsid w:val="00AF6235"/>
    <w:rsid w:val="00B007DC"/>
    <w:rsid w:val="00B0111B"/>
    <w:rsid w:val="00B03311"/>
    <w:rsid w:val="00B04B6B"/>
    <w:rsid w:val="00B05DDF"/>
    <w:rsid w:val="00B1236D"/>
    <w:rsid w:val="00B14470"/>
    <w:rsid w:val="00B167E1"/>
    <w:rsid w:val="00B20EA9"/>
    <w:rsid w:val="00B22D2F"/>
    <w:rsid w:val="00B22EF0"/>
    <w:rsid w:val="00B27C3E"/>
    <w:rsid w:val="00B30367"/>
    <w:rsid w:val="00B306E5"/>
    <w:rsid w:val="00B31321"/>
    <w:rsid w:val="00B32E3F"/>
    <w:rsid w:val="00B335BB"/>
    <w:rsid w:val="00B346EF"/>
    <w:rsid w:val="00B3656D"/>
    <w:rsid w:val="00B36F20"/>
    <w:rsid w:val="00B37F26"/>
    <w:rsid w:val="00B462E4"/>
    <w:rsid w:val="00B463BD"/>
    <w:rsid w:val="00B50EBD"/>
    <w:rsid w:val="00B54C49"/>
    <w:rsid w:val="00B55A24"/>
    <w:rsid w:val="00B55B01"/>
    <w:rsid w:val="00B5658A"/>
    <w:rsid w:val="00B57D4B"/>
    <w:rsid w:val="00B6233C"/>
    <w:rsid w:val="00B628A4"/>
    <w:rsid w:val="00B63245"/>
    <w:rsid w:val="00B64484"/>
    <w:rsid w:val="00B652F1"/>
    <w:rsid w:val="00B65585"/>
    <w:rsid w:val="00B6729E"/>
    <w:rsid w:val="00B720D9"/>
    <w:rsid w:val="00B72CB0"/>
    <w:rsid w:val="00B731B4"/>
    <w:rsid w:val="00B73F97"/>
    <w:rsid w:val="00B75A9A"/>
    <w:rsid w:val="00B766CB"/>
    <w:rsid w:val="00B77452"/>
    <w:rsid w:val="00B80E1F"/>
    <w:rsid w:val="00B81FC5"/>
    <w:rsid w:val="00B84D59"/>
    <w:rsid w:val="00B85499"/>
    <w:rsid w:val="00B8615D"/>
    <w:rsid w:val="00B86BC1"/>
    <w:rsid w:val="00B87194"/>
    <w:rsid w:val="00B874D6"/>
    <w:rsid w:val="00B90CB6"/>
    <w:rsid w:val="00B94FAC"/>
    <w:rsid w:val="00B95AAA"/>
    <w:rsid w:val="00B96998"/>
    <w:rsid w:val="00BA0B27"/>
    <w:rsid w:val="00BA165A"/>
    <w:rsid w:val="00BA26BC"/>
    <w:rsid w:val="00BA322E"/>
    <w:rsid w:val="00BA54F3"/>
    <w:rsid w:val="00BA6021"/>
    <w:rsid w:val="00BA68A7"/>
    <w:rsid w:val="00BA6D79"/>
    <w:rsid w:val="00BB2177"/>
    <w:rsid w:val="00BB410A"/>
    <w:rsid w:val="00BB4F5D"/>
    <w:rsid w:val="00BB5571"/>
    <w:rsid w:val="00BB5C92"/>
    <w:rsid w:val="00BB5CDE"/>
    <w:rsid w:val="00BB6B59"/>
    <w:rsid w:val="00BB6E2E"/>
    <w:rsid w:val="00BB7709"/>
    <w:rsid w:val="00BC0299"/>
    <w:rsid w:val="00BC14D8"/>
    <w:rsid w:val="00BC3FD1"/>
    <w:rsid w:val="00BC4BAB"/>
    <w:rsid w:val="00BC4BE6"/>
    <w:rsid w:val="00BC546C"/>
    <w:rsid w:val="00BC6E1F"/>
    <w:rsid w:val="00BD11B7"/>
    <w:rsid w:val="00BD17CD"/>
    <w:rsid w:val="00BD3197"/>
    <w:rsid w:val="00BD6C8B"/>
    <w:rsid w:val="00BD7020"/>
    <w:rsid w:val="00BD7056"/>
    <w:rsid w:val="00BD70D8"/>
    <w:rsid w:val="00BD7509"/>
    <w:rsid w:val="00BE0274"/>
    <w:rsid w:val="00BE0B02"/>
    <w:rsid w:val="00BE2985"/>
    <w:rsid w:val="00BE4744"/>
    <w:rsid w:val="00BE6021"/>
    <w:rsid w:val="00BE6350"/>
    <w:rsid w:val="00BE6E5D"/>
    <w:rsid w:val="00BF0709"/>
    <w:rsid w:val="00BF0B68"/>
    <w:rsid w:val="00BF18B8"/>
    <w:rsid w:val="00BF2206"/>
    <w:rsid w:val="00BF40BD"/>
    <w:rsid w:val="00BF5D87"/>
    <w:rsid w:val="00BF675C"/>
    <w:rsid w:val="00BF7C8E"/>
    <w:rsid w:val="00BF7CC4"/>
    <w:rsid w:val="00C01B59"/>
    <w:rsid w:val="00C01C76"/>
    <w:rsid w:val="00C02A6A"/>
    <w:rsid w:val="00C10BC3"/>
    <w:rsid w:val="00C11569"/>
    <w:rsid w:val="00C150B2"/>
    <w:rsid w:val="00C1599A"/>
    <w:rsid w:val="00C15A7D"/>
    <w:rsid w:val="00C17302"/>
    <w:rsid w:val="00C205C8"/>
    <w:rsid w:val="00C20A85"/>
    <w:rsid w:val="00C21BD8"/>
    <w:rsid w:val="00C21E04"/>
    <w:rsid w:val="00C2368C"/>
    <w:rsid w:val="00C24C12"/>
    <w:rsid w:val="00C25B4C"/>
    <w:rsid w:val="00C308BA"/>
    <w:rsid w:val="00C3096D"/>
    <w:rsid w:val="00C312D9"/>
    <w:rsid w:val="00C32DBF"/>
    <w:rsid w:val="00C32FD3"/>
    <w:rsid w:val="00C330D4"/>
    <w:rsid w:val="00C331F9"/>
    <w:rsid w:val="00C34806"/>
    <w:rsid w:val="00C403BF"/>
    <w:rsid w:val="00C420C5"/>
    <w:rsid w:val="00C43EE1"/>
    <w:rsid w:val="00C44066"/>
    <w:rsid w:val="00C47E6D"/>
    <w:rsid w:val="00C51554"/>
    <w:rsid w:val="00C51CF6"/>
    <w:rsid w:val="00C629BC"/>
    <w:rsid w:val="00C63BFF"/>
    <w:rsid w:val="00C710A1"/>
    <w:rsid w:val="00C719D1"/>
    <w:rsid w:val="00C75EEB"/>
    <w:rsid w:val="00C77FC6"/>
    <w:rsid w:val="00C8448C"/>
    <w:rsid w:val="00C87F60"/>
    <w:rsid w:val="00C90918"/>
    <w:rsid w:val="00C928AB"/>
    <w:rsid w:val="00C95928"/>
    <w:rsid w:val="00C95F53"/>
    <w:rsid w:val="00C9627C"/>
    <w:rsid w:val="00C96665"/>
    <w:rsid w:val="00C971E2"/>
    <w:rsid w:val="00CA076B"/>
    <w:rsid w:val="00CA1BC9"/>
    <w:rsid w:val="00CA1FA6"/>
    <w:rsid w:val="00CA46FD"/>
    <w:rsid w:val="00CA5450"/>
    <w:rsid w:val="00CA5F16"/>
    <w:rsid w:val="00CB096F"/>
    <w:rsid w:val="00CB0F81"/>
    <w:rsid w:val="00CB1232"/>
    <w:rsid w:val="00CB1BEF"/>
    <w:rsid w:val="00CB5D27"/>
    <w:rsid w:val="00CB6395"/>
    <w:rsid w:val="00CC49BA"/>
    <w:rsid w:val="00CC4B56"/>
    <w:rsid w:val="00CC5F77"/>
    <w:rsid w:val="00CC6D57"/>
    <w:rsid w:val="00CD0C58"/>
    <w:rsid w:val="00CD34C8"/>
    <w:rsid w:val="00CD6237"/>
    <w:rsid w:val="00CE5024"/>
    <w:rsid w:val="00CE605D"/>
    <w:rsid w:val="00CE7403"/>
    <w:rsid w:val="00CE7FDE"/>
    <w:rsid w:val="00CF19FC"/>
    <w:rsid w:val="00CF5176"/>
    <w:rsid w:val="00CF6661"/>
    <w:rsid w:val="00CF6F8E"/>
    <w:rsid w:val="00CF6F9C"/>
    <w:rsid w:val="00D01CF8"/>
    <w:rsid w:val="00D023CD"/>
    <w:rsid w:val="00D02B42"/>
    <w:rsid w:val="00D03E9F"/>
    <w:rsid w:val="00D049E5"/>
    <w:rsid w:val="00D04C37"/>
    <w:rsid w:val="00D0590D"/>
    <w:rsid w:val="00D05F2C"/>
    <w:rsid w:val="00D0632B"/>
    <w:rsid w:val="00D0736F"/>
    <w:rsid w:val="00D1007B"/>
    <w:rsid w:val="00D10727"/>
    <w:rsid w:val="00D14C49"/>
    <w:rsid w:val="00D15A12"/>
    <w:rsid w:val="00D20283"/>
    <w:rsid w:val="00D2087B"/>
    <w:rsid w:val="00D21695"/>
    <w:rsid w:val="00D24274"/>
    <w:rsid w:val="00D25A21"/>
    <w:rsid w:val="00D33835"/>
    <w:rsid w:val="00D3540A"/>
    <w:rsid w:val="00D36127"/>
    <w:rsid w:val="00D361A8"/>
    <w:rsid w:val="00D36624"/>
    <w:rsid w:val="00D36CE3"/>
    <w:rsid w:val="00D3788F"/>
    <w:rsid w:val="00D429DB"/>
    <w:rsid w:val="00D44038"/>
    <w:rsid w:val="00D446C1"/>
    <w:rsid w:val="00D458C3"/>
    <w:rsid w:val="00D469B9"/>
    <w:rsid w:val="00D52567"/>
    <w:rsid w:val="00D57004"/>
    <w:rsid w:val="00D577FC"/>
    <w:rsid w:val="00D61340"/>
    <w:rsid w:val="00D61341"/>
    <w:rsid w:val="00D61BA2"/>
    <w:rsid w:val="00D63163"/>
    <w:rsid w:val="00D63F94"/>
    <w:rsid w:val="00D64A12"/>
    <w:rsid w:val="00D65BCC"/>
    <w:rsid w:val="00D66CD5"/>
    <w:rsid w:val="00D673D6"/>
    <w:rsid w:val="00D67AE0"/>
    <w:rsid w:val="00D67F57"/>
    <w:rsid w:val="00D67FDE"/>
    <w:rsid w:val="00D70709"/>
    <w:rsid w:val="00D74857"/>
    <w:rsid w:val="00D802F8"/>
    <w:rsid w:val="00D81B67"/>
    <w:rsid w:val="00D834CE"/>
    <w:rsid w:val="00D83C80"/>
    <w:rsid w:val="00D86F14"/>
    <w:rsid w:val="00D90113"/>
    <w:rsid w:val="00D910B3"/>
    <w:rsid w:val="00D94094"/>
    <w:rsid w:val="00D947DD"/>
    <w:rsid w:val="00D95E99"/>
    <w:rsid w:val="00D9624A"/>
    <w:rsid w:val="00D962EE"/>
    <w:rsid w:val="00D97441"/>
    <w:rsid w:val="00DA03C5"/>
    <w:rsid w:val="00DA3CF3"/>
    <w:rsid w:val="00DA5A64"/>
    <w:rsid w:val="00DA6C2E"/>
    <w:rsid w:val="00DB2EC1"/>
    <w:rsid w:val="00DB376C"/>
    <w:rsid w:val="00DB43F0"/>
    <w:rsid w:val="00DB4E0E"/>
    <w:rsid w:val="00DB67C9"/>
    <w:rsid w:val="00DB72BE"/>
    <w:rsid w:val="00DB7CC4"/>
    <w:rsid w:val="00DC0473"/>
    <w:rsid w:val="00DC09C4"/>
    <w:rsid w:val="00DC2376"/>
    <w:rsid w:val="00DC273A"/>
    <w:rsid w:val="00DC3FDE"/>
    <w:rsid w:val="00DC436E"/>
    <w:rsid w:val="00DC4892"/>
    <w:rsid w:val="00DC6D1E"/>
    <w:rsid w:val="00DD31CE"/>
    <w:rsid w:val="00DD4430"/>
    <w:rsid w:val="00DD4B21"/>
    <w:rsid w:val="00DD4E06"/>
    <w:rsid w:val="00DD5856"/>
    <w:rsid w:val="00DD682F"/>
    <w:rsid w:val="00DD6E76"/>
    <w:rsid w:val="00DE0022"/>
    <w:rsid w:val="00DE0CDC"/>
    <w:rsid w:val="00DE0D62"/>
    <w:rsid w:val="00DE3AC4"/>
    <w:rsid w:val="00DE57DE"/>
    <w:rsid w:val="00DE5F58"/>
    <w:rsid w:val="00DE682D"/>
    <w:rsid w:val="00DF3A10"/>
    <w:rsid w:val="00DF439C"/>
    <w:rsid w:val="00E01D4B"/>
    <w:rsid w:val="00E03FE5"/>
    <w:rsid w:val="00E0760D"/>
    <w:rsid w:val="00E100F4"/>
    <w:rsid w:val="00E12353"/>
    <w:rsid w:val="00E12CFE"/>
    <w:rsid w:val="00E13235"/>
    <w:rsid w:val="00E15B30"/>
    <w:rsid w:val="00E16882"/>
    <w:rsid w:val="00E17F8B"/>
    <w:rsid w:val="00E200C1"/>
    <w:rsid w:val="00E2080A"/>
    <w:rsid w:val="00E23127"/>
    <w:rsid w:val="00E26E5E"/>
    <w:rsid w:val="00E30DB7"/>
    <w:rsid w:val="00E30EF5"/>
    <w:rsid w:val="00E32DBC"/>
    <w:rsid w:val="00E34413"/>
    <w:rsid w:val="00E34859"/>
    <w:rsid w:val="00E3500F"/>
    <w:rsid w:val="00E36B20"/>
    <w:rsid w:val="00E4290C"/>
    <w:rsid w:val="00E4395A"/>
    <w:rsid w:val="00E43DA4"/>
    <w:rsid w:val="00E44468"/>
    <w:rsid w:val="00E4676C"/>
    <w:rsid w:val="00E50167"/>
    <w:rsid w:val="00E501DF"/>
    <w:rsid w:val="00E51861"/>
    <w:rsid w:val="00E53007"/>
    <w:rsid w:val="00E544FE"/>
    <w:rsid w:val="00E54B01"/>
    <w:rsid w:val="00E54FE1"/>
    <w:rsid w:val="00E56672"/>
    <w:rsid w:val="00E5763E"/>
    <w:rsid w:val="00E61FEC"/>
    <w:rsid w:val="00E668F4"/>
    <w:rsid w:val="00E67BAD"/>
    <w:rsid w:val="00E67C02"/>
    <w:rsid w:val="00E67F69"/>
    <w:rsid w:val="00E705FF"/>
    <w:rsid w:val="00E71C96"/>
    <w:rsid w:val="00E72BED"/>
    <w:rsid w:val="00E74FE1"/>
    <w:rsid w:val="00E75F0D"/>
    <w:rsid w:val="00E76C21"/>
    <w:rsid w:val="00E77774"/>
    <w:rsid w:val="00E824D8"/>
    <w:rsid w:val="00E826B3"/>
    <w:rsid w:val="00E8309E"/>
    <w:rsid w:val="00E836A4"/>
    <w:rsid w:val="00E83D6D"/>
    <w:rsid w:val="00E84592"/>
    <w:rsid w:val="00E849BF"/>
    <w:rsid w:val="00E85A17"/>
    <w:rsid w:val="00E9051C"/>
    <w:rsid w:val="00E93228"/>
    <w:rsid w:val="00E93A97"/>
    <w:rsid w:val="00E9484A"/>
    <w:rsid w:val="00E97A59"/>
    <w:rsid w:val="00E97B03"/>
    <w:rsid w:val="00EA09F5"/>
    <w:rsid w:val="00EA0A14"/>
    <w:rsid w:val="00EA29A4"/>
    <w:rsid w:val="00EB21FB"/>
    <w:rsid w:val="00EB221C"/>
    <w:rsid w:val="00EC5AF8"/>
    <w:rsid w:val="00EC6413"/>
    <w:rsid w:val="00EC6CF2"/>
    <w:rsid w:val="00ED110A"/>
    <w:rsid w:val="00ED4427"/>
    <w:rsid w:val="00ED464A"/>
    <w:rsid w:val="00ED6C38"/>
    <w:rsid w:val="00ED7573"/>
    <w:rsid w:val="00ED7686"/>
    <w:rsid w:val="00EE295C"/>
    <w:rsid w:val="00EE2E94"/>
    <w:rsid w:val="00EE3817"/>
    <w:rsid w:val="00EE693D"/>
    <w:rsid w:val="00EF0711"/>
    <w:rsid w:val="00EF100C"/>
    <w:rsid w:val="00EF617F"/>
    <w:rsid w:val="00EF6BFB"/>
    <w:rsid w:val="00EF722C"/>
    <w:rsid w:val="00F0153E"/>
    <w:rsid w:val="00F04F18"/>
    <w:rsid w:val="00F05F68"/>
    <w:rsid w:val="00F074C3"/>
    <w:rsid w:val="00F106F0"/>
    <w:rsid w:val="00F10AD3"/>
    <w:rsid w:val="00F11642"/>
    <w:rsid w:val="00F12071"/>
    <w:rsid w:val="00F126D2"/>
    <w:rsid w:val="00F15B30"/>
    <w:rsid w:val="00F1679B"/>
    <w:rsid w:val="00F2152D"/>
    <w:rsid w:val="00F2392A"/>
    <w:rsid w:val="00F25378"/>
    <w:rsid w:val="00F25609"/>
    <w:rsid w:val="00F26D84"/>
    <w:rsid w:val="00F27941"/>
    <w:rsid w:val="00F31CA2"/>
    <w:rsid w:val="00F32EA9"/>
    <w:rsid w:val="00F33246"/>
    <w:rsid w:val="00F336D6"/>
    <w:rsid w:val="00F34047"/>
    <w:rsid w:val="00F34E59"/>
    <w:rsid w:val="00F3784D"/>
    <w:rsid w:val="00F37B47"/>
    <w:rsid w:val="00F408F6"/>
    <w:rsid w:val="00F40C7E"/>
    <w:rsid w:val="00F40D7A"/>
    <w:rsid w:val="00F42AEA"/>
    <w:rsid w:val="00F43B31"/>
    <w:rsid w:val="00F4630F"/>
    <w:rsid w:val="00F472BE"/>
    <w:rsid w:val="00F5059B"/>
    <w:rsid w:val="00F50C5F"/>
    <w:rsid w:val="00F51965"/>
    <w:rsid w:val="00F52D20"/>
    <w:rsid w:val="00F556DF"/>
    <w:rsid w:val="00F56398"/>
    <w:rsid w:val="00F602FA"/>
    <w:rsid w:val="00F64C44"/>
    <w:rsid w:val="00F673DD"/>
    <w:rsid w:val="00F673DF"/>
    <w:rsid w:val="00F67CE8"/>
    <w:rsid w:val="00F70E0D"/>
    <w:rsid w:val="00F713B9"/>
    <w:rsid w:val="00F71A1F"/>
    <w:rsid w:val="00F7540F"/>
    <w:rsid w:val="00F801CB"/>
    <w:rsid w:val="00F806B9"/>
    <w:rsid w:val="00F82ED1"/>
    <w:rsid w:val="00F850F3"/>
    <w:rsid w:val="00F8548B"/>
    <w:rsid w:val="00F86287"/>
    <w:rsid w:val="00F869D0"/>
    <w:rsid w:val="00F87F28"/>
    <w:rsid w:val="00F91C04"/>
    <w:rsid w:val="00F94BD1"/>
    <w:rsid w:val="00F961B1"/>
    <w:rsid w:val="00F9648B"/>
    <w:rsid w:val="00F968A1"/>
    <w:rsid w:val="00F97D09"/>
    <w:rsid w:val="00FA372E"/>
    <w:rsid w:val="00FA5342"/>
    <w:rsid w:val="00FA6B81"/>
    <w:rsid w:val="00FA6FB5"/>
    <w:rsid w:val="00FA7F7D"/>
    <w:rsid w:val="00FB1014"/>
    <w:rsid w:val="00FB1732"/>
    <w:rsid w:val="00FB304E"/>
    <w:rsid w:val="00FB3D47"/>
    <w:rsid w:val="00FB4601"/>
    <w:rsid w:val="00FB54A6"/>
    <w:rsid w:val="00FB77DC"/>
    <w:rsid w:val="00FC0DFB"/>
    <w:rsid w:val="00FC1091"/>
    <w:rsid w:val="00FC1B34"/>
    <w:rsid w:val="00FC2E5B"/>
    <w:rsid w:val="00FC3CFF"/>
    <w:rsid w:val="00FC52E7"/>
    <w:rsid w:val="00FC6E35"/>
    <w:rsid w:val="00FC7C55"/>
    <w:rsid w:val="00FD0FF2"/>
    <w:rsid w:val="00FD10BA"/>
    <w:rsid w:val="00FD1B70"/>
    <w:rsid w:val="00FD3A4D"/>
    <w:rsid w:val="00FD486E"/>
    <w:rsid w:val="00FD6575"/>
    <w:rsid w:val="00FE0D71"/>
    <w:rsid w:val="00FE1837"/>
    <w:rsid w:val="00FE3E11"/>
    <w:rsid w:val="00FE4EB7"/>
    <w:rsid w:val="00FE7FBE"/>
    <w:rsid w:val="00FF01F6"/>
    <w:rsid w:val="00FF072D"/>
    <w:rsid w:val="00FF1189"/>
    <w:rsid w:val="00FF2396"/>
    <w:rsid w:val="00FF52EB"/>
    <w:rsid w:val="00FF79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aeaea,#005daa,#13b5ea,#c9c1b8,#ebd722,#002b5c,black,#808184"/>
    </o:shapedefaults>
    <o:shapelayout v:ext="edit">
      <o:idmap v:ext="edit" data="2"/>
    </o:shapelayout>
  </w:shapeDefaults>
  <w:doNotEmbedSmartTags/>
  <w:decimalSymbol w:val="."/>
  <w:listSeparator w:val=","/>
  <w14:docId w14:val="4E278BDE"/>
  <w15:docId w15:val="{9CC9375E-68CE-4976-A676-F2061FC7C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4290C"/>
    <w:pPr>
      <w:adjustRightInd w:val="0"/>
      <w:spacing w:before="180" w:after="180" w:line="240" w:lineRule="atLeast"/>
    </w:pPr>
    <w:rPr>
      <w:rFonts w:ascii="Arial" w:eastAsia="MS Mincho" w:hAnsi="Arial"/>
      <w:kern w:val="16"/>
      <w:lang w:eastAsia="ja-JP"/>
    </w:rPr>
  </w:style>
  <w:style w:type="paragraph" w:styleId="Heading1">
    <w:name w:val="heading 1"/>
    <w:basedOn w:val="Normal"/>
    <w:next w:val="BodyText"/>
    <w:link w:val="Heading1Char"/>
    <w:qFormat/>
    <w:rsid w:val="00E4290C"/>
    <w:pPr>
      <w:keepLines/>
      <w:pageBreakBefore/>
      <w:pBdr>
        <w:bottom w:val="single" w:sz="2" w:space="2" w:color="003263"/>
      </w:pBdr>
      <w:spacing w:before="0" w:after="1080" w:line="360" w:lineRule="atLeast"/>
      <w:outlineLvl w:val="0"/>
    </w:pPr>
    <w:rPr>
      <w:color w:val="003263"/>
      <w:sz w:val="32"/>
      <w:szCs w:val="32"/>
    </w:rPr>
  </w:style>
  <w:style w:type="paragraph" w:styleId="Heading2">
    <w:name w:val="heading 2"/>
    <w:basedOn w:val="Heading1"/>
    <w:next w:val="BodyText"/>
    <w:link w:val="Heading2Char"/>
    <w:qFormat/>
    <w:rsid w:val="00E4290C"/>
    <w:pPr>
      <w:pageBreakBefore w:val="0"/>
      <w:pBdr>
        <w:bottom w:val="none" w:sz="0" w:space="0" w:color="auto"/>
      </w:pBdr>
      <w:spacing w:before="360" w:after="80" w:line="240" w:lineRule="auto"/>
      <w:outlineLvl w:val="1"/>
    </w:pPr>
    <w:rPr>
      <w:color w:val="0060A9"/>
      <w:sz w:val="25"/>
      <w:szCs w:val="25"/>
    </w:rPr>
  </w:style>
  <w:style w:type="paragraph" w:styleId="Heading3">
    <w:name w:val="heading 3"/>
    <w:basedOn w:val="Heading2"/>
    <w:next w:val="BodyText"/>
    <w:qFormat/>
    <w:rsid w:val="00E4290C"/>
    <w:pPr>
      <w:outlineLvl w:val="2"/>
    </w:pPr>
    <w:rPr>
      <w:sz w:val="23"/>
      <w:szCs w:val="23"/>
    </w:rPr>
  </w:style>
  <w:style w:type="paragraph" w:styleId="Heading4">
    <w:name w:val="heading 4"/>
    <w:basedOn w:val="Heading3"/>
    <w:next w:val="BodyText"/>
    <w:qFormat/>
    <w:rsid w:val="00E4290C"/>
    <w:pPr>
      <w:outlineLvl w:val="3"/>
    </w:pPr>
    <w:rPr>
      <w:sz w:val="21"/>
    </w:rPr>
  </w:style>
  <w:style w:type="paragraph" w:styleId="Heading5">
    <w:name w:val="heading 5"/>
    <w:basedOn w:val="Heading4"/>
    <w:next w:val="BodyText"/>
    <w:qFormat/>
    <w:rsid w:val="00E4290C"/>
    <w:pPr>
      <w:outlineLvl w:val="4"/>
    </w:pPr>
    <w:rPr>
      <w:b/>
      <w:sz w:val="20"/>
    </w:rPr>
  </w:style>
  <w:style w:type="paragraph" w:styleId="Heading6">
    <w:name w:val="heading 6"/>
    <w:basedOn w:val="Heading5"/>
    <w:next w:val="BodyText"/>
    <w:qFormat/>
    <w:rsid w:val="00E4290C"/>
    <w:pPr>
      <w:outlineLvl w:val="5"/>
    </w:pPr>
    <w:rPr>
      <w:bCs/>
      <w:sz w:val="18"/>
      <w:szCs w:val="18"/>
    </w:rPr>
  </w:style>
  <w:style w:type="paragraph" w:styleId="Heading7">
    <w:name w:val="heading 7"/>
    <w:basedOn w:val="Heading5"/>
    <w:next w:val="Normal"/>
    <w:qFormat/>
    <w:rsid w:val="00E4290C"/>
    <w:pPr>
      <w:outlineLvl w:val="6"/>
    </w:pPr>
  </w:style>
  <w:style w:type="paragraph" w:styleId="Heading8">
    <w:name w:val="heading 8"/>
    <w:basedOn w:val="Heading4"/>
    <w:next w:val="Heading9"/>
    <w:qFormat/>
    <w:rsid w:val="00E4290C"/>
    <w:pPr>
      <w:numPr>
        <w:ilvl w:val="7"/>
        <w:numId w:val="4"/>
      </w:numPr>
      <w:outlineLvl w:val="7"/>
    </w:pPr>
    <w:rPr>
      <w:iCs/>
    </w:rPr>
  </w:style>
  <w:style w:type="paragraph" w:styleId="Heading9">
    <w:name w:val="heading 9"/>
    <w:basedOn w:val="Heading7"/>
    <w:next w:val="Normal"/>
    <w:qFormat/>
    <w:rsid w:val="00E4290C"/>
    <w:pPr>
      <w:outlineLvl w:val="8"/>
    </w:pPr>
    <w:rPr>
      <w:rFonts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E4290C"/>
    <w:rPr>
      <w:rFonts w:ascii="Tahoma" w:hAnsi="Tahoma" w:cs="Tahoma"/>
      <w:sz w:val="16"/>
      <w:szCs w:val="16"/>
    </w:rPr>
  </w:style>
  <w:style w:type="paragraph" w:styleId="Caption">
    <w:name w:val="caption"/>
    <w:basedOn w:val="Normal"/>
    <w:next w:val="Normal"/>
    <w:qFormat/>
    <w:rsid w:val="00E4290C"/>
    <w:pPr>
      <w:spacing w:before="120"/>
    </w:pPr>
    <w:rPr>
      <w:b/>
      <w:bCs/>
    </w:rPr>
  </w:style>
  <w:style w:type="character" w:styleId="CommentReference">
    <w:name w:val="annotation reference"/>
    <w:basedOn w:val="DefaultParagraphFont"/>
    <w:semiHidden/>
    <w:rsid w:val="00E4290C"/>
    <w:rPr>
      <w:rFonts w:ascii="Arial" w:hAnsi="Arial"/>
      <w:kern w:val="0"/>
      <w:sz w:val="16"/>
      <w:szCs w:val="16"/>
      <w:lang w:val="en-GB"/>
    </w:rPr>
  </w:style>
  <w:style w:type="paragraph" w:styleId="CommentText">
    <w:name w:val="annotation text"/>
    <w:basedOn w:val="Normal"/>
    <w:semiHidden/>
    <w:rsid w:val="00E4290C"/>
  </w:style>
  <w:style w:type="paragraph" w:styleId="CommentSubject">
    <w:name w:val="annotation subject"/>
    <w:basedOn w:val="CommentText"/>
    <w:next w:val="CommentText"/>
    <w:semiHidden/>
    <w:rsid w:val="00E4290C"/>
    <w:rPr>
      <w:b/>
      <w:bCs/>
    </w:rPr>
  </w:style>
  <w:style w:type="paragraph" w:styleId="DocumentMap">
    <w:name w:val="Document Map"/>
    <w:basedOn w:val="Normal"/>
    <w:semiHidden/>
    <w:rsid w:val="00E4290C"/>
    <w:pPr>
      <w:shd w:val="clear" w:color="auto" w:fill="000080"/>
    </w:pPr>
    <w:rPr>
      <w:rFonts w:ascii="Tahoma" w:hAnsi="Tahoma" w:cs="Tahoma"/>
    </w:rPr>
  </w:style>
  <w:style w:type="character" w:styleId="EndnoteReference">
    <w:name w:val="endnote reference"/>
    <w:basedOn w:val="DefaultParagraphFont"/>
    <w:semiHidden/>
    <w:rsid w:val="00E4290C"/>
    <w:rPr>
      <w:vertAlign w:val="superscript"/>
      <w:lang w:val="en-GB"/>
    </w:rPr>
  </w:style>
  <w:style w:type="paragraph" w:styleId="EndnoteText">
    <w:name w:val="endnote text"/>
    <w:basedOn w:val="Normal"/>
    <w:semiHidden/>
    <w:rsid w:val="00E4290C"/>
  </w:style>
  <w:style w:type="paragraph" w:styleId="Header">
    <w:name w:val="header"/>
    <w:basedOn w:val="Normal"/>
    <w:semiHidden/>
    <w:rsid w:val="00E4290C"/>
    <w:pPr>
      <w:tabs>
        <w:tab w:val="center" w:pos="4320"/>
        <w:tab w:val="right" w:pos="8640"/>
      </w:tabs>
    </w:pPr>
  </w:style>
  <w:style w:type="paragraph" w:styleId="Footer">
    <w:name w:val="footer"/>
    <w:basedOn w:val="Normal"/>
    <w:link w:val="FooterChar"/>
    <w:rsid w:val="00887BA1"/>
    <w:pPr>
      <w:tabs>
        <w:tab w:val="right" w:pos="8944"/>
      </w:tabs>
      <w:adjustRightInd/>
      <w:spacing w:before="0" w:after="60" w:line="240" w:lineRule="auto"/>
    </w:pPr>
    <w:rPr>
      <w:caps/>
      <w:noProof/>
      <w:snapToGrid w:val="0"/>
      <w:color w:val="003263"/>
      <w:spacing w:val="20"/>
      <w:kern w:val="12"/>
      <w:sz w:val="12"/>
      <w:szCs w:val="12"/>
    </w:rPr>
  </w:style>
  <w:style w:type="paragraph" w:styleId="Index1">
    <w:name w:val="index 1"/>
    <w:basedOn w:val="Normal"/>
    <w:next w:val="Normal"/>
    <w:semiHidden/>
    <w:rsid w:val="00E4290C"/>
    <w:pPr>
      <w:ind w:left="240" w:hanging="240"/>
    </w:pPr>
  </w:style>
  <w:style w:type="paragraph" w:styleId="Index2">
    <w:name w:val="index 2"/>
    <w:basedOn w:val="Normal"/>
    <w:next w:val="Normal"/>
    <w:semiHidden/>
    <w:rsid w:val="00E4290C"/>
    <w:pPr>
      <w:ind w:left="480" w:hanging="240"/>
    </w:pPr>
  </w:style>
  <w:style w:type="paragraph" w:styleId="Index3">
    <w:name w:val="index 3"/>
    <w:basedOn w:val="Normal"/>
    <w:next w:val="Normal"/>
    <w:semiHidden/>
    <w:rsid w:val="00E4290C"/>
    <w:pPr>
      <w:ind w:left="720" w:hanging="240"/>
    </w:pPr>
  </w:style>
  <w:style w:type="paragraph" w:styleId="Index4">
    <w:name w:val="index 4"/>
    <w:basedOn w:val="Normal"/>
    <w:next w:val="Normal"/>
    <w:semiHidden/>
    <w:rsid w:val="00E4290C"/>
    <w:pPr>
      <w:ind w:left="960" w:hanging="240"/>
    </w:pPr>
  </w:style>
  <w:style w:type="paragraph" w:styleId="Index5">
    <w:name w:val="index 5"/>
    <w:basedOn w:val="Normal"/>
    <w:next w:val="Normal"/>
    <w:semiHidden/>
    <w:rsid w:val="00E4290C"/>
    <w:pPr>
      <w:ind w:left="1200" w:hanging="240"/>
    </w:pPr>
  </w:style>
  <w:style w:type="paragraph" w:styleId="Index6">
    <w:name w:val="index 6"/>
    <w:basedOn w:val="Normal"/>
    <w:next w:val="Normal"/>
    <w:semiHidden/>
    <w:rsid w:val="00E4290C"/>
    <w:pPr>
      <w:ind w:left="1440" w:hanging="240"/>
    </w:pPr>
  </w:style>
  <w:style w:type="paragraph" w:styleId="Index7">
    <w:name w:val="index 7"/>
    <w:basedOn w:val="Normal"/>
    <w:next w:val="Normal"/>
    <w:semiHidden/>
    <w:rsid w:val="00E4290C"/>
    <w:pPr>
      <w:ind w:left="1680" w:hanging="240"/>
    </w:pPr>
  </w:style>
  <w:style w:type="paragraph" w:styleId="Index8">
    <w:name w:val="index 8"/>
    <w:basedOn w:val="Normal"/>
    <w:next w:val="Normal"/>
    <w:semiHidden/>
    <w:rsid w:val="00E4290C"/>
    <w:pPr>
      <w:ind w:left="1920" w:hanging="240"/>
    </w:pPr>
  </w:style>
  <w:style w:type="paragraph" w:styleId="Index9">
    <w:name w:val="index 9"/>
    <w:basedOn w:val="Normal"/>
    <w:next w:val="Normal"/>
    <w:semiHidden/>
    <w:rsid w:val="00E4290C"/>
    <w:pPr>
      <w:ind w:left="2160" w:hanging="240"/>
    </w:pPr>
  </w:style>
  <w:style w:type="paragraph" w:styleId="IndexHeading">
    <w:name w:val="index heading"/>
    <w:basedOn w:val="Normal"/>
    <w:next w:val="Index1"/>
    <w:semiHidden/>
    <w:rsid w:val="00E4290C"/>
    <w:rPr>
      <w:rFonts w:cs="Arial"/>
      <w:b/>
      <w:bCs/>
    </w:rPr>
  </w:style>
  <w:style w:type="paragraph" w:styleId="MacroText">
    <w:name w:val="macro"/>
    <w:semiHidden/>
    <w:rsid w:val="00E4290C"/>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lang w:val="en-GB" w:eastAsia="en-GB"/>
    </w:rPr>
  </w:style>
  <w:style w:type="paragraph" w:styleId="TableofAuthorities">
    <w:name w:val="table of authorities"/>
    <w:basedOn w:val="Normal"/>
    <w:next w:val="Normal"/>
    <w:semiHidden/>
    <w:rsid w:val="00E4290C"/>
    <w:pPr>
      <w:ind w:left="240" w:hanging="240"/>
    </w:pPr>
  </w:style>
  <w:style w:type="paragraph" w:customStyle="1" w:styleId="Draft">
    <w:name w:val="Draft"/>
    <w:basedOn w:val="BodyText"/>
    <w:rsid w:val="00E4290C"/>
    <w:pPr>
      <w:spacing w:after="160"/>
      <w:ind w:left="-101" w:right="-101"/>
      <w:jc w:val="center"/>
    </w:pPr>
    <w:rPr>
      <w:b/>
      <w:color w:val="AAAAAA"/>
      <w:sz w:val="40"/>
      <w:szCs w:val="28"/>
    </w:rPr>
  </w:style>
  <w:style w:type="paragraph" w:styleId="TOAHeading">
    <w:name w:val="toa heading"/>
    <w:basedOn w:val="Normal"/>
    <w:next w:val="Normal"/>
    <w:semiHidden/>
    <w:rsid w:val="00E4290C"/>
    <w:pPr>
      <w:spacing w:before="120"/>
    </w:pPr>
    <w:rPr>
      <w:rFonts w:cs="Arial"/>
      <w:b/>
      <w:bCs/>
    </w:rPr>
  </w:style>
  <w:style w:type="paragraph" w:styleId="TOC1">
    <w:name w:val="toc 1"/>
    <w:basedOn w:val="Normal"/>
    <w:rsid w:val="00E4290C"/>
    <w:pPr>
      <w:tabs>
        <w:tab w:val="left" w:pos="473"/>
        <w:tab w:val="right" w:pos="9761"/>
      </w:tabs>
      <w:spacing w:before="480" w:after="120"/>
      <w:ind w:left="45" w:right="28"/>
    </w:pPr>
    <w:rPr>
      <w:rFonts w:cs="Arial"/>
      <w:noProof/>
      <w:color w:val="003263"/>
      <w:sz w:val="22"/>
      <w:szCs w:val="22"/>
    </w:rPr>
  </w:style>
  <w:style w:type="paragraph" w:styleId="TOC2">
    <w:name w:val="toc 2"/>
    <w:basedOn w:val="Normal"/>
    <w:rsid w:val="00E4290C"/>
    <w:pPr>
      <w:tabs>
        <w:tab w:val="left" w:pos="1032"/>
        <w:tab w:val="right" w:pos="9761"/>
      </w:tabs>
      <w:spacing w:before="60" w:after="120" w:line="200" w:lineRule="atLeast"/>
      <w:ind w:left="516" w:right="-6"/>
    </w:pPr>
    <w:rPr>
      <w:rFonts w:cs="Arial"/>
      <w:noProof/>
      <w:color w:val="0060A9"/>
      <w:sz w:val="21"/>
      <w:szCs w:val="21"/>
      <w:lang w:val="en-CA"/>
    </w:rPr>
  </w:style>
  <w:style w:type="paragraph" w:styleId="TOC3">
    <w:name w:val="toc 3"/>
    <w:basedOn w:val="TOC2"/>
    <w:rsid w:val="00E4290C"/>
    <w:pPr>
      <w:tabs>
        <w:tab w:val="clear" w:pos="1032"/>
        <w:tab w:val="left" w:pos="1806"/>
      </w:tabs>
      <w:ind w:left="1049"/>
    </w:pPr>
  </w:style>
  <w:style w:type="paragraph" w:styleId="TOC4">
    <w:name w:val="toc 4"/>
    <w:basedOn w:val="TOC3"/>
    <w:next w:val="Normal"/>
    <w:semiHidden/>
    <w:rsid w:val="00E4290C"/>
  </w:style>
  <w:style w:type="paragraph" w:styleId="TOC5">
    <w:name w:val="toc 5"/>
    <w:basedOn w:val="TOC4"/>
    <w:next w:val="Normal"/>
    <w:semiHidden/>
    <w:rsid w:val="00E4290C"/>
  </w:style>
  <w:style w:type="paragraph" w:styleId="TOC6">
    <w:name w:val="toc 6"/>
    <w:basedOn w:val="Normal"/>
    <w:next w:val="Normal"/>
    <w:semiHidden/>
    <w:rsid w:val="00E4290C"/>
    <w:pPr>
      <w:tabs>
        <w:tab w:val="right" w:leader="dot" w:pos="9019"/>
      </w:tabs>
      <w:ind w:left="1300"/>
    </w:pPr>
    <w:rPr>
      <w:noProof/>
    </w:rPr>
  </w:style>
  <w:style w:type="paragraph" w:styleId="TOC7">
    <w:name w:val="toc 7"/>
    <w:basedOn w:val="Normal"/>
    <w:next w:val="Normal"/>
    <w:semiHidden/>
    <w:rsid w:val="00E4290C"/>
    <w:pPr>
      <w:ind w:left="1200"/>
    </w:pPr>
  </w:style>
  <w:style w:type="paragraph" w:styleId="TOC8">
    <w:name w:val="toc 8"/>
    <w:basedOn w:val="Normal"/>
    <w:next w:val="Normal"/>
    <w:semiHidden/>
    <w:rsid w:val="00E4290C"/>
    <w:pPr>
      <w:ind w:left="1400"/>
    </w:pPr>
  </w:style>
  <w:style w:type="paragraph" w:styleId="TOC9">
    <w:name w:val="toc 9"/>
    <w:basedOn w:val="Normal"/>
    <w:next w:val="Normal"/>
    <w:semiHidden/>
    <w:rsid w:val="00E4290C"/>
    <w:pPr>
      <w:ind w:left="1600"/>
    </w:pPr>
  </w:style>
  <w:style w:type="table" w:styleId="TableGrid">
    <w:name w:val="Table Grid"/>
    <w:basedOn w:val="TableNormal"/>
    <w:rsid w:val="00E4290C"/>
    <w:pPr>
      <w:spacing w:line="220" w:lineRule="atLeast"/>
    </w:pPr>
    <w:rPr>
      <w:rFonts w:ascii="Arial" w:hAnsi="Arial"/>
      <w:sz w:val="18"/>
    </w:rPr>
    <w:tblPr>
      <w:tblBorders>
        <w:top w:val="single" w:sz="6" w:space="0" w:color="8499A6"/>
        <w:bottom w:val="single" w:sz="6" w:space="0" w:color="8499A6"/>
        <w:insideH w:val="single" w:sz="6" w:space="0" w:color="8499A6"/>
      </w:tblBorders>
      <w:tblCellMar>
        <w:left w:w="102" w:type="dxa"/>
        <w:right w:w="102" w:type="dxa"/>
      </w:tblCellMar>
    </w:tblPr>
    <w:trPr>
      <w:cantSplit/>
    </w:trPr>
    <w:tcPr>
      <w:shd w:val="clear" w:color="auto" w:fill="auto"/>
    </w:tcPr>
    <w:tblStylePr w:type="firstRow">
      <w:pPr>
        <w:wordWrap/>
        <w:spacing w:beforeLines="0" w:before="0" w:beforeAutospacing="0" w:afterLines="0" w:after="0" w:afterAutospacing="0" w:line="220" w:lineRule="atLeast"/>
        <w:contextualSpacing w:val="0"/>
      </w:pPr>
      <w:rPr>
        <w:rFonts w:ascii="Arial" w:hAnsi="Arial"/>
        <w:b w:val="0"/>
        <w:i w:val="0"/>
        <w:color w:val="auto"/>
        <w:sz w:val="18"/>
      </w:rPr>
      <w:tblPr/>
      <w:trPr>
        <w:cantSplit w:val="0"/>
      </w:trPr>
      <w:tcPr>
        <w:tcBorders>
          <w:top w:val="single" w:sz="2" w:space="0" w:color="8499A6"/>
          <w:left w:val="nil"/>
          <w:bottom w:val="single" w:sz="2" w:space="0" w:color="8499A6"/>
          <w:right w:val="nil"/>
          <w:insideH w:val="single" w:sz="2" w:space="0" w:color="B3C1C9"/>
          <w:insideV w:val="nil"/>
          <w:tl2br w:val="nil"/>
          <w:tr2bl w:val="nil"/>
        </w:tcBorders>
      </w:tcPr>
    </w:tblStylePr>
  </w:style>
  <w:style w:type="table" w:styleId="TableGrid1">
    <w:name w:val="Table Grid 1"/>
    <w:basedOn w:val="TableNormal"/>
    <w:semiHidden/>
    <w:rsid w:val="00E4290C"/>
    <w:rPr>
      <w:rFonts w:ascii="Verdana" w:hAnsi="Verdana"/>
      <w:color w:val="6F6E6F"/>
      <w:sz w:val="18"/>
    </w:rPr>
    <w:tblPr>
      <w:tblBorders>
        <w:top w:val="single" w:sz="6" w:space="0" w:color="6F6E6F"/>
        <w:bottom w:val="single" w:sz="6" w:space="0" w:color="6F6E6F"/>
        <w:insideH w:val="single" w:sz="6" w:space="0" w:color="6F6E6F"/>
        <w:insideV w:val="single" w:sz="6" w:space="0" w:color="6F6E6F"/>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E4290C"/>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E4290C"/>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E4290C"/>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E4290C"/>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E4290C"/>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E4290C"/>
    <w:rPr>
      <w:bCs/>
    </w:rP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E4290C"/>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customStyle="1" w:styleId="NumHead1">
    <w:name w:val="NumHead 1"/>
    <w:basedOn w:val="Heading1"/>
    <w:next w:val="BodyText"/>
    <w:link w:val="NumHead1CharChar"/>
    <w:rsid w:val="00E4290C"/>
    <w:pPr>
      <w:numPr>
        <w:numId w:val="18"/>
      </w:numPr>
    </w:pPr>
  </w:style>
  <w:style w:type="character" w:customStyle="1" w:styleId="TableBullet1CharChar">
    <w:name w:val="Table Bullet 1 Char Char"/>
    <w:basedOn w:val="DefaultParagraphFont"/>
    <w:link w:val="TableBullet1"/>
    <w:rsid w:val="00E4290C"/>
    <w:rPr>
      <w:rFonts w:ascii="Arial" w:eastAsia="MS Mincho" w:hAnsi="Arial"/>
      <w:kern w:val="16"/>
      <w:sz w:val="16"/>
      <w:szCs w:val="18"/>
      <w:lang w:val="en-US" w:eastAsia="ja-JP" w:bidi="ar-SA"/>
    </w:rPr>
  </w:style>
  <w:style w:type="paragraph" w:customStyle="1" w:styleId="NumHead2">
    <w:name w:val="NumHead 2"/>
    <w:basedOn w:val="NumHead1"/>
    <w:next w:val="BodyText"/>
    <w:link w:val="NumHead2CharChar"/>
    <w:rsid w:val="00E4290C"/>
    <w:pPr>
      <w:pageBreakBefore w:val="0"/>
      <w:numPr>
        <w:ilvl w:val="1"/>
      </w:numPr>
      <w:pBdr>
        <w:bottom w:val="none" w:sz="0" w:space="0" w:color="auto"/>
      </w:pBdr>
      <w:spacing w:before="360" w:after="60" w:line="280" w:lineRule="atLeast"/>
    </w:pPr>
    <w:rPr>
      <w:rFonts w:cs="Arial"/>
      <w:color w:val="0060A9"/>
      <w:sz w:val="25"/>
      <w:szCs w:val="25"/>
    </w:rPr>
  </w:style>
  <w:style w:type="paragraph" w:customStyle="1" w:styleId="TableTitle">
    <w:name w:val="Table Title"/>
    <w:basedOn w:val="TableText"/>
    <w:autoRedefine/>
    <w:rsid w:val="000B291C"/>
    <w:pPr>
      <w:spacing w:before="120" w:line="240" w:lineRule="atLeast"/>
    </w:pPr>
    <w:rPr>
      <w:b/>
      <w:color w:val="0060A9"/>
      <w:lang w:eastAsia="zh-CN"/>
    </w:rPr>
  </w:style>
  <w:style w:type="paragraph" w:customStyle="1" w:styleId="TableSubtitle">
    <w:name w:val="Table Subtitle"/>
    <w:basedOn w:val="TableText"/>
    <w:next w:val="TableText"/>
    <w:rsid w:val="00E32DBC"/>
    <w:pPr>
      <w:spacing w:before="0"/>
    </w:pPr>
    <w:rPr>
      <w:rFonts w:cs="Arial"/>
      <w:b/>
      <w:i/>
      <w:color w:val="003263"/>
      <w:lang w:eastAsia="zh-CN"/>
    </w:rPr>
  </w:style>
  <w:style w:type="paragraph" w:customStyle="1" w:styleId="TableHeading">
    <w:name w:val="Table Heading"/>
    <w:basedOn w:val="TableText"/>
    <w:rsid w:val="00E4290C"/>
    <w:pPr>
      <w:spacing w:before="360"/>
    </w:pPr>
    <w:rPr>
      <w:b/>
    </w:rPr>
  </w:style>
  <w:style w:type="character" w:customStyle="1" w:styleId="Blue">
    <w:name w:val="Blue"/>
    <w:basedOn w:val="DefaultParagraphFont"/>
    <w:semiHidden/>
    <w:rsid w:val="00E4290C"/>
    <w:rPr>
      <w:rFonts w:ascii="Verdana" w:hAnsi="Verdana"/>
      <w:color w:val="0045A9"/>
      <w:kern w:val="0"/>
      <w:lang w:val="en-GB"/>
    </w:rPr>
  </w:style>
  <w:style w:type="paragraph" w:styleId="ListBullet">
    <w:name w:val="List Bullet"/>
    <w:basedOn w:val="List"/>
    <w:link w:val="ListBulletChar"/>
    <w:rsid w:val="00E4290C"/>
    <w:pPr>
      <w:numPr>
        <w:numId w:val="9"/>
      </w:numPr>
    </w:pPr>
    <w:rPr>
      <w:color w:val="000000"/>
    </w:rPr>
  </w:style>
  <w:style w:type="character" w:customStyle="1" w:styleId="Heading1Char">
    <w:name w:val="Heading 1 Char"/>
    <w:basedOn w:val="DefaultParagraphFont"/>
    <w:link w:val="Heading1"/>
    <w:rsid w:val="00E4290C"/>
    <w:rPr>
      <w:rFonts w:ascii="Arial" w:eastAsia="MS Mincho" w:hAnsi="Arial"/>
      <w:color w:val="003263"/>
      <w:kern w:val="16"/>
      <w:sz w:val="32"/>
      <w:szCs w:val="32"/>
      <w:lang w:val="en-US" w:eastAsia="ja-JP" w:bidi="ar-SA"/>
    </w:rPr>
  </w:style>
  <w:style w:type="paragraph" w:customStyle="1" w:styleId="NumHead3">
    <w:name w:val="NumHead 3"/>
    <w:basedOn w:val="NumHead2"/>
    <w:next w:val="BodyText"/>
    <w:link w:val="NumHead3CharChar"/>
    <w:rsid w:val="00E4290C"/>
    <w:pPr>
      <w:numPr>
        <w:ilvl w:val="2"/>
      </w:numPr>
      <w:tabs>
        <w:tab w:val="left" w:pos="851"/>
      </w:tabs>
      <w:spacing w:after="0" w:line="260" w:lineRule="atLeast"/>
    </w:pPr>
    <w:rPr>
      <w:sz w:val="22"/>
    </w:rPr>
  </w:style>
  <w:style w:type="paragraph" w:styleId="BodyText">
    <w:name w:val="Body Text"/>
    <w:basedOn w:val="Normal"/>
    <w:link w:val="BodyTextChar"/>
    <w:rsid w:val="00E4290C"/>
    <w:pPr>
      <w:spacing w:before="120" w:after="120" w:line="260" w:lineRule="atLeast"/>
    </w:pPr>
  </w:style>
  <w:style w:type="paragraph" w:styleId="ListBullet4">
    <w:name w:val="List Bullet 4"/>
    <w:basedOn w:val="Normal"/>
    <w:semiHidden/>
    <w:rsid w:val="00E4290C"/>
    <w:pPr>
      <w:numPr>
        <w:numId w:val="12"/>
      </w:numPr>
    </w:pPr>
  </w:style>
  <w:style w:type="paragraph" w:styleId="ListBullet5">
    <w:name w:val="List Bullet 5"/>
    <w:basedOn w:val="Normal"/>
    <w:semiHidden/>
    <w:rsid w:val="00E4290C"/>
    <w:pPr>
      <w:numPr>
        <w:numId w:val="13"/>
      </w:numPr>
    </w:pPr>
  </w:style>
  <w:style w:type="paragraph" w:customStyle="1" w:styleId="NumHeadI">
    <w:name w:val="NumHead I"/>
    <w:basedOn w:val="Normal"/>
    <w:next w:val="Normal"/>
    <w:semiHidden/>
    <w:rsid w:val="00E4290C"/>
    <w:pPr>
      <w:keepLines/>
      <w:tabs>
        <w:tab w:val="num" w:pos="1008"/>
      </w:tabs>
      <w:spacing w:before="360" w:line="270" w:lineRule="atLeast"/>
      <w:ind w:left="1008" w:hanging="1008"/>
    </w:pPr>
    <w:rPr>
      <w:b/>
      <w:vanish/>
      <w:color w:val="FF0000"/>
    </w:rPr>
  </w:style>
  <w:style w:type="paragraph" w:customStyle="1" w:styleId="NumHeadII">
    <w:name w:val="NumHead II"/>
    <w:basedOn w:val="Normal"/>
    <w:next w:val="Normal"/>
    <w:semiHidden/>
    <w:rsid w:val="00E4290C"/>
    <w:pPr>
      <w:keepNext/>
      <w:keepLines/>
      <w:tabs>
        <w:tab w:val="num" w:pos="1008"/>
      </w:tabs>
      <w:spacing w:before="360" w:line="270" w:lineRule="atLeast"/>
      <w:ind w:left="1008" w:hanging="1008"/>
    </w:pPr>
    <w:rPr>
      <w:b/>
    </w:rPr>
  </w:style>
  <w:style w:type="paragraph" w:customStyle="1" w:styleId="NumHeadIII">
    <w:name w:val="NumHead III"/>
    <w:basedOn w:val="Normal"/>
    <w:next w:val="Normal"/>
    <w:semiHidden/>
    <w:rsid w:val="00E4290C"/>
    <w:pPr>
      <w:keepNext/>
      <w:keepLines/>
      <w:tabs>
        <w:tab w:val="num" w:pos="1008"/>
      </w:tabs>
      <w:spacing w:before="360" w:line="270" w:lineRule="atLeast"/>
      <w:ind w:left="1008" w:hanging="1008"/>
    </w:pPr>
    <w:rPr>
      <w:b/>
    </w:rPr>
  </w:style>
  <w:style w:type="paragraph" w:customStyle="1" w:styleId="NumHeadIV">
    <w:name w:val="NumHead IV"/>
    <w:basedOn w:val="Normal"/>
    <w:next w:val="Normal"/>
    <w:semiHidden/>
    <w:rsid w:val="00E4290C"/>
    <w:pPr>
      <w:keepNext/>
      <w:keepLines/>
      <w:tabs>
        <w:tab w:val="num" w:pos="1008"/>
      </w:tabs>
      <w:spacing w:before="360" w:line="270" w:lineRule="atLeast"/>
      <w:ind w:left="1008" w:hanging="1008"/>
    </w:pPr>
    <w:rPr>
      <w:b/>
    </w:rPr>
  </w:style>
  <w:style w:type="paragraph" w:customStyle="1" w:styleId="NumHeadV">
    <w:name w:val="NumHead V"/>
    <w:basedOn w:val="Normal"/>
    <w:next w:val="Normal"/>
    <w:semiHidden/>
    <w:rsid w:val="00E4290C"/>
    <w:pPr>
      <w:keepNext/>
      <w:keepLines/>
      <w:tabs>
        <w:tab w:val="num" w:pos="1008"/>
      </w:tabs>
      <w:spacing w:before="360" w:line="270" w:lineRule="atLeast"/>
      <w:ind w:left="1008" w:hanging="1008"/>
    </w:pPr>
    <w:rPr>
      <w:b/>
    </w:rPr>
  </w:style>
  <w:style w:type="character" w:customStyle="1" w:styleId="TitleChar">
    <w:name w:val="Title Char"/>
    <w:basedOn w:val="DefaultParagraphFont"/>
    <w:link w:val="Title"/>
    <w:rsid w:val="00E4290C"/>
    <w:rPr>
      <w:rFonts w:ascii="Arial" w:eastAsia="MS Mincho" w:hAnsi="Arial" w:cs="Arial"/>
      <w:color w:val="FFFFFF"/>
      <w:kern w:val="16"/>
      <w:sz w:val="40"/>
      <w:szCs w:val="40"/>
      <w:lang w:val="en-US" w:eastAsia="ja-JP" w:bidi="ar-SA"/>
    </w:rPr>
  </w:style>
  <w:style w:type="paragraph" w:styleId="Subtitle">
    <w:name w:val="Subtitle"/>
    <w:basedOn w:val="Title"/>
    <w:link w:val="SubtitleChar"/>
    <w:qFormat/>
    <w:rsid w:val="0039777B"/>
    <w:pPr>
      <w:spacing w:after="100" w:afterAutospacing="1" w:line="360" w:lineRule="atLeast"/>
    </w:pPr>
    <w:rPr>
      <w:b/>
      <w:i/>
      <w:sz w:val="28"/>
      <w:szCs w:val="28"/>
    </w:rPr>
  </w:style>
  <w:style w:type="paragraph" w:styleId="Salutation">
    <w:name w:val="Salutation"/>
    <w:basedOn w:val="Normal"/>
    <w:next w:val="Normal"/>
    <w:semiHidden/>
    <w:rsid w:val="00E4290C"/>
  </w:style>
  <w:style w:type="paragraph" w:styleId="MessageHeader">
    <w:name w:val="Message Header"/>
    <w:basedOn w:val="Normal"/>
    <w:semiHidden/>
    <w:rsid w:val="00E4290C"/>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paragraph" w:customStyle="1" w:styleId="NumHead4">
    <w:name w:val="NumHead 4"/>
    <w:basedOn w:val="NumHead3"/>
    <w:next w:val="BodyText"/>
    <w:link w:val="NumHead4CharChar"/>
    <w:rsid w:val="00E4290C"/>
    <w:pPr>
      <w:numPr>
        <w:ilvl w:val="3"/>
      </w:numPr>
      <w:tabs>
        <w:tab w:val="clear" w:pos="851"/>
        <w:tab w:val="left" w:pos="907"/>
      </w:tabs>
    </w:pPr>
    <w:rPr>
      <w:sz w:val="21"/>
      <w:szCs w:val="21"/>
    </w:rPr>
  </w:style>
  <w:style w:type="character" w:customStyle="1" w:styleId="SubtitleChar">
    <w:name w:val="Subtitle Char"/>
    <w:basedOn w:val="TitleChar"/>
    <w:link w:val="Subtitle"/>
    <w:rsid w:val="0039777B"/>
    <w:rPr>
      <w:rFonts w:ascii="Arial" w:eastAsia="MS Mincho" w:hAnsi="Arial" w:cs="Arial"/>
      <w:b/>
      <w:i/>
      <w:color w:val="FFFFFF"/>
      <w:kern w:val="16"/>
      <w:sz w:val="28"/>
      <w:szCs w:val="28"/>
      <w:lang w:val="en-US" w:eastAsia="ja-JP" w:bidi="ar-SA"/>
    </w:rPr>
  </w:style>
  <w:style w:type="paragraph" w:customStyle="1" w:styleId="BodyTextBold">
    <w:name w:val="Body Text Bold"/>
    <w:basedOn w:val="BlockText"/>
    <w:next w:val="BodyText"/>
    <w:rsid w:val="00E4290C"/>
    <w:pPr>
      <w:ind w:left="0"/>
    </w:pPr>
    <w:rPr>
      <w:b/>
    </w:rPr>
  </w:style>
  <w:style w:type="paragraph" w:customStyle="1" w:styleId="NumHead5">
    <w:name w:val="NumHead 5"/>
    <w:basedOn w:val="NumHead4"/>
    <w:next w:val="BodyText"/>
    <w:link w:val="NumHead5CharChar"/>
    <w:rsid w:val="00E4290C"/>
    <w:pPr>
      <w:numPr>
        <w:ilvl w:val="4"/>
      </w:numPr>
      <w:tabs>
        <w:tab w:val="clear" w:pos="907"/>
        <w:tab w:val="left" w:pos="1021"/>
      </w:tabs>
      <w:spacing w:line="240" w:lineRule="atLeast"/>
    </w:pPr>
    <w:rPr>
      <w:szCs w:val="19"/>
    </w:rPr>
  </w:style>
  <w:style w:type="character" w:customStyle="1" w:styleId="NumHead1CharChar">
    <w:name w:val="NumHead 1 Char Char"/>
    <w:basedOn w:val="DefaultParagraphFont"/>
    <w:link w:val="NumHead1"/>
    <w:rsid w:val="00E4290C"/>
    <w:rPr>
      <w:rFonts w:ascii="Arial" w:eastAsia="MS Mincho" w:hAnsi="Arial"/>
      <w:color w:val="003263"/>
      <w:kern w:val="16"/>
      <w:sz w:val="32"/>
      <w:szCs w:val="32"/>
      <w:lang w:val="en-US" w:eastAsia="ja-JP" w:bidi="ar-SA"/>
    </w:rPr>
  </w:style>
  <w:style w:type="character" w:customStyle="1" w:styleId="NumHead2CharChar">
    <w:name w:val="NumHead 2 Char Char"/>
    <w:basedOn w:val="NumHead1CharChar"/>
    <w:link w:val="NumHead2"/>
    <w:rsid w:val="00E4290C"/>
    <w:rPr>
      <w:rFonts w:ascii="Arial" w:eastAsia="MS Mincho" w:hAnsi="Arial" w:cs="Arial"/>
      <w:color w:val="0060A9"/>
      <w:kern w:val="16"/>
      <w:sz w:val="25"/>
      <w:szCs w:val="25"/>
      <w:lang w:val="en-US" w:eastAsia="ja-JP" w:bidi="ar-SA"/>
    </w:rPr>
  </w:style>
  <w:style w:type="paragraph" w:customStyle="1" w:styleId="Question1">
    <w:name w:val="Question 1"/>
    <w:basedOn w:val="Normal"/>
    <w:next w:val="BodyText"/>
    <w:rsid w:val="00E4290C"/>
    <w:pPr>
      <w:keepNext/>
      <w:keepLines/>
      <w:numPr>
        <w:numId w:val="21"/>
      </w:numPr>
      <w:pBdr>
        <w:bottom w:val="single" w:sz="2" w:space="4" w:color="8499A6"/>
      </w:pBdr>
      <w:adjustRightInd/>
      <w:spacing w:before="600" w:after="60"/>
    </w:pPr>
    <w:rPr>
      <w:color w:val="0060A9"/>
      <w:lang w:val="en-CA" w:eastAsia="en-US"/>
    </w:rPr>
  </w:style>
  <w:style w:type="paragraph" w:customStyle="1" w:styleId="Question2">
    <w:name w:val="Question 2"/>
    <w:basedOn w:val="Question1"/>
    <w:next w:val="BodyText"/>
    <w:rsid w:val="00E4290C"/>
    <w:pPr>
      <w:numPr>
        <w:numId w:val="0"/>
      </w:numPr>
    </w:pPr>
  </w:style>
  <w:style w:type="paragraph" w:styleId="List">
    <w:name w:val="List"/>
    <w:basedOn w:val="BodyText"/>
    <w:link w:val="ListChar"/>
    <w:rsid w:val="00E4290C"/>
    <w:pPr>
      <w:numPr>
        <w:numId w:val="5"/>
      </w:numPr>
      <w:spacing w:line="240" w:lineRule="atLeast"/>
    </w:pPr>
    <w:rPr>
      <w:sz w:val="19"/>
      <w:szCs w:val="19"/>
      <w:lang w:val="en-CA"/>
    </w:rPr>
  </w:style>
  <w:style w:type="paragraph" w:customStyle="1" w:styleId="DateFrontpage">
    <w:name w:val="Date Front page"/>
    <w:basedOn w:val="BodyText"/>
    <w:rsid w:val="00E4290C"/>
    <w:pPr>
      <w:framePr w:w="4043" w:h="357" w:hRule="exact" w:hSpace="181" w:wrap="notBeside" w:vAnchor="page" w:hAnchor="page" w:x="1231" w:y="5217" w:anchorLock="1"/>
      <w:spacing w:after="240"/>
    </w:pPr>
    <w:rPr>
      <w:smallCaps/>
      <w:color w:val="FFFFFF"/>
      <w:sz w:val="16"/>
      <w:szCs w:val="16"/>
    </w:rPr>
  </w:style>
  <w:style w:type="character" w:customStyle="1" w:styleId="NumHead3CharChar">
    <w:name w:val="NumHead 3 Char Char"/>
    <w:basedOn w:val="NumHead2CharChar"/>
    <w:link w:val="NumHead3"/>
    <w:rsid w:val="00E4290C"/>
    <w:rPr>
      <w:rFonts w:ascii="Arial" w:eastAsia="MS Mincho" w:hAnsi="Arial" w:cs="Arial"/>
      <w:color w:val="0060A9"/>
      <w:kern w:val="16"/>
      <w:sz w:val="22"/>
      <w:szCs w:val="25"/>
      <w:lang w:val="en-US" w:eastAsia="ja-JP" w:bidi="ar-SA"/>
    </w:rPr>
  </w:style>
  <w:style w:type="character" w:customStyle="1" w:styleId="NumHead4CharChar">
    <w:name w:val="NumHead 4 Char Char"/>
    <w:basedOn w:val="NumHead3CharChar"/>
    <w:link w:val="NumHead4"/>
    <w:rsid w:val="00E4290C"/>
    <w:rPr>
      <w:rFonts w:ascii="Arial" w:eastAsia="MS Mincho" w:hAnsi="Arial" w:cs="Arial"/>
      <w:color w:val="0060A9"/>
      <w:kern w:val="16"/>
      <w:sz w:val="21"/>
      <w:szCs w:val="21"/>
      <w:lang w:val="en-US" w:eastAsia="ja-JP" w:bidi="ar-SA"/>
    </w:rPr>
  </w:style>
  <w:style w:type="character" w:customStyle="1" w:styleId="BodyTextChar">
    <w:name w:val="Body Text Char"/>
    <w:basedOn w:val="DefaultParagraphFont"/>
    <w:link w:val="BodyText"/>
    <w:rsid w:val="00E4290C"/>
    <w:rPr>
      <w:rFonts w:ascii="Arial" w:eastAsia="MS Mincho" w:hAnsi="Arial"/>
      <w:kern w:val="16"/>
      <w:lang w:val="en-US" w:eastAsia="ja-JP" w:bidi="ar-SA"/>
    </w:rPr>
  </w:style>
  <w:style w:type="paragraph" w:styleId="PlainText">
    <w:name w:val="Plain Text"/>
    <w:basedOn w:val="Normal"/>
    <w:semiHidden/>
    <w:rsid w:val="00E4290C"/>
    <w:rPr>
      <w:rFonts w:ascii="Courier New" w:hAnsi="Courier New" w:cs="Courier New"/>
    </w:rPr>
  </w:style>
  <w:style w:type="numbering" w:styleId="111111">
    <w:name w:val="Outline List 2"/>
    <w:basedOn w:val="NoList"/>
    <w:semiHidden/>
    <w:rsid w:val="00E4290C"/>
    <w:pPr>
      <w:numPr>
        <w:numId w:val="1"/>
      </w:numPr>
    </w:pPr>
  </w:style>
  <w:style w:type="paragraph" w:styleId="BlockText">
    <w:name w:val="Block Text"/>
    <w:basedOn w:val="Normal"/>
    <w:semiHidden/>
    <w:rsid w:val="00E4290C"/>
    <w:pPr>
      <w:ind w:left="1440" w:right="1440"/>
    </w:pPr>
  </w:style>
  <w:style w:type="character" w:customStyle="1" w:styleId="NumHead5CharChar">
    <w:name w:val="NumHead 5 Char Char"/>
    <w:basedOn w:val="NumHead4CharChar"/>
    <w:link w:val="NumHead5"/>
    <w:rsid w:val="00E4290C"/>
    <w:rPr>
      <w:rFonts w:ascii="Arial" w:eastAsia="MS Mincho" w:hAnsi="Arial" w:cs="Arial"/>
      <w:color w:val="0060A9"/>
      <w:kern w:val="16"/>
      <w:sz w:val="21"/>
      <w:szCs w:val="19"/>
      <w:lang w:val="en-US" w:eastAsia="ja-JP" w:bidi="ar-SA"/>
    </w:rPr>
  </w:style>
  <w:style w:type="character" w:customStyle="1" w:styleId="Heading1CharChar">
    <w:name w:val="Heading 1 Char Char"/>
    <w:basedOn w:val="DefaultParagraphFont"/>
    <w:rsid w:val="00541410"/>
    <w:rPr>
      <w:rFonts w:ascii="Arial" w:eastAsia="MS Mincho" w:hAnsi="Arial"/>
      <w:color w:val="003263"/>
      <w:kern w:val="16"/>
      <w:sz w:val="32"/>
      <w:szCs w:val="32"/>
      <w:lang w:val="en-US" w:eastAsia="ja-JP" w:bidi="ar-SA"/>
    </w:rPr>
  </w:style>
  <w:style w:type="paragraph" w:customStyle="1" w:styleId="Question3">
    <w:name w:val="Question 3"/>
    <w:basedOn w:val="Question1"/>
    <w:next w:val="BodyText"/>
    <w:rsid w:val="00E4290C"/>
    <w:pPr>
      <w:numPr>
        <w:numId w:val="22"/>
      </w:numPr>
    </w:pPr>
  </w:style>
  <w:style w:type="paragraph" w:customStyle="1" w:styleId="Question5">
    <w:name w:val="Question 5"/>
    <w:basedOn w:val="Question1"/>
    <w:next w:val="BodyText"/>
    <w:rsid w:val="00E4290C"/>
    <w:pPr>
      <w:numPr>
        <w:numId w:val="24"/>
      </w:numPr>
    </w:pPr>
  </w:style>
  <w:style w:type="paragraph" w:customStyle="1" w:styleId="Question4">
    <w:name w:val="Question 4"/>
    <w:basedOn w:val="Question1"/>
    <w:next w:val="BodyText"/>
    <w:rsid w:val="00E4290C"/>
    <w:pPr>
      <w:numPr>
        <w:numId w:val="23"/>
      </w:numPr>
    </w:pPr>
  </w:style>
  <w:style w:type="character" w:customStyle="1" w:styleId="Heading2Char">
    <w:name w:val="Heading 2 Char"/>
    <w:basedOn w:val="Heading1Char"/>
    <w:link w:val="Heading2"/>
    <w:rsid w:val="00E4290C"/>
    <w:rPr>
      <w:rFonts w:ascii="Arial" w:eastAsia="MS Mincho" w:hAnsi="Arial"/>
      <w:color w:val="0060A9"/>
      <w:kern w:val="16"/>
      <w:sz w:val="25"/>
      <w:szCs w:val="25"/>
      <w:lang w:val="en-US" w:eastAsia="ja-JP" w:bidi="ar-SA"/>
    </w:rPr>
  </w:style>
  <w:style w:type="paragraph" w:customStyle="1" w:styleId="Redtext">
    <w:name w:val="Red text"/>
    <w:basedOn w:val="BodyText"/>
    <w:rsid w:val="00E4290C"/>
    <w:rPr>
      <w:i/>
      <w:color w:val="FF0000"/>
    </w:rPr>
  </w:style>
  <w:style w:type="paragraph" w:customStyle="1" w:styleId="TitleDisclaimer">
    <w:name w:val="Title Disclaimer"/>
    <w:basedOn w:val="Heading1"/>
    <w:rsid w:val="00E4290C"/>
  </w:style>
  <w:style w:type="paragraph" w:customStyle="1" w:styleId="Quotation">
    <w:name w:val="Quotation"/>
    <w:basedOn w:val="SubHeading"/>
    <w:rsid w:val="0039777B"/>
    <w:pPr>
      <w:spacing w:after="120" w:line="280" w:lineRule="atLeast"/>
    </w:pPr>
    <w:rPr>
      <w:sz w:val="18"/>
    </w:rPr>
  </w:style>
  <w:style w:type="character" w:customStyle="1" w:styleId="ListChar">
    <w:name w:val="List Char"/>
    <w:basedOn w:val="DefaultParagraphFont"/>
    <w:link w:val="List"/>
    <w:rsid w:val="00E4290C"/>
    <w:rPr>
      <w:rFonts w:ascii="Arial" w:eastAsia="MS Mincho" w:hAnsi="Arial"/>
      <w:kern w:val="16"/>
      <w:sz w:val="19"/>
      <w:szCs w:val="19"/>
      <w:lang w:val="en-CA" w:eastAsia="ja-JP" w:bidi="ar-SA"/>
    </w:rPr>
  </w:style>
  <w:style w:type="character" w:customStyle="1" w:styleId="ListBulletChar">
    <w:name w:val="List Bullet Char"/>
    <w:basedOn w:val="DefaultParagraphFont"/>
    <w:link w:val="ListBullet"/>
    <w:rsid w:val="004A21A3"/>
    <w:rPr>
      <w:rFonts w:ascii="Arial" w:eastAsia="MS Mincho" w:hAnsi="Arial"/>
      <w:color w:val="000000"/>
      <w:kern w:val="16"/>
      <w:sz w:val="19"/>
      <w:szCs w:val="19"/>
      <w:lang w:val="en-CA" w:eastAsia="ja-JP" w:bidi="ar-SA"/>
    </w:rPr>
  </w:style>
  <w:style w:type="numbering" w:customStyle="1" w:styleId="NumHeadListChapter">
    <w:name w:val="NumHead List Chapter"/>
    <w:basedOn w:val="NoList"/>
    <w:semiHidden/>
    <w:rsid w:val="00E4290C"/>
    <w:pPr>
      <w:numPr>
        <w:numId w:val="29"/>
      </w:numPr>
    </w:pPr>
  </w:style>
  <w:style w:type="numbering" w:customStyle="1" w:styleId="NumHeadListAppendix">
    <w:name w:val="NumHead List Appendix"/>
    <w:basedOn w:val="NoList"/>
    <w:semiHidden/>
    <w:rsid w:val="00E4290C"/>
    <w:pPr>
      <w:numPr>
        <w:numId w:val="19"/>
      </w:numPr>
    </w:pPr>
  </w:style>
  <w:style w:type="character" w:customStyle="1" w:styleId="ListBullet2Char">
    <w:name w:val="List Bullet 2 Char"/>
    <w:basedOn w:val="ListBulletChar"/>
    <w:link w:val="ListBullet2"/>
    <w:rsid w:val="00E4290C"/>
    <w:rPr>
      <w:rFonts w:ascii="Arial" w:eastAsia="MS Mincho" w:hAnsi="Arial"/>
      <w:color w:val="000000"/>
      <w:kern w:val="16"/>
      <w:sz w:val="19"/>
      <w:szCs w:val="19"/>
      <w:lang w:val="en-CA" w:eastAsia="ja-JP" w:bidi="ar-SA"/>
    </w:rPr>
  </w:style>
  <w:style w:type="character" w:customStyle="1" w:styleId="TableTextCharChar">
    <w:name w:val="Table Text Char Char"/>
    <w:basedOn w:val="DefaultParagraphFont"/>
    <w:link w:val="TableText"/>
    <w:rsid w:val="00E4290C"/>
    <w:rPr>
      <w:rFonts w:ascii="Arial" w:eastAsia="MS Mincho" w:hAnsi="Arial"/>
      <w:kern w:val="16"/>
      <w:sz w:val="18"/>
      <w:szCs w:val="18"/>
      <w:lang w:val="en-US" w:eastAsia="ja-JP" w:bidi="ar-SA"/>
    </w:rPr>
  </w:style>
  <w:style w:type="paragraph" w:customStyle="1" w:styleId="SubHeading">
    <w:name w:val="Sub Heading"/>
    <w:next w:val="BodyText"/>
    <w:rsid w:val="0039777B"/>
    <w:pPr>
      <w:spacing w:before="120" w:after="1080" w:line="260" w:lineRule="atLeast"/>
    </w:pPr>
    <w:rPr>
      <w:rFonts w:ascii="Arial" w:eastAsia="MS Mincho" w:hAnsi="Arial"/>
      <w:b/>
      <w:i/>
      <w:color w:val="0060A9"/>
      <w:kern w:val="16"/>
      <w:sz w:val="24"/>
      <w:szCs w:val="24"/>
      <w:lang w:eastAsia="ja-JP"/>
    </w:rPr>
  </w:style>
  <w:style w:type="paragraph" w:customStyle="1" w:styleId="FootnoteSeparator">
    <w:name w:val="Footnote Separator"/>
    <w:basedOn w:val="Normal"/>
    <w:semiHidden/>
    <w:rsid w:val="00E4290C"/>
    <w:pPr>
      <w:keepLines/>
    </w:pPr>
    <w:rPr>
      <w:rFonts w:cs="Arial"/>
      <w:noProof/>
      <w:sz w:val="10"/>
      <w:szCs w:val="10"/>
      <w:lang w:eastAsia="en-GB"/>
    </w:rPr>
  </w:style>
  <w:style w:type="paragraph" w:customStyle="1" w:styleId="Default">
    <w:name w:val="Default"/>
    <w:semiHidden/>
    <w:rsid w:val="00E4290C"/>
    <w:pPr>
      <w:autoSpaceDE w:val="0"/>
      <w:autoSpaceDN w:val="0"/>
      <w:adjustRightInd w:val="0"/>
    </w:pPr>
    <w:rPr>
      <w:rFonts w:ascii="Arial" w:eastAsia="Times New Roman" w:hAnsi="Arial" w:cs="Arial"/>
      <w:color w:val="000000"/>
      <w:sz w:val="24"/>
      <w:szCs w:val="24"/>
    </w:rPr>
  </w:style>
  <w:style w:type="paragraph" w:customStyle="1" w:styleId="Heading1Spacer">
    <w:name w:val="Heading 1_Spacer"/>
    <w:basedOn w:val="Heading1"/>
    <w:next w:val="BodyText"/>
    <w:rsid w:val="00E4290C"/>
    <w:pPr>
      <w:pBdr>
        <w:bottom w:val="none" w:sz="0" w:space="0" w:color="auto"/>
      </w:pBdr>
      <w:ind w:left="578" w:hanging="578"/>
    </w:pPr>
    <w:rPr>
      <w:color w:val="FFFFFF"/>
      <w:sz w:val="36"/>
    </w:rPr>
  </w:style>
  <w:style w:type="character" w:styleId="Hyperlink">
    <w:name w:val="Hyperlink"/>
    <w:basedOn w:val="DefaultParagraphFont"/>
    <w:rsid w:val="00E4290C"/>
    <w:rPr>
      <w:rFonts w:ascii="Arial" w:hAnsi="Arial"/>
      <w:b/>
      <w:color w:val="000000"/>
      <w:sz w:val="20"/>
      <w:u w:val="none"/>
      <w:lang w:val="en-GB"/>
    </w:rPr>
  </w:style>
  <w:style w:type="character" w:customStyle="1" w:styleId="FooterChar">
    <w:name w:val="Footer Char"/>
    <w:basedOn w:val="DefaultParagraphFont"/>
    <w:link w:val="Footer"/>
    <w:rsid w:val="00887BA1"/>
    <w:rPr>
      <w:rFonts w:ascii="Arial" w:eastAsia="MS Mincho" w:hAnsi="Arial"/>
      <w:caps/>
      <w:noProof/>
      <w:snapToGrid w:val="0"/>
      <w:color w:val="003263"/>
      <w:spacing w:val="20"/>
      <w:kern w:val="12"/>
      <w:sz w:val="12"/>
      <w:szCs w:val="12"/>
      <w:lang w:eastAsia="ja-JP"/>
    </w:rPr>
  </w:style>
  <w:style w:type="paragraph" w:styleId="ListBullet2">
    <w:name w:val="List Bullet 2"/>
    <w:basedOn w:val="ListBullet"/>
    <w:link w:val="ListBullet2Char"/>
    <w:rsid w:val="00E4290C"/>
    <w:pPr>
      <w:numPr>
        <w:numId w:val="10"/>
      </w:numPr>
    </w:pPr>
  </w:style>
  <w:style w:type="paragraph" w:styleId="ListBullet3">
    <w:name w:val="List Bullet 3"/>
    <w:basedOn w:val="ListBullet2"/>
    <w:rsid w:val="00E4290C"/>
    <w:pPr>
      <w:numPr>
        <w:numId w:val="11"/>
      </w:numPr>
    </w:pPr>
    <w:rPr>
      <w:color w:val="auto"/>
    </w:rPr>
  </w:style>
  <w:style w:type="character" w:styleId="PageNumber">
    <w:name w:val="page number"/>
    <w:semiHidden/>
    <w:rsid w:val="00E4290C"/>
  </w:style>
  <w:style w:type="paragraph" w:customStyle="1" w:styleId="TableMultipleColumnTitle">
    <w:name w:val="Table Multiple Column Title"/>
    <w:basedOn w:val="Normal"/>
    <w:semiHidden/>
    <w:rsid w:val="00E4290C"/>
    <w:pPr>
      <w:keepNext/>
      <w:keepLines/>
      <w:spacing w:before="50" w:after="30"/>
      <w:jc w:val="center"/>
    </w:pPr>
    <w:rPr>
      <w:b/>
      <w:sz w:val="17"/>
      <w:szCs w:val="17"/>
    </w:rPr>
  </w:style>
  <w:style w:type="paragraph" w:customStyle="1" w:styleId="TableHeaderRowBlue">
    <w:name w:val="Table Header Row Blue"/>
    <w:basedOn w:val="TableHeaderRowBrightBlue"/>
    <w:next w:val="TableText"/>
    <w:link w:val="TableHeaderRowBlueChar"/>
    <w:rsid w:val="00E32DBC"/>
    <w:rPr>
      <w:bCs/>
      <w:color w:val="003263"/>
      <w:lang w:eastAsia="ja-JP"/>
    </w:rPr>
  </w:style>
  <w:style w:type="paragraph" w:customStyle="1" w:styleId="TableHeaderRowBrightBlue">
    <w:name w:val="Table Header Row Bright Blue"/>
    <w:next w:val="TableText"/>
    <w:link w:val="TableHeaderRowBrightBlueChar"/>
    <w:rsid w:val="00E32DBC"/>
    <w:pPr>
      <w:spacing w:before="40" w:after="40" w:line="200" w:lineRule="atLeast"/>
      <w:jc w:val="center"/>
    </w:pPr>
    <w:rPr>
      <w:rFonts w:ascii="Arial" w:eastAsia="MS Mincho" w:hAnsi="Arial" w:cs="Arial"/>
      <w:b/>
      <w:color w:val="0060A9"/>
      <w:kern w:val="16"/>
      <w:sz w:val="16"/>
      <w:szCs w:val="18"/>
      <w:lang w:eastAsia="zh-CN"/>
    </w:rPr>
  </w:style>
  <w:style w:type="paragraph" w:customStyle="1" w:styleId="Disclaimer">
    <w:name w:val="Disclaimer"/>
    <w:basedOn w:val="BodyText"/>
    <w:rsid w:val="00E4290C"/>
    <w:pPr>
      <w:framePr w:hSpace="181" w:wrap="around" w:vAnchor="page" w:hAnchor="text" w:y="13402"/>
      <w:spacing w:before="80" w:after="80" w:line="240" w:lineRule="auto"/>
      <w:jc w:val="both"/>
    </w:pPr>
    <w:rPr>
      <w:rFonts w:eastAsia="Times New Roman"/>
      <w:sz w:val="13"/>
      <w:szCs w:val="13"/>
    </w:rPr>
  </w:style>
  <w:style w:type="paragraph" w:customStyle="1" w:styleId="FooterCopyright">
    <w:name w:val="Footer Copyright"/>
    <w:basedOn w:val="FooterBackcover"/>
    <w:rsid w:val="00E4290C"/>
    <w:pPr>
      <w:jc w:val="right"/>
    </w:pPr>
    <w:rPr>
      <w:sz w:val="18"/>
    </w:rPr>
  </w:style>
  <w:style w:type="paragraph" w:customStyle="1" w:styleId="TableMultipleTitle">
    <w:name w:val="Table Multiple Title"/>
    <w:basedOn w:val="Normal"/>
    <w:next w:val="EndnoteText"/>
    <w:semiHidden/>
    <w:rsid w:val="00E4290C"/>
    <w:pPr>
      <w:keepNext/>
      <w:spacing w:before="300" w:after="30" w:line="230" w:lineRule="atLeast"/>
      <w:jc w:val="center"/>
    </w:pPr>
    <w:rPr>
      <w:b/>
      <w:szCs w:val="18"/>
    </w:rPr>
  </w:style>
  <w:style w:type="paragraph" w:customStyle="1" w:styleId="Heading1Sub-Heading">
    <w:name w:val="Heading 1 + Sub-Heading"/>
    <w:basedOn w:val="Heading1"/>
    <w:rsid w:val="00E4290C"/>
    <w:pPr>
      <w:spacing w:after="120"/>
    </w:pPr>
  </w:style>
  <w:style w:type="character" w:customStyle="1" w:styleId="Lead-inEmphasis">
    <w:name w:val="Lead-in Emphasis"/>
    <w:rsid w:val="00E4290C"/>
    <w:rPr>
      <w:rFonts w:ascii="Arial Black" w:hAnsi="Arial Black"/>
      <w:spacing w:val="-4"/>
      <w:sz w:val="18"/>
    </w:rPr>
  </w:style>
  <w:style w:type="paragraph" w:customStyle="1" w:styleId="RAGRed">
    <w:name w:val="RAG Red"/>
    <w:rsid w:val="00E4290C"/>
    <w:rPr>
      <w:rFonts w:ascii="Wingdings" w:eastAsia="MS Mincho" w:hAnsi="Wingdings"/>
      <w:color w:val="F93F26"/>
      <w:kern w:val="16"/>
      <w:szCs w:val="18"/>
      <w:lang w:eastAsia="ja-JP"/>
    </w:rPr>
  </w:style>
  <w:style w:type="paragraph" w:customStyle="1" w:styleId="RAGAmber">
    <w:name w:val="RAG Amber"/>
    <w:basedOn w:val="RAGRed"/>
    <w:rsid w:val="00E4290C"/>
    <w:rPr>
      <w:color w:val="FCA311"/>
    </w:rPr>
  </w:style>
  <w:style w:type="paragraph" w:customStyle="1" w:styleId="RAGGreen">
    <w:name w:val="RAG Green"/>
    <w:basedOn w:val="RAGAmber"/>
    <w:rsid w:val="00E4290C"/>
    <w:rPr>
      <w:color w:val="C0D30B"/>
    </w:rPr>
  </w:style>
  <w:style w:type="character" w:styleId="FootnoteReference">
    <w:name w:val="footnote reference"/>
    <w:basedOn w:val="DefaultParagraphFont"/>
    <w:semiHidden/>
    <w:rsid w:val="00E4290C"/>
    <w:rPr>
      <w:vertAlign w:val="superscript"/>
      <w:lang w:val="en-GB"/>
    </w:rPr>
  </w:style>
  <w:style w:type="table" w:customStyle="1" w:styleId="RBCFigureTable">
    <w:name w:val="RBC Figure Table"/>
    <w:basedOn w:val="TableNormal"/>
    <w:rsid w:val="00E4290C"/>
    <w:pPr>
      <w:spacing w:before="60" w:after="60"/>
    </w:pPr>
    <w:rPr>
      <w:rFonts w:ascii="Arial" w:eastAsia="Times New Roman" w:hAnsi="Arial"/>
    </w:rPr>
    <w:tblPr>
      <w:tblStyleRowBandSize w:val="1"/>
      <w:tblStyleColBandSize w:val="3"/>
    </w:tblPr>
    <w:tcPr>
      <w:shd w:val="clear" w:color="auto" w:fill="auto"/>
    </w:tcPr>
    <w:tblStylePr w:type="firstRow">
      <w:pPr>
        <w:jc w:val="left"/>
      </w:pPr>
      <w:rPr>
        <w:rFonts w:ascii="Arial" w:hAnsi="Arial"/>
        <w:b/>
        <w:color w:val="FFFFFF"/>
        <w:sz w:val="18"/>
      </w:rPr>
      <w:tblPr/>
      <w:tcPr>
        <w:tcBorders>
          <w:top w:val="nil"/>
          <w:left w:val="nil"/>
          <w:bottom w:val="nil"/>
          <w:right w:val="nil"/>
          <w:insideH w:val="nil"/>
          <w:insideV w:val="nil"/>
          <w:tl2br w:val="nil"/>
          <w:tr2bl w:val="nil"/>
        </w:tcBorders>
        <w:shd w:val="clear" w:color="auto" w:fill="00254B"/>
      </w:tcPr>
    </w:tblStylePr>
    <w:tblStylePr w:type="lastRow">
      <w:pPr>
        <w:wordWrap/>
        <w:spacing w:beforeLines="0" w:before="0" w:beforeAutospacing="0"/>
        <w:ind w:leftChars="0" w:left="0" w:rightChars="0" w:right="0"/>
      </w:pPr>
      <w:rPr>
        <w:rFonts w:ascii="Arial" w:hAnsi="Arial"/>
        <w:b/>
        <w:sz w:val="18"/>
      </w:rPr>
      <w:tblPr/>
      <w:tcPr>
        <w:tcBorders>
          <w:top w:val="single" w:sz="6" w:space="0" w:color="A29989"/>
          <w:bottom w:val="single" w:sz="6" w:space="0" w:color="auto"/>
        </w:tcBorders>
        <w:shd w:val="clear" w:color="auto" w:fill="auto"/>
      </w:tcPr>
    </w:tblStylePr>
    <w:tblStylePr w:type="firstCol">
      <w:tblPr/>
      <w:tcPr>
        <w:tcBorders>
          <w:top w:val="nil"/>
          <w:left w:val="nil"/>
          <w:bottom w:val="nil"/>
          <w:right w:val="nil"/>
          <w:insideH w:val="nil"/>
          <w:insideV w:val="nil"/>
        </w:tcBorders>
        <w:shd w:val="clear" w:color="auto" w:fill="auto"/>
      </w:tcPr>
    </w:tblStylePr>
  </w:style>
  <w:style w:type="character" w:customStyle="1" w:styleId="TableBullet2CharChar">
    <w:name w:val="Table Bullet 2 Char Char"/>
    <w:basedOn w:val="TableBullet1CharChar"/>
    <w:link w:val="TableBullet2"/>
    <w:rsid w:val="00E4290C"/>
    <w:rPr>
      <w:rFonts w:ascii="Arial" w:eastAsia="MS Mincho" w:hAnsi="Arial"/>
      <w:kern w:val="16"/>
      <w:sz w:val="16"/>
      <w:szCs w:val="18"/>
      <w:lang w:val="en-CA" w:eastAsia="ja-JP" w:bidi="ar-SA"/>
    </w:rPr>
  </w:style>
  <w:style w:type="numbering" w:styleId="1ai">
    <w:name w:val="Outline List 1"/>
    <w:basedOn w:val="NoList"/>
    <w:semiHidden/>
    <w:rsid w:val="00E4290C"/>
    <w:pPr>
      <w:numPr>
        <w:numId w:val="2"/>
      </w:numPr>
    </w:pPr>
  </w:style>
  <w:style w:type="numbering" w:styleId="ArticleSection">
    <w:name w:val="Outline List 3"/>
    <w:basedOn w:val="NoList"/>
    <w:semiHidden/>
    <w:rsid w:val="00E4290C"/>
    <w:pPr>
      <w:numPr>
        <w:numId w:val="3"/>
      </w:numPr>
    </w:pPr>
  </w:style>
  <w:style w:type="paragraph" w:styleId="BodyText2">
    <w:name w:val="Body Text 2"/>
    <w:basedOn w:val="Normal"/>
    <w:semiHidden/>
    <w:rsid w:val="00E4290C"/>
    <w:pPr>
      <w:spacing w:line="480" w:lineRule="auto"/>
    </w:pPr>
  </w:style>
  <w:style w:type="paragraph" w:styleId="BodyText3">
    <w:name w:val="Body Text 3"/>
    <w:basedOn w:val="Normal"/>
    <w:semiHidden/>
    <w:rsid w:val="00E4290C"/>
    <w:rPr>
      <w:sz w:val="16"/>
      <w:szCs w:val="16"/>
    </w:rPr>
  </w:style>
  <w:style w:type="paragraph" w:styleId="BodyTextFirstIndent">
    <w:name w:val="Body Text First Indent"/>
    <w:basedOn w:val="BodyText"/>
    <w:semiHidden/>
    <w:rsid w:val="00E4290C"/>
    <w:pPr>
      <w:ind w:firstLine="210"/>
    </w:pPr>
  </w:style>
  <w:style w:type="paragraph" w:styleId="BodyTextIndent">
    <w:name w:val="Body Text Indent"/>
    <w:basedOn w:val="Normal"/>
    <w:semiHidden/>
    <w:rsid w:val="00E4290C"/>
    <w:pPr>
      <w:ind w:left="283"/>
    </w:pPr>
  </w:style>
  <w:style w:type="paragraph" w:styleId="BodyTextFirstIndent2">
    <w:name w:val="Body Text First Indent 2"/>
    <w:basedOn w:val="BodyTextIndent"/>
    <w:semiHidden/>
    <w:rsid w:val="00E4290C"/>
    <w:pPr>
      <w:ind w:firstLine="210"/>
    </w:pPr>
  </w:style>
  <w:style w:type="paragraph" w:styleId="BodyTextIndent2">
    <w:name w:val="Body Text Indent 2"/>
    <w:basedOn w:val="Normal"/>
    <w:semiHidden/>
    <w:rsid w:val="00E4290C"/>
    <w:pPr>
      <w:spacing w:line="480" w:lineRule="auto"/>
      <w:ind w:left="283"/>
    </w:pPr>
  </w:style>
  <w:style w:type="paragraph" w:styleId="BodyTextIndent3">
    <w:name w:val="Body Text Indent 3"/>
    <w:basedOn w:val="Normal"/>
    <w:semiHidden/>
    <w:rsid w:val="00E4290C"/>
    <w:pPr>
      <w:ind w:left="283"/>
    </w:pPr>
    <w:rPr>
      <w:sz w:val="16"/>
      <w:szCs w:val="16"/>
    </w:rPr>
  </w:style>
  <w:style w:type="paragraph" w:styleId="Closing">
    <w:name w:val="Closing"/>
    <w:basedOn w:val="Normal"/>
    <w:semiHidden/>
    <w:rsid w:val="00E4290C"/>
    <w:pPr>
      <w:ind w:left="4252"/>
    </w:pPr>
  </w:style>
  <w:style w:type="paragraph" w:styleId="Date">
    <w:name w:val="Date"/>
    <w:basedOn w:val="Normal"/>
    <w:next w:val="Normal"/>
    <w:semiHidden/>
    <w:rsid w:val="00E4290C"/>
  </w:style>
  <w:style w:type="paragraph" w:styleId="E-mailSignature">
    <w:name w:val="E-mail Signature"/>
    <w:basedOn w:val="Normal"/>
    <w:semiHidden/>
    <w:rsid w:val="00E4290C"/>
  </w:style>
  <w:style w:type="character" w:styleId="Emphasis">
    <w:name w:val="Emphasis"/>
    <w:basedOn w:val="DefaultParagraphFont"/>
    <w:qFormat/>
    <w:rsid w:val="00E4290C"/>
    <w:rPr>
      <w:i/>
      <w:iCs/>
      <w:lang w:val="en-GB"/>
    </w:rPr>
  </w:style>
  <w:style w:type="paragraph" w:styleId="EnvelopeAddress">
    <w:name w:val="envelope address"/>
    <w:basedOn w:val="Normal"/>
    <w:semiHidden/>
    <w:rsid w:val="00E4290C"/>
    <w:pPr>
      <w:framePr w:w="7920" w:h="1980" w:hRule="exact" w:hSpace="180" w:wrap="auto" w:hAnchor="page" w:xAlign="center" w:yAlign="bottom"/>
      <w:ind w:left="2880"/>
    </w:pPr>
    <w:rPr>
      <w:rFonts w:cs="Arial"/>
    </w:rPr>
  </w:style>
  <w:style w:type="paragraph" w:styleId="EnvelopeReturn">
    <w:name w:val="envelope return"/>
    <w:basedOn w:val="Normal"/>
    <w:semiHidden/>
    <w:rsid w:val="00E4290C"/>
    <w:rPr>
      <w:rFonts w:cs="Arial"/>
    </w:rPr>
  </w:style>
  <w:style w:type="character" w:styleId="FollowedHyperlink">
    <w:name w:val="FollowedHyperlink"/>
    <w:basedOn w:val="DefaultParagraphFont"/>
    <w:semiHidden/>
    <w:rsid w:val="00E4290C"/>
    <w:rPr>
      <w:color w:val="800080"/>
      <w:u w:val="single"/>
      <w:lang w:val="en-GB"/>
    </w:rPr>
  </w:style>
  <w:style w:type="character" w:styleId="HTMLAcronym">
    <w:name w:val="HTML Acronym"/>
    <w:basedOn w:val="DefaultParagraphFont"/>
    <w:semiHidden/>
    <w:rsid w:val="00E4290C"/>
    <w:rPr>
      <w:lang w:val="en-GB"/>
    </w:rPr>
  </w:style>
  <w:style w:type="paragraph" w:styleId="HTMLAddress">
    <w:name w:val="HTML Address"/>
    <w:basedOn w:val="Normal"/>
    <w:semiHidden/>
    <w:rsid w:val="00E4290C"/>
    <w:rPr>
      <w:i/>
      <w:iCs/>
    </w:rPr>
  </w:style>
  <w:style w:type="character" w:styleId="HTMLCite">
    <w:name w:val="HTML Cite"/>
    <w:basedOn w:val="DefaultParagraphFont"/>
    <w:semiHidden/>
    <w:rsid w:val="00E4290C"/>
    <w:rPr>
      <w:i/>
      <w:iCs/>
      <w:lang w:val="en-GB"/>
    </w:rPr>
  </w:style>
  <w:style w:type="character" w:styleId="HTMLCode">
    <w:name w:val="HTML Code"/>
    <w:basedOn w:val="DefaultParagraphFont"/>
    <w:semiHidden/>
    <w:rsid w:val="00E4290C"/>
    <w:rPr>
      <w:rFonts w:ascii="Courier New" w:hAnsi="Courier New" w:cs="Courier New"/>
      <w:sz w:val="20"/>
      <w:szCs w:val="20"/>
      <w:lang w:val="en-GB"/>
    </w:rPr>
  </w:style>
  <w:style w:type="character" w:styleId="HTMLDefinition">
    <w:name w:val="HTML Definition"/>
    <w:basedOn w:val="DefaultParagraphFont"/>
    <w:semiHidden/>
    <w:rsid w:val="00E4290C"/>
    <w:rPr>
      <w:i/>
      <w:iCs/>
      <w:lang w:val="en-GB"/>
    </w:rPr>
  </w:style>
  <w:style w:type="character" w:styleId="HTMLKeyboard">
    <w:name w:val="HTML Keyboard"/>
    <w:basedOn w:val="DefaultParagraphFont"/>
    <w:semiHidden/>
    <w:rsid w:val="00E4290C"/>
    <w:rPr>
      <w:rFonts w:ascii="Courier New" w:hAnsi="Courier New" w:cs="Courier New"/>
      <w:sz w:val="20"/>
      <w:szCs w:val="20"/>
      <w:lang w:val="en-GB"/>
    </w:rPr>
  </w:style>
  <w:style w:type="paragraph" w:styleId="HTMLPreformatted">
    <w:name w:val="HTML Preformatted"/>
    <w:basedOn w:val="Normal"/>
    <w:semiHidden/>
    <w:rsid w:val="00E4290C"/>
    <w:rPr>
      <w:rFonts w:ascii="Courier New" w:hAnsi="Courier New" w:cs="Courier New"/>
    </w:rPr>
  </w:style>
  <w:style w:type="character" w:styleId="HTMLSample">
    <w:name w:val="HTML Sample"/>
    <w:basedOn w:val="DefaultParagraphFont"/>
    <w:semiHidden/>
    <w:rsid w:val="00E4290C"/>
    <w:rPr>
      <w:rFonts w:ascii="Courier New" w:hAnsi="Courier New" w:cs="Courier New"/>
      <w:lang w:val="en-GB"/>
    </w:rPr>
  </w:style>
  <w:style w:type="character" w:styleId="HTMLTypewriter">
    <w:name w:val="HTML Typewriter"/>
    <w:basedOn w:val="DefaultParagraphFont"/>
    <w:semiHidden/>
    <w:rsid w:val="00E4290C"/>
    <w:rPr>
      <w:rFonts w:ascii="Courier New" w:hAnsi="Courier New" w:cs="Courier New"/>
      <w:sz w:val="20"/>
      <w:szCs w:val="20"/>
      <w:lang w:val="en-GB"/>
    </w:rPr>
  </w:style>
  <w:style w:type="character" w:styleId="HTMLVariable">
    <w:name w:val="HTML Variable"/>
    <w:basedOn w:val="DefaultParagraphFont"/>
    <w:semiHidden/>
    <w:rsid w:val="00E4290C"/>
    <w:rPr>
      <w:i/>
      <w:iCs/>
      <w:lang w:val="en-GB"/>
    </w:rPr>
  </w:style>
  <w:style w:type="character" w:styleId="LineNumber">
    <w:name w:val="line number"/>
    <w:basedOn w:val="DefaultParagraphFont"/>
    <w:semiHidden/>
    <w:rsid w:val="00E4290C"/>
    <w:rPr>
      <w:lang w:val="en-GB"/>
    </w:rPr>
  </w:style>
  <w:style w:type="paragraph" w:styleId="List2">
    <w:name w:val="List 2"/>
    <w:basedOn w:val="List"/>
    <w:rsid w:val="00E4290C"/>
    <w:pPr>
      <w:numPr>
        <w:numId w:val="6"/>
      </w:numPr>
    </w:pPr>
  </w:style>
  <w:style w:type="paragraph" w:styleId="List3">
    <w:name w:val="List 3"/>
    <w:basedOn w:val="List2"/>
    <w:rsid w:val="00E4290C"/>
    <w:pPr>
      <w:numPr>
        <w:numId w:val="7"/>
      </w:numPr>
    </w:pPr>
  </w:style>
  <w:style w:type="paragraph" w:styleId="List4">
    <w:name w:val="List 4"/>
    <w:basedOn w:val="List3"/>
    <w:rsid w:val="00E4290C"/>
    <w:pPr>
      <w:numPr>
        <w:numId w:val="8"/>
      </w:numPr>
    </w:pPr>
    <w:rPr>
      <w:rFonts w:cs="Arial"/>
    </w:rPr>
  </w:style>
  <w:style w:type="paragraph" w:styleId="List5">
    <w:name w:val="List 5"/>
    <w:basedOn w:val="Normal"/>
    <w:semiHidden/>
    <w:rsid w:val="00E4290C"/>
    <w:pPr>
      <w:ind w:left="1415" w:hanging="283"/>
    </w:pPr>
  </w:style>
  <w:style w:type="paragraph" w:styleId="ListContinue">
    <w:name w:val="List Continue"/>
    <w:basedOn w:val="Normal"/>
    <w:semiHidden/>
    <w:rsid w:val="00E4290C"/>
    <w:pPr>
      <w:ind w:left="283"/>
    </w:pPr>
  </w:style>
  <w:style w:type="paragraph" w:styleId="ListContinue2">
    <w:name w:val="List Continue 2"/>
    <w:basedOn w:val="Normal"/>
    <w:semiHidden/>
    <w:rsid w:val="00E4290C"/>
    <w:pPr>
      <w:ind w:left="566"/>
    </w:pPr>
  </w:style>
  <w:style w:type="paragraph" w:styleId="ListContinue3">
    <w:name w:val="List Continue 3"/>
    <w:basedOn w:val="Normal"/>
    <w:semiHidden/>
    <w:rsid w:val="00E4290C"/>
    <w:pPr>
      <w:ind w:left="849"/>
    </w:pPr>
  </w:style>
  <w:style w:type="paragraph" w:styleId="ListContinue4">
    <w:name w:val="List Continue 4"/>
    <w:basedOn w:val="Normal"/>
    <w:semiHidden/>
    <w:rsid w:val="00E4290C"/>
    <w:pPr>
      <w:ind w:left="1132"/>
    </w:pPr>
  </w:style>
  <w:style w:type="paragraph" w:styleId="ListContinue5">
    <w:name w:val="List Continue 5"/>
    <w:basedOn w:val="Normal"/>
    <w:semiHidden/>
    <w:rsid w:val="00E4290C"/>
    <w:pPr>
      <w:ind w:left="1415"/>
    </w:pPr>
  </w:style>
  <w:style w:type="paragraph" w:styleId="ListNumber">
    <w:name w:val="List Number"/>
    <w:basedOn w:val="List"/>
    <w:rsid w:val="00E4290C"/>
    <w:pPr>
      <w:numPr>
        <w:numId w:val="14"/>
      </w:numPr>
      <w:spacing w:before="60"/>
    </w:pPr>
  </w:style>
  <w:style w:type="paragraph" w:styleId="ListNumber2">
    <w:name w:val="List Number 2"/>
    <w:basedOn w:val="Normal"/>
    <w:semiHidden/>
    <w:rsid w:val="00E4290C"/>
    <w:pPr>
      <w:numPr>
        <w:numId w:val="15"/>
      </w:numPr>
    </w:pPr>
  </w:style>
  <w:style w:type="paragraph" w:styleId="ListNumber3">
    <w:name w:val="List Number 3"/>
    <w:basedOn w:val="Normal"/>
    <w:semiHidden/>
    <w:rsid w:val="00E4290C"/>
    <w:pPr>
      <w:numPr>
        <w:numId w:val="16"/>
      </w:numPr>
    </w:pPr>
  </w:style>
  <w:style w:type="paragraph" w:styleId="ListNumber4">
    <w:name w:val="List Number 4"/>
    <w:basedOn w:val="Normal"/>
    <w:semiHidden/>
    <w:rsid w:val="00E4290C"/>
  </w:style>
  <w:style w:type="paragraph" w:styleId="ListNumber5">
    <w:name w:val="List Number 5"/>
    <w:basedOn w:val="Normal"/>
    <w:semiHidden/>
    <w:rsid w:val="00E4290C"/>
    <w:pPr>
      <w:numPr>
        <w:numId w:val="17"/>
      </w:numPr>
    </w:pPr>
  </w:style>
  <w:style w:type="paragraph" w:styleId="NormalWeb">
    <w:name w:val="Normal (Web)"/>
    <w:basedOn w:val="Normal"/>
    <w:semiHidden/>
    <w:rsid w:val="00E4290C"/>
  </w:style>
  <w:style w:type="paragraph" w:styleId="NormalIndent">
    <w:name w:val="Normal Indent"/>
    <w:basedOn w:val="Normal"/>
    <w:semiHidden/>
    <w:rsid w:val="00E4290C"/>
    <w:pPr>
      <w:ind w:left="720"/>
    </w:pPr>
  </w:style>
  <w:style w:type="paragraph" w:styleId="NoteHeading">
    <w:name w:val="Note Heading"/>
    <w:basedOn w:val="Normal"/>
    <w:next w:val="Normal"/>
    <w:semiHidden/>
    <w:rsid w:val="00E4290C"/>
  </w:style>
  <w:style w:type="paragraph" w:styleId="Signature">
    <w:name w:val="Signature"/>
    <w:basedOn w:val="Normal"/>
    <w:semiHidden/>
    <w:rsid w:val="00E4290C"/>
    <w:pPr>
      <w:ind w:left="4252"/>
    </w:pPr>
  </w:style>
  <w:style w:type="character" w:styleId="Strong">
    <w:name w:val="Strong"/>
    <w:basedOn w:val="DefaultParagraphFont"/>
    <w:qFormat/>
    <w:rsid w:val="00E4290C"/>
    <w:rPr>
      <w:rFonts w:ascii="Verdana" w:hAnsi="Verdana"/>
      <w:b/>
      <w:bCs/>
      <w:lang w:val="en-GB"/>
    </w:rPr>
  </w:style>
  <w:style w:type="table" w:styleId="Table3Deffects1">
    <w:name w:val="Table 3D effects 1"/>
    <w:basedOn w:val="TableNormal"/>
    <w:semiHidden/>
    <w:rsid w:val="00E4290C"/>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E4290C"/>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E4290C"/>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E4290C"/>
    <w:rPr>
      <w:rFonts w:ascii="Verdana" w:hAnsi="Verdana"/>
      <w:color w:val="6F6E6F"/>
      <w:sz w:val="18"/>
    </w:rPr>
    <w:tblPr>
      <w:tblBorders>
        <w:top w:val="single" w:sz="6" w:space="0" w:color="6F6E6F"/>
        <w:left w:val="single" w:sz="6" w:space="0" w:color="6F6E6F"/>
        <w:bottom w:val="single" w:sz="6" w:space="0" w:color="6F6E6F"/>
        <w:right w:val="single" w:sz="6" w:space="0" w:color="6F6E6F"/>
        <w:insideH w:val="single" w:sz="6" w:space="0" w:color="6F6E6F"/>
        <w:insideV w:val="single" w:sz="6" w:space="0" w:color="6F6E6F"/>
      </w:tblBorders>
      <w:tblCellMar>
        <w:left w:w="115" w:type="dxa"/>
        <w:right w:w="115"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E4290C"/>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E4290C"/>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E4290C"/>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E4290C"/>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E4290C"/>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E4290C"/>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E4290C"/>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E4290C"/>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E4290C"/>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E4290C"/>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E4290C"/>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E4290C"/>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E4290C"/>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List1">
    <w:name w:val="Table List 1"/>
    <w:basedOn w:val="TableNormal"/>
    <w:semiHidden/>
    <w:rsid w:val="00E4290C"/>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E4290C"/>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E4290C"/>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E4290C"/>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E4290C"/>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E4290C"/>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E4290C"/>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E4290C"/>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E4290C"/>
    <w:rPr>
      <w:rFonts w:ascii="Verdana" w:hAnsi="Verdana"/>
      <w:sz w:val="18"/>
    </w:rPr>
    <w:tblPr>
      <w:tblBorders>
        <w:top w:val="single" w:sz="6" w:space="0" w:color="6F6E6F"/>
        <w:bottom w:val="single" w:sz="6" w:space="0" w:color="6F6E6F"/>
        <w:insideH w:val="single" w:sz="6" w:space="0" w:color="6F6E6F"/>
        <w:insideV w:val="single" w:sz="6" w:space="0" w:color="6F6E6F"/>
      </w:tblBorders>
    </w:tblPr>
    <w:tcPr>
      <w:shd w:val="clear" w:color="auto" w:fill="FFFFFF"/>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E4290C"/>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E4290C"/>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E4290C"/>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E4290C"/>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E4290C"/>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Web1">
    <w:name w:val="Table Web 1"/>
    <w:basedOn w:val="TableNormal"/>
    <w:semiHidden/>
    <w:rsid w:val="00E4290C"/>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E4290C"/>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E4290C"/>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Subtitle"/>
    <w:link w:val="TitleChar"/>
    <w:qFormat/>
    <w:rsid w:val="00E4290C"/>
    <w:pPr>
      <w:spacing w:before="240" w:after="240" w:line="240" w:lineRule="auto"/>
      <w:ind w:right="5778"/>
    </w:pPr>
    <w:rPr>
      <w:rFonts w:cs="Arial"/>
      <w:color w:val="FFFFFF"/>
      <w:sz w:val="40"/>
      <w:szCs w:val="40"/>
    </w:rPr>
  </w:style>
  <w:style w:type="table" w:styleId="TableTheme">
    <w:name w:val="Table Theme"/>
    <w:basedOn w:val="TableNormal"/>
    <w:semiHidden/>
    <w:rsid w:val="00E429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ondlevelSubtitle">
    <w:name w:val="Second level Subtitle"/>
    <w:basedOn w:val="BodyText"/>
    <w:rsid w:val="00E4290C"/>
    <w:rPr>
      <w:rFonts w:ascii="Arial Bold" w:hAnsi="Arial Bold"/>
      <w:b/>
      <w:color w:val="FFFFFF"/>
    </w:rPr>
  </w:style>
  <w:style w:type="character" w:customStyle="1" w:styleId="SubtitleDateChar">
    <w:name w:val="Subtitle Date Char"/>
    <w:basedOn w:val="SubtitleChar"/>
    <w:link w:val="SubtitleDate"/>
    <w:rsid w:val="00E4290C"/>
    <w:rPr>
      <w:rFonts w:ascii="Georgia" w:eastAsia="MS Mincho" w:hAnsi="Georgia" w:cs="Arial"/>
      <w:b/>
      <w:i/>
      <w:color w:val="FFFFFF"/>
      <w:kern w:val="16"/>
      <w:sz w:val="28"/>
      <w:szCs w:val="28"/>
      <w:lang w:val="en-US" w:eastAsia="ja-JP" w:bidi="ar-SA"/>
    </w:rPr>
  </w:style>
  <w:style w:type="paragraph" w:customStyle="1" w:styleId="TableCharttitle">
    <w:name w:val="Table Chart title"/>
    <w:basedOn w:val="TableTitle"/>
    <w:rsid w:val="00E32DBC"/>
    <w:pPr>
      <w:spacing w:before="40"/>
      <w:jc w:val="center"/>
    </w:pPr>
  </w:style>
  <w:style w:type="character" w:customStyle="1" w:styleId="TableHeaderRowBlueChar">
    <w:name w:val="Table Header Row Blue Char"/>
    <w:basedOn w:val="TableTextCharChar"/>
    <w:link w:val="TableHeaderRowBlue"/>
    <w:rsid w:val="00E32DBC"/>
    <w:rPr>
      <w:rFonts w:ascii="Arial" w:eastAsia="MS Mincho" w:hAnsi="Arial" w:cs="Arial"/>
      <w:b/>
      <w:bCs/>
      <w:color w:val="003263"/>
      <w:kern w:val="16"/>
      <w:sz w:val="16"/>
      <w:szCs w:val="18"/>
      <w:lang w:val="en-US" w:eastAsia="ja-JP" w:bidi="ar-SA"/>
    </w:rPr>
  </w:style>
  <w:style w:type="character" w:customStyle="1" w:styleId="TableHeaderRowBrightBlueChar">
    <w:name w:val="Table Header Row Bright Blue Char"/>
    <w:basedOn w:val="TableTextCharChar"/>
    <w:link w:val="TableHeaderRowBrightBlue"/>
    <w:rsid w:val="00E32DBC"/>
    <w:rPr>
      <w:rFonts w:ascii="Arial" w:eastAsia="MS Mincho" w:hAnsi="Arial" w:cs="Arial"/>
      <w:b/>
      <w:color w:val="0060A9"/>
      <w:kern w:val="16"/>
      <w:sz w:val="16"/>
      <w:szCs w:val="18"/>
      <w:lang w:val="en-US" w:eastAsia="zh-CN" w:bidi="ar-SA"/>
    </w:rPr>
  </w:style>
  <w:style w:type="paragraph" w:customStyle="1" w:styleId="TableTextRightAlign">
    <w:name w:val="Table Text Right Align"/>
    <w:basedOn w:val="TableText"/>
    <w:rsid w:val="00E4290C"/>
    <w:pPr>
      <w:jc w:val="right"/>
    </w:pPr>
  </w:style>
  <w:style w:type="paragraph" w:customStyle="1" w:styleId="TableTitle1">
    <w:name w:val="Table Title 1"/>
    <w:basedOn w:val="TableText"/>
    <w:rsid w:val="00E4290C"/>
    <w:rPr>
      <w:b/>
      <w:color w:val="0060A9"/>
      <w:lang w:eastAsia="zh-CN"/>
    </w:rPr>
  </w:style>
  <w:style w:type="paragraph" w:customStyle="1" w:styleId="TableTitle2">
    <w:name w:val="Table Title 2"/>
    <w:basedOn w:val="TableTitle1"/>
    <w:rsid w:val="00E4290C"/>
    <w:rPr>
      <w:color w:val="FFFFFF"/>
    </w:rPr>
  </w:style>
  <w:style w:type="paragraph" w:customStyle="1" w:styleId="BioName">
    <w:name w:val="Bio Name"/>
    <w:basedOn w:val="Normal"/>
    <w:next w:val="Normal"/>
    <w:rsid w:val="00E4290C"/>
    <w:pPr>
      <w:adjustRightInd/>
      <w:spacing w:before="120" w:after="60" w:line="240" w:lineRule="auto"/>
    </w:pPr>
    <w:rPr>
      <w:b/>
      <w:color w:val="003263"/>
      <w:kern w:val="14"/>
      <w:sz w:val="16"/>
      <w:szCs w:val="16"/>
    </w:rPr>
  </w:style>
  <w:style w:type="paragraph" w:customStyle="1" w:styleId="BioTitle">
    <w:name w:val="Bio Title"/>
    <w:basedOn w:val="BioName"/>
    <w:next w:val="BodyText"/>
    <w:rsid w:val="00E4290C"/>
    <w:pPr>
      <w:spacing w:before="0" w:after="120"/>
    </w:pPr>
    <w:rPr>
      <w:rFonts w:eastAsia="Times New Roman"/>
      <w:color w:val="5A5A5A"/>
    </w:rPr>
  </w:style>
  <w:style w:type="character" w:customStyle="1" w:styleId="GraphicCharChar">
    <w:name w:val="Graphic Char Char"/>
    <w:basedOn w:val="TableTextCharChar"/>
    <w:link w:val="Graphic"/>
    <w:rsid w:val="00E4290C"/>
    <w:rPr>
      <w:rFonts w:ascii="Arial" w:eastAsia="MS Mincho" w:hAnsi="Arial"/>
      <w:kern w:val="16"/>
      <w:sz w:val="18"/>
      <w:szCs w:val="18"/>
      <w:lang w:val="en-US" w:eastAsia="ja-JP" w:bidi="ar-SA"/>
    </w:rPr>
  </w:style>
  <w:style w:type="paragraph" w:customStyle="1" w:styleId="TableBullet3">
    <w:name w:val="Table Bullet 3"/>
    <w:basedOn w:val="TableBullet2"/>
    <w:rsid w:val="00E4290C"/>
    <w:pPr>
      <w:numPr>
        <w:numId w:val="27"/>
      </w:numPr>
      <w:tabs>
        <w:tab w:val="left" w:pos="595"/>
      </w:tabs>
    </w:pPr>
  </w:style>
  <w:style w:type="paragraph" w:customStyle="1" w:styleId="TableText">
    <w:name w:val="Table Text"/>
    <w:basedOn w:val="BodyText"/>
    <w:link w:val="TableTextCharChar"/>
    <w:rsid w:val="00E4290C"/>
    <w:pPr>
      <w:spacing w:before="80" w:after="80" w:line="180" w:lineRule="atLeast"/>
    </w:pPr>
    <w:rPr>
      <w:sz w:val="18"/>
      <w:szCs w:val="18"/>
    </w:rPr>
  </w:style>
  <w:style w:type="paragraph" w:customStyle="1" w:styleId="Graphic">
    <w:name w:val="Graphic"/>
    <w:basedOn w:val="BodyText"/>
    <w:next w:val="BodyText"/>
    <w:link w:val="GraphicCharChar"/>
    <w:rsid w:val="00E4290C"/>
    <w:pPr>
      <w:spacing w:before="20" w:after="20" w:line="240" w:lineRule="auto"/>
      <w:ind w:left="-58" w:right="-58"/>
      <w:jc w:val="center"/>
    </w:pPr>
    <w:rPr>
      <w:sz w:val="18"/>
      <w:szCs w:val="18"/>
    </w:rPr>
  </w:style>
  <w:style w:type="paragraph" w:customStyle="1" w:styleId="MiniMarker">
    <w:name w:val="Mini Marker"/>
    <w:basedOn w:val="BodyText"/>
    <w:next w:val="BodyText"/>
    <w:rsid w:val="00E4290C"/>
    <w:pPr>
      <w:spacing w:before="0" w:after="0" w:line="240" w:lineRule="auto"/>
    </w:pPr>
    <w:rPr>
      <w:sz w:val="10"/>
    </w:rPr>
  </w:style>
  <w:style w:type="paragraph" w:customStyle="1" w:styleId="Headingpage2">
    <w:name w:val="Heading_page2"/>
    <w:basedOn w:val="Heading1"/>
    <w:next w:val="Normal"/>
    <w:link w:val="Headingpage2CharChar"/>
    <w:semiHidden/>
    <w:rsid w:val="00E4290C"/>
    <w:pPr>
      <w:tabs>
        <w:tab w:val="left" w:pos="216"/>
      </w:tabs>
      <w:spacing w:after="240" w:line="240" w:lineRule="atLeast"/>
      <w:ind w:left="216" w:hanging="216"/>
    </w:pPr>
    <w:rPr>
      <w:bCs/>
      <w:color w:val="6F6E6E"/>
      <w:sz w:val="16"/>
    </w:rPr>
  </w:style>
  <w:style w:type="paragraph" w:customStyle="1" w:styleId="TableFootnote">
    <w:name w:val="Table Footnote"/>
    <w:rsid w:val="00E4290C"/>
    <w:pPr>
      <w:spacing w:before="40"/>
    </w:pPr>
    <w:rPr>
      <w:rFonts w:ascii="Arial" w:eastAsia="MS Mincho" w:hAnsi="Arial"/>
      <w:kern w:val="16"/>
      <w:sz w:val="14"/>
      <w:szCs w:val="14"/>
      <w:lang w:eastAsia="zh-CN"/>
    </w:rPr>
  </w:style>
  <w:style w:type="paragraph" w:customStyle="1" w:styleId="TableSource">
    <w:name w:val="Table Source"/>
    <w:basedOn w:val="TableFootnote"/>
    <w:rsid w:val="00E4290C"/>
    <w:rPr>
      <w:i/>
    </w:rPr>
  </w:style>
  <w:style w:type="paragraph" w:customStyle="1" w:styleId="TableBulletNumeric">
    <w:name w:val="Table Bullet Numeric"/>
    <w:basedOn w:val="TableText"/>
    <w:rsid w:val="00E4290C"/>
    <w:pPr>
      <w:numPr>
        <w:numId w:val="28"/>
      </w:numPr>
      <w:spacing w:line="240" w:lineRule="auto"/>
      <w:contextualSpacing/>
    </w:pPr>
    <w:rPr>
      <w:sz w:val="16"/>
    </w:rPr>
  </w:style>
  <w:style w:type="paragraph" w:customStyle="1" w:styleId="TableBullet1">
    <w:name w:val="Table Bullet 1"/>
    <w:basedOn w:val="TableText"/>
    <w:link w:val="TableBullet1CharChar"/>
    <w:rsid w:val="00E4290C"/>
    <w:pPr>
      <w:numPr>
        <w:numId w:val="25"/>
      </w:numPr>
      <w:spacing w:line="200" w:lineRule="atLeast"/>
      <w:contextualSpacing/>
    </w:pPr>
    <w:rPr>
      <w:sz w:val="16"/>
    </w:rPr>
  </w:style>
  <w:style w:type="paragraph" w:customStyle="1" w:styleId="TableBullet2">
    <w:name w:val="Table Bullet 2"/>
    <w:basedOn w:val="TableBullet1"/>
    <w:link w:val="TableBullet2CharChar"/>
    <w:rsid w:val="00E4290C"/>
    <w:pPr>
      <w:numPr>
        <w:numId w:val="26"/>
      </w:numPr>
    </w:pPr>
    <w:rPr>
      <w:lang w:val="en-CA"/>
    </w:rPr>
  </w:style>
  <w:style w:type="paragraph" w:customStyle="1" w:styleId="SubtitleDate">
    <w:name w:val="Subtitle Date"/>
    <w:basedOn w:val="Subtitle"/>
    <w:next w:val="BodyText"/>
    <w:link w:val="SubtitleDateChar"/>
    <w:rsid w:val="00E4290C"/>
    <w:pPr>
      <w:spacing w:before="120"/>
    </w:pPr>
  </w:style>
  <w:style w:type="character" w:customStyle="1" w:styleId="Headingpage2CharChar">
    <w:name w:val="Heading_page2 Char Char"/>
    <w:basedOn w:val="DefaultParagraphFont"/>
    <w:link w:val="Headingpage2"/>
    <w:rsid w:val="00E4290C"/>
    <w:rPr>
      <w:rFonts w:ascii="Arial" w:eastAsia="MS Mincho" w:hAnsi="Arial"/>
      <w:bCs/>
      <w:color w:val="6F6E6E"/>
      <w:kern w:val="16"/>
      <w:sz w:val="16"/>
      <w:szCs w:val="32"/>
      <w:lang w:val="en-US" w:eastAsia="ja-JP" w:bidi="ar-SA"/>
    </w:rPr>
  </w:style>
  <w:style w:type="paragraph" w:styleId="TOCHeading">
    <w:name w:val="TOC Heading"/>
    <w:basedOn w:val="Heading1"/>
    <w:next w:val="BodyText"/>
    <w:qFormat/>
    <w:rsid w:val="00E4290C"/>
  </w:style>
  <w:style w:type="paragraph" w:customStyle="1" w:styleId="FooterBackcover">
    <w:name w:val="Footer Backcover"/>
    <w:basedOn w:val="Normal"/>
    <w:rsid w:val="00E4290C"/>
    <w:pPr>
      <w:spacing w:before="0" w:after="60" w:line="240" w:lineRule="auto"/>
    </w:pPr>
    <w:rPr>
      <w:rFonts w:cs="Arial"/>
      <w:color w:val="002144"/>
      <w:spacing w:val="4"/>
      <w:szCs w:val="16"/>
      <w:lang w:val="en-CA"/>
    </w:rPr>
  </w:style>
  <w:style w:type="paragraph" w:customStyle="1" w:styleId="Sub-heading">
    <w:name w:val="Sub-heading"/>
    <w:basedOn w:val="SubHeading"/>
    <w:link w:val="Sub-headingChar"/>
    <w:qFormat/>
    <w:rsid w:val="00BC14D8"/>
    <w:rPr>
      <w:lang w:val="en-CA"/>
    </w:rPr>
  </w:style>
  <w:style w:type="character" w:customStyle="1" w:styleId="Sub-headingChar">
    <w:name w:val="Sub-heading Char"/>
    <w:basedOn w:val="DefaultParagraphFont"/>
    <w:link w:val="Sub-heading"/>
    <w:rsid w:val="00BC14D8"/>
    <w:rPr>
      <w:rFonts w:ascii="Arial" w:eastAsia="MS Mincho" w:hAnsi="Arial"/>
      <w:b/>
      <w:i/>
      <w:color w:val="0060A9"/>
      <w:kern w:val="16"/>
      <w:sz w:val="24"/>
      <w:szCs w:val="24"/>
      <w:lang w:val="en-CA" w:eastAsia="ja-JP"/>
    </w:rPr>
  </w:style>
  <w:style w:type="paragraph" w:styleId="ListParagraph">
    <w:name w:val="List Paragraph"/>
    <w:basedOn w:val="Normal"/>
    <w:uiPriority w:val="34"/>
    <w:qFormat/>
    <w:rsid w:val="006941C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041350">
      <w:bodyDiv w:val="1"/>
      <w:marLeft w:val="0"/>
      <w:marRight w:val="0"/>
      <w:marTop w:val="0"/>
      <w:marBottom w:val="0"/>
      <w:divBdr>
        <w:top w:val="none" w:sz="0" w:space="0" w:color="auto"/>
        <w:left w:val="none" w:sz="0" w:space="0" w:color="auto"/>
        <w:bottom w:val="none" w:sz="0" w:space="0" w:color="auto"/>
        <w:right w:val="none" w:sz="0" w:space="0" w:color="auto"/>
      </w:divBdr>
    </w:div>
    <w:div w:id="250508782">
      <w:bodyDiv w:val="1"/>
      <w:marLeft w:val="0"/>
      <w:marRight w:val="0"/>
      <w:marTop w:val="0"/>
      <w:marBottom w:val="0"/>
      <w:divBdr>
        <w:top w:val="none" w:sz="0" w:space="0" w:color="auto"/>
        <w:left w:val="none" w:sz="0" w:space="0" w:color="auto"/>
        <w:bottom w:val="none" w:sz="0" w:space="0" w:color="auto"/>
        <w:right w:val="none" w:sz="0" w:space="0" w:color="auto"/>
      </w:divBdr>
    </w:div>
    <w:div w:id="419108262">
      <w:bodyDiv w:val="1"/>
      <w:marLeft w:val="0"/>
      <w:marRight w:val="0"/>
      <w:marTop w:val="0"/>
      <w:marBottom w:val="0"/>
      <w:divBdr>
        <w:top w:val="none" w:sz="0" w:space="0" w:color="auto"/>
        <w:left w:val="none" w:sz="0" w:space="0" w:color="auto"/>
        <w:bottom w:val="none" w:sz="0" w:space="0" w:color="auto"/>
        <w:right w:val="none" w:sz="0" w:space="0" w:color="auto"/>
      </w:divBdr>
      <w:divsChild>
        <w:div w:id="1908610550">
          <w:marLeft w:val="0"/>
          <w:marRight w:val="0"/>
          <w:marTop w:val="0"/>
          <w:marBottom w:val="0"/>
          <w:divBdr>
            <w:top w:val="none" w:sz="0" w:space="0" w:color="auto"/>
            <w:left w:val="none" w:sz="0" w:space="0" w:color="auto"/>
            <w:bottom w:val="none" w:sz="0" w:space="0" w:color="auto"/>
            <w:right w:val="none" w:sz="0" w:space="0" w:color="auto"/>
          </w:divBdr>
          <w:divsChild>
            <w:div w:id="43568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96913">
      <w:bodyDiv w:val="1"/>
      <w:marLeft w:val="0"/>
      <w:marRight w:val="0"/>
      <w:marTop w:val="0"/>
      <w:marBottom w:val="0"/>
      <w:divBdr>
        <w:top w:val="none" w:sz="0" w:space="0" w:color="auto"/>
        <w:left w:val="none" w:sz="0" w:space="0" w:color="auto"/>
        <w:bottom w:val="none" w:sz="0" w:space="0" w:color="auto"/>
        <w:right w:val="none" w:sz="0" w:space="0" w:color="auto"/>
      </w:divBdr>
      <w:divsChild>
        <w:div w:id="1492678865">
          <w:marLeft w:val="0"/>
          <w:marRight w:val="0"/>
          <w:marTop w:val="0"/>
          <w:marBottom w:val="0"/>
          <w:divBdr>
            <w:top w:val="none" w:sz="0" w:space="0" w:color="auto"/>
            <w:left w:val="none" w:sz="0" w:space="0" w:color="auto"/>
            <w:bottom w:val="none" w:sz="0" w:space="0" w:color="auto"/>
            <w:right w:val="none" w:sz="0" w:space="0" w:color="auto"/>
          </w:divBdr>
        </w:div>
      </w:divsChild>
    </w:div>
    <w:div w:id="473179177">
      <w:bodyDiv w:val="1"/>
      <w:marLeft w:val="0"/>
      <w:marRight w:val="0"/>
      <w:marTop w:val="0"/>
      <w:marBottom w:val="0"/>
      <w:divBdr>
        <w:top w:val="none" w:sz="0" w:space="0" w:color="auto"/>
        <w:left w:val="none" w:sz="0" w:space="0" w:color="auto"/>
        <w:bottom w:val="none" w:sz="0" w:space="0" w:color="auto"/>
        <w:right w:val="none" w:sz="0" w:space="0" w:color="auto"/>
      </w:divBdr>
      <w:divsChild>
        <w:div w:id="2101171430">
          <w:marLeft w:val="0"/>
          <w:marRight w:val="0"/>
          <w:marTop w:val="0"/>
          <w:marBottom w:val="0"/>
          <w:divBdr>
            <w:top w:val="none" w:sz="0" w:space="0" w:color="auto"/>
            <w:left w:val="none" w:sz="0" w:space="0" w:color="auto"/>
            <w:bottom w:val="none" w:sz="0" w:space="0" w:color="auto"/>
            <w:right w:val="none" w:sz="0" w:space="0" w:color="auto"/>
          </w:divBdr>
        </w:div>
      </w:divsChild>
    </w:div>
    <w:div w:id="532115178">
      <w:bodyDiv w:val="1"/>
      <w:marLeft w:val="0"/>
      <w:marRight w:val="0"/>
      <w:marTop w:val="0"/>
      <w:marBottom w:val="0"/>
      <w:divBdr>
        <w:top w:val="none" w:sz="0" w:space="0" w:color="auto"/>
        <w:left w:val="none" w:sz="0" w:space="0" w:color="auto"/>
        <w:bottom w:val="none" w:sz="0" w:space="0" w:color="auto"/>
        <w:right w:val="none" w:sz="0" w:space="0" w:color="auto"/>
      </w:divBdr>
    </w:div>
    <w:div w:id="557667598">
      <w:bodyDiv w:val="1"/>
      <w:marLeft w:val="0"/>
      <w:marRight w:val="0"/>
      <w:marTop w:val="0"/>
      <w:marBottom w:val="0"/>
      <w:divBdr>
        <w:top w:val="none" w:sz="0" w:space="0" w:color="auto"/>
        <w:left w:val="none" w:sz="0" w:space="0" w:color="auto"/>
        <w:bottom w:val="none" w:sz="0" w:space="0" w:color="auto"/>
        <w:right w:val="none" w:sz="0" w:space="0" w:color="auto"/>
      </w:divBdr>
      <w:divsChild>
        <w:div w:id="431826404">
          <w:marLeft w:val="0"/>
          <w:marRight w:val="0"/>
          <w:marTop w:val="0"/>
          <w:marBottom w:val="0"/>
          <w:divBdr>
            <w:top w:val="none" w:sz="0" w:space="0" w:color="auto"/>
            <w:left w:val="none" w:sz="0" w:space="0" w:color="auto"/>
            <w:bottom w:val="none" w:sz="0" w:space="0" w:color="auto"/>
            <w:right w:val="none" w:sz="0" w:space="0" w:color="auto"/>
          </w:divBdr>
          <w:divsChild>
            <w:div w:id="49468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9423">
      <w:bodyDiv w:val="1"/>
      <w:marLeft w:val="0"/>
      <w:marRight w:val="0"/>
      <w:marTop w:val="0"/>
      <w:marBottom w:val="0"/>
      <w:divBdr>
        <w:top w:val="none" w:sz="0" w:space="0" w:color="auto"/>
        <w:left w:val="none" w:sz="0" w:space="0" w:color="auto"/>
        <w:bottom w:val="none" w:sz="0" w:space="0" w:color="auto"/>
        <w:right w:val="none" w:sz="0" w:space="0" w:color="auto"/>
      </w:divBdr>
    </w:div>
    <w:div w:id="608969601">
      <w:bodyDiv w:val="1"/>
      <w:marLeft w:val="0"/>
      <w:marRight w:val="0"/>
      <w:marTop w:val="0"/>
      <w:marBottom w:val="0"/>
      <w:divBdr>
        <w:top w:val="none" w:sz="0" w:space="0" w:color="auto"/>
        <w:left w:val="none" w:sz="0" w:space="0" w:color="auto"/>
        <w:bottom w:val="none" w:sz="0" w:space="0" w:color="auto"/>
        <w:right w:val="none" w:sz="0" w:space="0" w:color="auto"/>
      </w:divBdr>
      <w:divsChild>
        <w:div w:id="2128503102">
          <w:marLeft w:val="0"/>
          <w:marRight w:val="0"/>
          <w:marTop w:val="0"/>
          <w:marBottom w:val="0"/>
          <w:divBdr>
            <w:top w:val="none" w:sz="0" w:space="0" w:color="auto"/>
            <w:left w:val="none" w:sz="0" w:space="0" w:color="auto"/>
            <w:bottom w:val="none" w:sz="0" w:space="0" w:color="auto"/>
            <w:right w:val="none" w:sz="0" w:space="0" w:color="auto"/>
          </w:divBdr>
          <w:divsChild>
            <w:div w:id="141099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79747">
      <w:bodyDiv w:val="1"/>
      <w:marLeft w:val="0"/>
      <w:marRight w:val="0"/>
      <w:marTop w:val="100"/>
      <w:marBottom w:val="100"/>
      <w:divBdr>
        <w:top w:val="none" w:sz="0" w:space="0" w:color="auto"/>
        <w:left w:val="none" w:sz="0" w:space="0" w:color="auto"/>
        <w:bottom w:val="none" w:sz="0" w:space="0" w:color="auto"/>
        <w:right w:val="none" w:sz="0" w:space="0" w:color="auto"/>
      </w:divBdr>
      <w:divsChild>
        <w:div w:id="759569598">
          <w:marLeft w:val="0"/>
          <w:marRight w:val="0"/>
          <w:marTop w:val="100"/>
          <w:marBottom w:val="100"/>
          <w:divBdr>
            <w:top w:val="none" w:sz="0" w:space="0" w:color="auto"/>
            <w:left w:val="none" w:sz="0" w:space="0" w:color="auto"/>
            <w:bottom w:val="none" w:sz="0" w:space="0" w:color="auto"/>
            <w:right w:val="none" w:sz="0" w:space="0" w:color="auto"/>
          </w:divBdr>
          <w:divsChild>
            <w:div w:id="410006576">
              <w:marLeft w:val="0"/>
              <w:marRight w:val="0"/>
              <w:marTop w:val="100"/>
              <w:marBottom w:val="100"/>
              <w:divBdr>
                <w:top w:val="none" w:sz="0" w:space="0" w:color="auto"/>
                <w:left w:val="none" w:sz="0" w:space="0" w:color="auto"/>
                <w:bottom w:val="none" w:sz="0" w:space="0" w:color="auto"/>
                <w:right w:val="none" w:sz="0" w:space="0" w:color="auto"/>
              </w:divBdr>
              <w:divsChild>
                <w:div w:id="1976328166">
                  <w:marLeft w:val="635"/>
                  <w:marRight w:val="0"/>
                  <w:marTop w:val="311"/>
                  <w:marBottom w:val="0"/>
                  <w:divBdr>
                    <w:top w:val="none" w:sz="0" w:space="0" w:color="auto"/>
                    <w:left w:val="none" w:sz="0" w:space="0" w:color="auto"/>
                    <w:bottom w:val="none" w:sz="0" w:space="0" w:color="auto"/>
                    <w:right w:val="none" w:sz="0" w:space="0" w:color="auto"/>
                  </w:divBdr>
                </w:div>
              </w:divsChild>
            </w:div>
          </w:divsChild>
        </w:div>
      </w:divsChild>
    </w:div>
    <w:div w:id="866721202">
      <w:bodyDiv w:val="1"/>
      <w:marLeft w:val="0"/>
      <w:marRight w:val="0"/>
      <w:marTop w:val="0"/>
      <w:marBottom w:val="0"/>
      <w:divBdr>
        <w:top w:val="none" w:sz="0" w:space="0" w:color="auto"/>
        <w:left w:val="none" w:sz="0" w:space="0" w:color="auto"/>
        <w:bottom w:val="none" w:sz="0" w:space="0" w:color="auto"/>
        <w:right w:val="none" w:sz="0" w:space="0" w:color="auto"/>
      </w:divBdr>
    </w:div>
    <w:div w:id="917983250">
      <w:bodyDiv w:val="1"/>
      <w:marLeft w:val="0"/>
      <w:marRight w:val="0"/>
      <w:marTop w:val="0"/>
      <w:marBottom w:val="0"/>
      <w:divBdr>
        <w:top w:val="none" w:sz="0" w:space="0" w:color="auto"/>
        <w:left w:val="none" w:sz="0" w:space="0" w:color="auto"/>
        <w:bottom w:val="none" w:sz="0" w:space="0" w:color="auto"/>
        <w:right w:val="none" w:sz="0" w:space="0" w:color="auto"/>
      </w:divBdr>
      <w:divsChild>
        <w:div w:id="1799034166">
          <w:marLeft w:val="0"/>
          <w:marRight w:val="0"/>
          <w:marTop w:val="0"/>
          <w:marBottom w:val="0"/>
          <w:divBdr>
            <w:top w:val="none" w:sz="0" w:space="0" w:color="auto"/>
            <w:left w:val="none" w:sz="0" w:space="0" w:color="auto"/>
            <w:bottom w:val="none" w:sz="0" w:space="0" w:color="auto"/>
            <w:right w:val="none" w:sz="0" w:space="0" w:color="auto"/>
          </w:divBdr>
        </w:div>
      </w:divsChild>
    </w:div>
    <w:div w:id="995374417">
      <w:bodyDiv w:val="1"/>
      <w:marLeft w:val="0"/>
      <w:marRight w:val="0"/>
      <w:marTop w:val="0"/>
      <w:marBottom w:val="0"/>
      <w:divBdr>
        <w:top w:val="none" w:sz="0" w:space="0" w:color="auto"/>
        <w:left w:val="none" w:sz="0" w:space="0" w:color="auto"/>
        <w:bottom w:val="none" w:sz="0" w:space="0" w:color="auto"/>
        <w:right w:val="none" w:sz="0" w:space="0" w:color="auto"/>
      </w:divBdr>
      <w:divsChild>
        <w:div w:id="477695605">
          <w:marLeft w:val="0"/>
          <w:marRight w:val="0"/>
          <w:marTop w:val="0"/>
          <w:marBottom w:val="0"/>
          <w:divBdr>
            <w:top w:val="none" w:sz="0" w:space="0" w:color="auto"/>
            <w:left w:val="none" w:sz="0" w:space="0" w:color="auto"/>
            <w:bottom w:val="none" w:sz="0" w:space="0" w:color="auto"/>
            <w:right w:val="none" w:sz="0" w:space="0" w:color="auto"/>
          </w:divBdr>
          <w:divsChild>
            <w:div w:id="824978076">
              <w:marLeft w:val="0"/>
              <w:marRight w:val="0"/>
              <w:marTop w:val="0"/>
              <w:marBottom w:val="0"/>
              <w:divBdr>
                <w:top w:val="none" w:sz="0" w:space="0" w:color="auto"/>
                <w:left w:val="none" w:sz="0" w:space="0" w:color="auto"/>
                <w:bottom w:val="none" w:sz="0" w:space="0" w:color="auto"/>
                <w:right w:val="none" w:sz="0" w:space="0" w:color="auto"/>
              </w:divBdr>
            </w:div>
            <w:div w:id="90711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945331">
      <w:bodyDiv w:val="1"/>
      <w:marLeft w:val="0"/>
      <w:marRight w:val="0"/>
      <w:marTop w:val="0"/>
      <w:marBottom w:val="0"/>
      <w:divBdr>
        <w:top w:val="none" w:sz="0" w:space="0" w:color="auto"/>
        <w:left w:val="none" w:sz="0" w:space="0" w:color="auto"/>
        <w:bottom w:val="none" w:sz="0" w:space="0" w:color="auto"/>
        <w:right w:val="none" w:sz="0" w:space="0" w:color="auto"/>
      </w:divBdr>
      <w:divsChild>
        <w:div w:id="434524781">
          <w:marLeft w:val="0"/>
          <w:marRight w:val="0"/>
          <w:marTop w:val="0"/>
          <w:marBottom w:val="0"/>
          <w:divBdr>
            <w:top w:val="none" w:sz="0" w:space="0" w:color="auto"/>
            <w:left w:val="none" w:sz="0" w:space="0" w:color="auto"/>
            <w:bottom w:val="none" w:sz="0" w:space="0" w:color="auto"/>
            <w:right w:val="none" w:sz="0" w:space="0" w:color="auto"/>
          </w:divBdr>
          <w:divsChild>
            <w:div w:id="597058011">
              <w:marLeft w:val="0"/>
              <w:marRight w:val="0"/>
              <w:marTop w:val="0"/>
              <w:marBottom w:val="0"/>
              <w:divBdr>
                <w:top w:val="none" w:sz="0" w:space="0" w:color="auto"/>
                <w:left w:val="none" w:sz="0" w:space="0" w:color="auto"/>
                <w:bottom w:val="none" w:sz="0" w:space="0" w:color="auto"/>
                <w:right w:val="none" w:sz="0" w:space="0" w:color="auto"/>
              </w:divBdr>
            </w:div>
            <w:div w:id="939728170">
              <w:marLeft w:val="0"/>
              <w:marRight w:val="0"/>
              <w:marTop w:val="0"/>
              <w:marBottom w:val="0"/>
              <w:divBdr>
                <w:top w:val="none" w:sz="0" w:space="0" w:color="auto"/>
                <w:left w:val="none" w:sz="0" w:space="0" w:color="auto"/>
                <w:bottom w:val="none" w:sz="0" w:space="0" w:color="auto"/>
                <w:right w:val="none" w:sz="0" w:space="0" w:color="auto"/>
              </w:divBdr>
            </w:div>
            <w:div w:id="1556968030">
              <w:marLeft w:val="0"/>
              <w:marRight w:val="0"/>
              <w:marTop w:val="0"/>
              <w:marBottom w:val="0"/>
              <w:divBdr>
                <w:top w:val="none" w:sz="0" w:space="0" w:color="auto"/>
                <w:left w:val="none" w:sz="0" w:space="0" w:color="auto"/>
                <w:bottom w:val="none" w:sz="0" w:space="0" w:color="auto"/>
                <w:right w:val="none" w:sz="0" w:space="0" w:color="auto"/>
              </w:divBdr>
            </w:div>
            <w:div w:id="209357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772897">
      <w:bodyDiv w:val="1"/>
      <w:marLeft w:val="0"/>
      <w:marRight w:val="0"/>
      <w:marTop w:val="0"/>
      <w:marBottom w:val="0"/>
      <w:divBdr>
        <w:top w:val="none" w:sz="0" w:space="0" w:color="auto"/>
        <w:left w:val="none" w:sz="0" w:space="0" w:color="auto"/>
        <w:bottom w:val="none" w:sz="0" w:space="0" w:color="auto"/>
        <w:right w:val="none" w:sz="0" w:space="0" w:color="auto"/>
      </w:divBdr>
      <w:divsChild>
        <w:div w:id="689648905">
          <w:marLeft w:val="0"/>
          <w:marRight w:val="0"/>
          <w:marTop w:val="0"/>
          <w:marBottom w:val="0"/>
          <w:divBdr>
            <w:top w:val="none" w:sz="0" w:space="0" w:color="auto"/>
            <w:left w:val="none" w:sz="0" w:space="0" w:color="auto"/>
            <w:bottom w:val="none" w:sz="0" w:space="0" w:color="auto"/>
            <w:right w:val="none" w:sz="0" w:space="0" w:color="auto"/>
          </w:divBdr>
        </w:div>
      </w:divsChild>
    </w:div>
    <w:div w:id="1113355612">
      <w:bodyDiv w:val="1"/>
      <w:marLeft w:val="0"/>
      <w:marRight w:val="0"/>
      <w:marTop w:val="0"/>
      <w:marBottom w:val="0"/>
      <w:divBdr>
        <w:top w:val="none" w:sz="0" w:space="0" w:color="auto"/>
        <w:left w:val="none" w:sz="0" w:space="0" w:color="auto"/>
        <w:bottom w:val="none" w:sz="0" w:space="0" w:color="auto"/>
        <w:right w:val="none" w:sz="0" w:space="0" w:color="auto"/>
      </w:divBdr>
    </w:div>
    <w:div w:id="1135752704">
      <w:bodyDiv w:val="1"/>
      <w:marLeft w:val="0"/>
      <w:marRight w:val="0"/>
      <w:marTop w:val="0"/>
      <w:marBottom w:val="0"/>
      <w:divBdr>
        <w:top w:val="none" w:sz="0" w:space="0" w:color="auto"/>
        <w:left w:val="none" w:sz="0" w:space="0" w:color="auto"/>
        <w:bottom w:val="none" w:sz="0" w:space="0" w:color="auto"/>
        <w:right w:val="none" w:sz="0" w:space="0" w:color="auto"/>
      </w:divBdr>
      <w:divsChild>
        <w:div w:id="1218709456">
          <w:marLeft w:val="0"/>
          <w:marRight w:val="0"/>
          <w:marTop w:val="0"/>
          <w:marBottom w:val="0"/>
          <w:divBdr>
            <w:top w:val="none" w:sz="0" w:space="0" w:color="auto"/>
            <w:left w:val="none" w:sz="0" w:space="0" w:color="auto"/>
            <w:bottom w:val="none" w:sz="0" w:space="0" w:color="auto"/>
            <w:right w:val="none" w:sz="0" w:space="0" w:color="auto"/>
          </w:divBdr>
          <w:divsChild>
            <w:div w:id="17503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060639">
      <w:bodyDiv w:val="1"/>
      <w:marLeft w:val="0"/>
      <w:marRight w:val="0"/>
      <w:marTop w:val="0"/>
      <w:marBottom w:val="0"/>
      <w:divBdr>
        <w:top w:val="none" w:sz="0" w:space="0" w:color="auto"/>
        <w:left w:val="none" w:sz="0" w:space="0" w:color="auto"/>
        <w:bottom w:val="none" w:sz="0" w:space="0" w:color="auto"/>
        <w:right w:val="none" w:sz="0" w:space="0" w:color="auto"/>
      </w:divBdr>
      <w:divsChild>
        <w:div w:id="1110130324">
          <w:marLeft w:val="0"/>
          <w:marRight w:val="0"/>
          <w:marTop w:val="0"/>
          <w:marBottom w:val="0"/>
          <w:divBdr>
            <w:top w:val="none" w:sz="0" w:space="0" w:color="auto"/>
            <w:left w:val="none" w:sz="0" w:space="0" w:color="auto"/>
            <w:bottom w:val="none" w:sz="0" w:space="0" w:color="auto"/>
            <w:right w:val="none" w:sz="0" w:space="0" w:color="auto"/>
          </w:divBdr>
          <w:divsChild>
            <w:div w:id="12521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044934">
      <w:bodyDiv w:val="1"/>
      <w:marLeft w:val="0"/>
      <w:marRight w:val="0"/>
      <w:marTop w:val="0"/>
      <w:marBottom w:val="0"/>
      <w:divBdr>
        <w:top w:val="none" w:sz="0" w:space="0" w:color="auto"/>
        <w:left w:val="none" w:sz="0" w:space="0" w:color="auto"/>
        <w:bottom w:val="none" w:sz="0" w:space="0" w:color="auto"/>
        <w:right w:val="none" w:sz="0" w:space="0" w:color="auto"/>
      </w:divBdr>
      <w:divsChild>
        <w:div w:id="127478066">
          <w:marLeft w:val="0"/>
          <w:marRight w:val="0"/>
          <w:marTop w:val="0"/>
          <w:marBottom w:val="0"/>
          <w:divBdr>
            <w:top w:val="none" w:sz="0" w:space="0" w:color="auto"/>
            <w:left w:val="none" w:sz="0" w:space="0" w:color="auto"/>
            <w:bottom w:val="none" w:sz="0" w:space="0" w:color="auto"/>
            <w:right w:val="none" w:sz="0" w:space="0" w:color="auto"/>
          </w:divBdr>
        </w:div>
      </w:divsChild>
    </w:div>
    <w:div w:id="1497306478">
      <w:bodyDiv w:val="1"/>
      <w:marLeft w:val="0"/>
      <w:marRight w:val="0"/>
      <w:marTop w:val="0"/>
      <w:marBottom w:val="0"/>
      <w:divBdr>
        <w:top w:val="none" w:sz="0" w:space="0" w:color="auto"/>
        <w:left w:val="none" w:sz="0" w:space="0" w:color="auto"/>
        <w:bottom w:val="none" w:sz="0" w:space="0" w:color="auto"/>
        <w:right w:val="none" w:sz="0" w:space="0" w:color="auto"/>
      </w:divBdr>
      <w:divsChild>
        <w:div w:id="1600328631">
          <w:marLeft w:val="0"/>
          <w:marRight w:val="0"/>
          <w:marTop w:val="0"/>
          <w:marBottom w:val="0"/>
          <w:divBdr>
            <w:top w:val="none" w:sz="0" w:space="0" w:color="auto"/>
            <w:left w:val="none" w:sz="0" w:space="0" w:color="auto"/>
            <w:bottom w:val="none" w:sz="0" w:space="0" w:color="auto"/>
            <w:right w:val="none" w:sz="0" w:space="0" w:color="auto"/>
          </w:divBdr>
          <w:divsChild>
            <w:div w:id="181434422">
              <w:marLeft w:val="0"/>
              <w:marRight w:val="0"/>
              <w:marTop w:val="74"/>
              <w:marBottom w:val="0"/>
              <w:divBdr>
                <w:top w:val="single" w:sz="4" w:space="4" w:color="666666"/>
                <w:left w:val="none" w:sz="0" w:space="0" w:color="auto"/>
                <w:bottom w:val="none" w:sz="0" w:space="0" w:color="auto"/>
                <w:right w:val="none" w:sz="0" w:space="0" w:color="auto"/>
              </w:divBdr>
            </w:div>
          </w:divsChild>
        </w:div>
      </w:divsChild>
    </w:div>
    <w:div w:id="1567449875">
      <w:bodyDiv w:val="1"/>
      <w:marLeft w:val="0"/>
      <w:marRight w:val="0"/>
      <w:marTop w:val="0"/>
      <w:marBottom w:val="0"/>
      <w:divBdr>
        <w:top w:val="none" w:sz="0" w:space="0" w:color="auto"/>
        <w:left w:val="none" w:sz="0" w:space="0" w:color="auto"/>
        <w:bottom w:val="none" w:sz="0" w:space="0" w:color="auto"/>
        <w:right w:val="none" w:sz="0" w:space="0" w:color="auto"/>
      </w:divBdr>
      <w:divsChild>
        <w:div w:id="24059681">
          <w:marLeft w:val="0"/>
          <w:marRight w:val="0"/>
          <w:marTop w:val="0"/>
          <w:marBottom w:val="0"/>
          <w:divBdr>
            <w:top w:val="none" w:sz="0" w:space="0" w:color="auto"/>
            <w:left w:val="none" w:sz="0" w:space="0" w:color="auto"/>
            <w:bottom w:val="none" w:sz="0" w:space="0" w:color="auto"/>
            <w:right w:val="none" w:sz="0" w:space="0" w:color="auto"/>
          </w:divBdr>
        </w:div>
        <w:div w:id="362680426">
          <w:marLeft w:val="0"/>
          <w:marRight w:val="0"/>
          <w:marTop w:val="0"/>
          <w:marBottom w:val="0"/>
          <w:divBdr>
            <w:top w:val="none" w:sz="0" w:space="0" w:color="auto"/>
            <w:left w:val="none" w:sz="0" w:space="0" w:color="auto"/>
            <w:bottom w:val="none" w:sz="0" w:space="0" w:color="auto"/>
            <w:right w:val="none" w:sz="0" w:space="0" w:color="auto"/>
          </w:divBdr>
        </w:div>
        <w:div w:id="669286088">
          <w:marLeft w:val="0"/>
          <w:marRight w:val="0"/>
          <w:marTop w:val="0"/>
          <w:marBottom w:val="0"/>
          <w:divBdr>
            <w:top w:val="none" w:sz="0" w:space="0" w:color="auto"/>
            <w:left w:val="none" w:sz="0" w:space="0" w:color="auto"/>
            <w:bottom w:val="none" w:sz="0" w:space="0" w:color="auto"/>
            <w:right w:val="none" w:sz="0" w:space="0" w:color="auto"/>
          </w:divBdr>
        </w:div>
        <w:div w:id="783769970">
          <w:marLeft w:val="0"/>
          <w:marRight w:val="0"/>
          <w:marTop w:val="0"/>
          <w:marBottom w:val="0"/>
          <w:divBdr>
            <w:top w:val="none" w:sz="0" w:space="0" w:color="auto"/>
            <w:left w:val="none" w:sz="0" w:space="0" w:color="auto"/>
            <w:bottom w:val="none" w:sz="0" w:space="0" w:color="auto"/>
            <w:right w:val="none" w:sz="0" w:space="0" w:color="auto"/>
          </w:divBdr>
        </w:div>
        <w:div w:id="1308901566">
          <w:marLeft w:val="0"/>
          <w:marRight w:val="0"/>
          <w:marTop w:val="0"/>
          <w:marBottom w:val="0"/>
          <w:divBdr>
            <w:top w:val="none" w:sz="0" w:space="0" w:color="auto"/>
            <w:left w:val="none" w:sz="0" w:space="0" w:color="auto"/>
            <w:bottom w:val="none" w:sz="0" w:space="0" w:color="auto"/>
            <w:right w:val="none" w:sz="0" w:space="0" w:color="auto"/>
          </w:divBdr>
        </w:div>
        <w:div w:id="1362585728">
          <w:marLeft w:val="0"/>
          <w:marRight w:val="0"/>
          <w:marTop w:val="0"/>
          <w:marBottom w:val="0"/>
          <w:divBdr>
            <w:top w:val="none" w:sz="0" w:space="0" w:color="auto"/>
            <w:left w:val="none" w:sz="0" w:space="0" w:color="auto"/>
            <w:bottom w:val="none" w:sz="0" w:space="0" w:color="auto"/>
            <w:right w:val="none" w:sz="0" w:space="0" w:color="auto"/>
          </w:divBdr>
        </w:div>
        <w:div w:id="1398363345">
          <w:marLeft w:val="0"/>
          <w:marRight w:val="0"/>
          <w:marTop w:val="0"/>
          <w:marBottom w:val="0"/>
          <w:divBdr>
            <w:top w:val="none" w:sz="0" w:space="0" w:color="auto"/>
            <w:left w:val="none" w:sz="0" w:space="0" w:color="auto"/>
            <w:bottom w:val="none" w:sz="0" w:space="0" w:color="auto"/>
            <w:right w:val="none" w:sz="0" w:space="0" w:color="auto"/>
          </w:divBdr>
        </w:div>
        <w:div w:id="1751657061">
          <w:marLeft w:val="0"/>
          <w:marRight w:val="0"/>
          <w:marTop w:val="0"/>
          <w:marBottom w:val="0"/>
          <w:divBdr>
            <w:top w:val="none" w:sz="0" w:space="0" w:color="auto"/>
            <w:left w:val="none" w:sz="0" w:space="0" w:color="auto"/>
            <w:bottom w:val="none" w:sz="0" w:space="0" w:color="auto"/>
            <w:right w:val="none" w:sz="0" w:space="0" w:color="auto"/>
          </w:divBdr>
        </w:div>
        <w:div w:id="1759254752">
          <w:marLeft w:val="0"/>
          <w:marRight w:val="0"/>
          <w:marTop w:val="0"/>
          <w:marBottom w:val="0"/>
          <w:divBdr>
            <w:top w:val="none" w:sz="0" w:space="0" w:color="auto"/>
            <w:left w:val="none" w:sz="0" w:space="0" w:color="auto"/>
            <w:bottom w:val="none" w:sz="0" w:space="0" w:color="auto"/>
            <w:right w:val="none" w:sz="0" w:space="0" w:color="auto"/>
          </w:divBdr>
        </w:div>
        <w:div w:id="1797790076">
          <w:marLeft w:val="0"/>
          <w:marRight w:val="0"/>
          <w:marTop w:val="0"/>
          <w:marBottom w:val="0"/>
          <w:divBdr>
            <w:top w:val="none" w:sz="0" w:space="0" w:color="auto"/>
            <w:left w:val="none" w:sz="0" w:space="0" w:color="auto"/>
            <w:bottom w:val="none" w:sz="0" w:space="0" w:color="auto"/>
            <w:right w:val="none" w:sz="0" w:space="0" w:color="auto"/>
          </w:divBdr>
        </w:div>
        <w:div w:id="2082293364">
          <w:marLeft w:val="0"/>
          <w:marRight w:val="0"/>
          <w:marTop w:val="0"/>
          <w:marBottom w:val="0"/>
          <w:divBdr>
            <w:top w:val="none" w:sz="0" w:space="0" w:color="auto"/>
            <w:left w:val="none" w:sz="0" w:space="0" w:color="auto"/>
            <w:bottom w:val="none" w:sz="0" w:space="0" w:color="auto"/>
            <w:right w:val="none" w:sz="0" w:space="0" w:color="auto"/>
          </w:divBdr>
        </w:div>
        <w:div w:id="2126189436">
          <w:marLeft w:val="0"/>
          <w:marRight w:val="0"/>
          <w:marTop w:val="0"/>
          <w:marBottom w:val="0"/>
          <w:divBdr>
            <w:top w:val="none" w:sz="0" w:space="0" w:color="auto"/>
            <w:left w:val="none" w:sz="0" w:space="0" w:color="auto"/>
            <w:bottom w:val="none" w:sz="0" w:space="0" w:color="auto"/>
            <w:right w:val="none" w:sz="0" w:space="0" w:color="auto"/>
          </w:divBdr>
        </w:div>
      </w:divsChild>
    </w:div>
    <w:div w:id="1594778829">
      <w:bodyDiv w:val="1"/>
      <w:marLeft w:val="0"/>
      <w:marRight w:val="0"/>
      <w:marTop w:val="0"/>
      <w:marBottom w:val="0"/>
      <w:divBdr>
        <w:top w:val="none" w:sz="0" w:space="0" w:color="auto"/>
        <w:left w:val="none" w:sz="0" w:space="0" w:color="auto"/>
        <w:bottom w:val="none" w:sz="0" w:space="0" w:color="auto"/>
        <w:right w:val="none" w:sz="0" w:space="0" w:color="auto"/>
      </w:divBdr>
    </w:div>
    <w:div w:id="1598517815">
      <w:bodyDiv w:val="1"/>
      <w:marLeft w:val="0"/>
      <w:marRight w:val="0"/>
      <w:marTop w:val="0"/>
      <w:marBottom w:val="0"/>
      <w:divBdr>
        <w:top w:val="none" w:sz="0" w:space="0" w:color="auto"/>
        <w:left w:val="none" w:sz="0" w:space="0" w:color="auto"/>
        <w:bottom w:val="none" w:sz="0" w:space="0" w:color="auto"/>
        <w:right w:val="none" w:sz="0" w:space="0" w:color="auto"/>
      </w:divBdr>
      <w:divsChild>
        <w:div w:id="144275757">
          <w:marLeft w:val="0"/>
          <w:marRight w:val="0"/>
          <w:marTop w:val="0"/>
          <w:marBottom w:val="0"/>
          <w:divBdr>
            <w:top w:val="none" w:sz="0" w:space="0" w:color="auto"/>
            <w:left w:val="none" w:sz="0" w:space="0" w:color="auto"/>
            <w:bottom w:val="none" w:sz="0" w:space="0" w:color="auto"/>
            <w:right w:val="none" w:sz="0" w:space="0" w:color="auto"/>
          </w:divBdr>
        </w:div>
        <w:div w:id="362245376">
          <w:marLeft w:val="0"/>
          <w:marRight w:val="0"/>
          <w:marTop w:val="0"/>
          <w:marBottom w:val="0"/>
          <w:divBdr>
            <w:top w:val="none" w:sz="0" w:space="0" w:color="auto"/>
            <w:left w:val="none" w:sz="0" w:space="0" w:color="auto"/>
            <w:bottom w:val="none" w:sz="0" w:space="0" w:color="auto"/>
            <w:right w:val="none" w:sz="0" w:space="0" w:color="auto"/>
          </w:divBdr>
        </w:div>
        <w:div w:id="475610597">
          <w:marLeft w:val="0"/>
          <w:marRight w:val="0"/>
          <w:marTop w:val="0"/>
          <w:marBottom w:val="0"/>
          <w:divBdr>
            <w:top w:val="none" w:sz="0" w:space="0" w:color="auto"/>
            <w:left w:val="none" w:sz="0" w:space="0" w:color="auto"/>
            <w:bottom w:val="none" w:sz="0" w:space="0" w:color="auto"/>
            <w:right w:val="none" w:sz="0" w:space="0" w:color="auto"/>
          </w:divBdr>
        </w:div>
        <w:div w:id="1409383683">
          <w:marLeft w:val="0"/>
          <w:marRight w:val="0"/>
          <w:marTop w:val="0"/>
          <w:marBottom w:val="0"/>
          <w:divBdr>
            <w:top w:val="none" w:sz="0" w:space="0" w:color="auto"/>
            <w:left w:val="none" w:sz="0" w:space="0" w:color="auto"/>
            <w:bottom w:val="none" w:sz="0" w:space="0" w:color="auto"/>
            <w:right w:val="none" w:sz="0" w:space="0" w:color="auto"/>
          </w:divBdr>
        </w:div>
        <w:div w:id="1572888649">
          <w:marLeft w:val="0"/>
          <w:marRight w:val="0"/>
          <w:marTop w:val="0"/>
          <w:marBottom w:val="0"/>
          <w:divBdr>
            <w:top w:val="none" w:sz="0" w:space="0" w:color="auto"/>
            <w:left w:val="none" w:sz="0" w:space="0" w:color="auto"/>
            <w:bottom w:val="none" w:sz="0" w:space="0" w:color="auto"/>
            <w:right w:val="none" w:sz="0" w:space="0" w:color="auto"/>
          </w:divBdr>
        </w:div>
        <w:div w:id="1724214722">
          <w:marLeft w:val="0"/>
          <w:marRight w:val="0"/>
          <w:marTop w:val="0"/>
          <w:marBottom w:val="0"/>
          <w:divBdr>
            <w:top w:val="none" w:sz="0" w:space="0" w:color="auto"/>
            <w:left w:val="none" w:sz="0" w:space="0" w:color="auto"/>
            <w:bottom w:val="none" w:sz="0" w:space="0" w:color="auto"/>
            <w:right w:val="none" w:sz="0" w:space="0" w:color="auto"/>
          </w:divBdr>
        </w:div>
      </w:divsChild>
    </w:div>
    <w:div w:id="1719820229">
      <w:bodyDiv w:val="1"/>
      <w:marLeft w:val="0"/>
      <w:marRight w:val="0"/>
      <w:marTop w:val="0"/>
      <w:marBottom w:val="0"/>
      <w:divBdr>
        <w:top w:val="none" w:sz="0" w:space="0" w:color="auto"/>
        <w:left w:val="none" w:sz="0" w:space="0" w:color="auto"/>
        <w:bottom w:val="none" w:sz="0" w:space="0" w:color="auto"/>
        <w:right w:val="none" w:sz="0" w:space="0" w:color="auto"/>
      </w:divBdr>
      <w:divsChild>
        <w:div w:id="2896992">
          <w:marLeft w:val="0"/>
          <w:marRight w:val="0"/>
          <w:marTop w:val="0"/>
          <w:marBottom w:val="0"/>
          <w:divBdr>
            <w:top w:val="none" w:sz="0" w:space="0" w:color="auto"/>
            <w:left w:val="none" w:sz="0" w:space="0" w:color="auto"/>
            <w:bottom w:val="none" w:sz="0" w:space="0" w:color="auto"/>
            <w:right w:val="none" w:sz="0" w:space="0" w:color="auto"/>
          </w:divBdr>
        </w:div>
        <w:div w:id="52048736">
          <w:marLeft w:val="0"/>
          <w:marRight w:val="0"/>
          <w:marTop w:val="0"/>
          <w:marBottom w:val="0"/>
          <w:divBdr>
            <w:top w:val="none" w:sz="0" w:space="0" w:color="auto"/>
            <w:left w:val="none" w:sz="0" w:space="0" w:color="auto"/>
            <w:bottom w:val="none" w:sz="0" w:space="0" w:color="auto"/>
            <w:right w:val="none" w:sz="0" w:space="0" w:color="auto"/>
          </w:divBdr>
        </w:div>
        <w:div w:id="63795057">
          <w:marLeft w:val="0"/>
          <w:marRight w:val="0"/>
          <w:marTop w:val="0"/>
          <w:marBottom w:val="0"/>
          <w:divBdr>
            <w:top w:val="none" w:sz="0" w:space="0" w:color="auto"/>
            <w:left w:val="none" w:sz="0" w:space="0" w:color="auto"/>
            <w:bottom w:val="none" w:sz="0" w:space="0" w:color="auto"/>
            <w:right w:val="none" w:sz="0" w:space="0" w:color="auto"/>
          </w:divBdr>
        </w:div>
        <w:div w:id="69425370">
          <w:marLeft w:val="0"/>
          <w:marRight w:val="0"/>
          <w:marTop w:val="0"/>
          <w:marBottom w:val="0"/>
          <w:divBdr>
            <w:top w:val="none" w:sz="0" w:space="0" w:color="auto"/>
            <w:left w:val="none" w:sz="0" w:space="0" w:color="auto"/>
            <w:bottom w:val="none" w:sz="0" w:space="0" w:color="auto"/>
            <w:right w:val="none" w:sz="0" w:space="0" w:color="auto"/>
          </w:divBdr>
        </w:div>
        <w:div w:id="77823492">
          <w:marLeft w:val="0"/>
          <w:marRight w:val="0"/>
          <w:marTop w:val="0"/>
          <w:marBottom w:val="0"/>
          <w:divBdr>
            <w:top w:val="none" w:sz="0" w:space="0" w:color="auto"/>
            <w:left w:val="none" w:sz="0" w:space="0" w:color="auto"/>
            <w:bottom w:val="none" w:sz="0" w:space="0" w:color="auto"/>
            <w:right w:val="none" w:sz="0" w:space="0" w:color="auto"/>
          </w:divBdr>
        </w:div>
        <w:div w:id="174151798">
          <w:marLeft w:val="0"/>
          <w:marRight w:val="0"/>
          <w:marTop w:val="0"/>
          <w:marBottom w:val="0"/>
          <w:divBdr>
            <w:top w:val="none" w:sz="0" w:space="0" w:color="auto"/>
            <w:left w:val="none" w:sz="0" w:space="0" w:color="auto"/>
            <w:bottom w:val="none" w:sz="0" w:space="0" w:color="auto"/>
            <w:right w:val="none" w:sz="0" w:space="0" w:color="auto"/>
          </w:divBdr>
        </w:div>
        <w:div w:id="182518230">
          <w:marLeft w:val="0"/>
          <w:marRight w:val="0"/>
          <w:marTop w:val="0"/>
          <w:marBottom w:val="0"/>
          <w:divBdr>
            <w:top w:val="none" w:sz="0" w:space="0" w:color="auto"/>
            <w:left w:val="none" w:sz="0" w:space="0" w:color="auto"/>
            <w:bottom w:val="none" w:sz="0" w:space="0" w:color="auto"/>
            <w:right w:val="none" w:sz="0" w:space="0" w:color="auto"/>
          </w:divBdr>
        </w:div>
        <w:div w:id="195968634">
          <w:marLeft w:val="0"/>
          <w:marRight w:val="0"/>
          <w:marTop w:val="0"/>
          <w:marBottom w:val="0"/>
          <w:divBdr>
            <w:top w:val="none" w:sz="0" w:space="0" w:color="auto"/>
            <w:left w:val="none" w:sz="0" w:space="0" w:color="auto"/>
            <w:bottom w:val="none" w:sz="0" w:space="0" w:color="auto"/>
            <w:right w:val="none" w:sz="0" w:space="0" w:color="auto"/>
          </w:divBdr>
        </w:div>
        <w:div w:id="254098916">
          <w:marLeft w:val="0"/>
          <w:marRight w:val="0"/>
          <w:marTop w:val="0"/>
          <w:marBottom w:val="0"/>
          <w:divBdr>
            <w:top w:val="none" w:sz="0" w:space="0" w:color="auto"/>
            <w:left w:val="none" w:sz="0" w:space="0" w:color="auto"/>
            <w:bottom w:val="none" w:sz="0" w:space="0" w:color="auto"/>
            <w:right w:val="none" w:sz="0" w:space="0" w:color="auto"/>
          </w:divBdr>
        </w:div>
        <w:div w:id="263461039">
          <w:marLeft w:val="0"/>
          <w:marRight w:val="0"/>
          <w:marTop w:val="0"/>
          <w:marBottom w:val="0"/>
          <w:divBdr>
            <w:top w:val="none" w:sz="0" w:space="0" w:color="auto"/>
            <w:left w:val="none" w:sz="0" w:space="0" w:color="auto"/>
            <w:bottom w:val="none" w:sz="0" w:space="0" w:color="auto"/>
            <w:right w:val="none" w:sz="0" w:space="0" w:color="auto"/>
          </w:divBdr>
        </w:div>
        <w:div w:id="290020716">
          <w:marLeft w:val="0"/>
          <w:marRight w:val="0"/>
          <w:marTop w:val="0"/>
          <w:marBottom w:val="0"/>
          <w:divBdr>
            <w:top w:val="none" w:sz="0" w:space="0" w:color="auto"/>
            <w:left w:val="none" w:sz="0" w:space="0" w:color="auto"/>
            <w:bottom w:val="none" w:sz="0" w:space="0" w:color="auto"/>
            <w:right w:val="none" w:sz="0" w:space="0" w:color="auto"/>
          </w:divBdr>
        </w:div>
        <w:div w:id="294607663">
          <w:marLeft w:val="0"/>
          <w:marRight w:val="0"/>
          <w:marTop w:val="0"/>
          <w:marBottom w:val="0"/>
          <w:divBdr>
            <w:top w:val="none" w:sz="0" w:space="0" w:color="auto"/>
            <w:left w:val="none" w:sz="0" w:space="0" w:color="auto"/>
            <w:bottom w:val="none" w:sz="0" w:space="0" w:color="auto"/>
            <w:right w:val="none" w:sz="0" w:space="0" w:color="auto"/>
          </w:divBdr>
        </w:div>
        <w:div w:id="296492174">
          <w:marLeft w:val="0"/>
          <w:marRight w:val="0"/>
          <w:marTop w:val="0"/>
          <w:marBottom w:val="0"/>
          <w:divBdr>
            <w:top w:val="none" w:sz="0" w:space="0" w:color="auto"/>
            <w:left w:val="none" w:sz="0" w:space="0" w:color="auto"/>
            <w:bottom w:val="none" w:sz="0" w:space="0" w:color="auto"/>
            <w:right w:val="none" w:sz="0" w:space="0" w:color="auto"/>
          </w:divBdr>
        </w:div>
        <w:div w:id="309481675">
          <w:marLeft w:val="0"/>
          <w:marRight w:val="0"/>
          <w:marTop w:val="0"/>
          <w:marBottom w:val="0"/>
          <w:divBdr>
            <w:top w:val="none" w:sz="0" w:space="0" w:color="auto"/>
            <w:left w:val="none" w:sz="0" w:space="0" w:color="auto"/>
            <w:bottom w:val="none" w:sz="0" w:space="0" w:color="auto"/>
            <w:right w:val="none" w:sz="0" w:space="0" w:color="auto"/>
          </w:divBdr>
        </w:div>
        <w:div w:id="348528201">
          <w:marLeft w:val="0"/>
          <w:marRight w:val="0"/>
          <w:marTop w:val="0"/>
          <w:marBottom w:val="0"/>
          <w:divBdr>
            <w:top w:val="none" w:sz="0" w:space="0" w:color="auto"/>
            <w:left w:val="none" w:sz="0" w:space="0" w:color="auto"/>
            <w:bottom w:val="none" w:sz="0" w:space="0" w:color="auto"/>
            <w:right w:val="none" w:sz="0" w:space="0" w:color="auto"/>
          </w:divBdr>
        </w:div>
        <w:div w:id="447239116">
          <w:marLeft w:val="0"/>
          <w:marRight w:val="0"/>
          <w:marTop w:val="0"/>
          <w:marBottom w:val="0"/>
          <w:divBdr>
            <w:top w:val="none" w:sz="0" w:space="0" w:color="auto"/>
            <w:left w:val="none" w:sz="0" w:space="0" w:color="auto"/>
            <w:bottom w:val="none" w:sz="0" w:space="0" w:color="auto"/>
            <w:right w:val="none" w:sz="0" w:space="0" w:color="auto"/>
          </w:divBdr>
        </w:div>
        <w:div w:id="535041968">
          <w:marLeft w:val="0"/>
          <w:marRight w:val="0"/>
          <w:marTop w:val="0"/>
          <w:marBottom w:val="0"/>
          <w:divBdr>
            <w:top w:val="none" w:sz="0" w:space="0" w:color="auto"/>
            <w:left w:val="none" w:sz="0" w:space="0" w:color="auto"/>
            <w:bottom w:val="none" w:sz="0" w:space="0" w:color="auto"/>
            <w:right w:val="none" w:sz="0" w:space="0" w:color="auto"/>
          </w:divBdr>
        </w:div>
        <w:div w:id="551042670">
          <w:marLeft w:val="0"/>
          <w:marRight w:val="0"/>
          <w:marTop w:val="0"/>
          <w:marBottom w:val="0"/>
          <w:divBdr>
            <w:top w:val="none" w:sz="0" w:space="0" w:color="auto"/>
            <w:left w:val="none" w:sz="0" w:space="0" w:color="auto"/>
            <w:bottom w:val="none" w:sz="0" w:space="0" w:color="auto"/>
            <w:right w:val="none" w:sz="0" w:space="0" w:color="auto"/>
          </w:divBdr>
        </w:div>
        <w:div w:id="577204511">
          <w:marLeft w:val="0"/>
          <w:marRight w:val="0"/>
          <w:marTop w:val="0"/>
          <w:marBottom w:val="0"/>
          <w:divBdr>
            <w:top w:val="none" w:sz="0" w:space="0" w:color="auto"/>
            <w:left w:val="none" w:sz="0" w:space="0" w:color="auto"/>
            <w:bottom w:val="none" w:sz="0" w:space="0" w:color="auto"/>
            <w:right w:val="none" w:sz="0" w:space="0" w:color="auto"/>
          </w:divBdr>
        </w:div>
        <w:div w:id="725839089">
          <w:marLeft w:val="0"/>
          <w:marRight w:val="0"/>
          <w:marTop w:val="0"/>
          <w:marBottom w:val="0"/>
          <w:divBdr>
            <w:top w:val="none" w:sz="0" w:space="0" w:color="auto"/>
            <w:left w:val="none" w:sz="0" w:space="0" w:color="auto"/>
            <w:bottom w:val="none" w:sz="0" w:space="0" w:color="auto"/>
            <w:right w:val="none" w:sz="0" w:space="0" w:color="auto"/>
          </w:divBdr>
        </w:div>
        <w:div w:id="935402510">
          <w:marLeft w:val="0"/>
          <w:marRight w:val="0"/>
          <w:marTop w:val="0"/>
          <w:marBottom w:val="0"/>
          <w:divBdr>
            <w:top w:val="none" w:sz="0" w:space="0" w:color="auto"/>
            <w:left w:val="none" w:sz="0" w:space="0" w:color="auto"/>
            <w:bottom w:val="none" w:sz="0" w:space="0" w:color="auto"/>
            <w:right w:val="none" w:sz="0" w:space="0" w:color="auto"/>
          </w:divBdr>
        </w:div>
        <w:div w:id="1001470634">
          <w:marLeft w:val="0"/>
          <w:marRight w:val="0"/>
          <w:marTop w:val="0"/>
          <w:marBottom w:val="0"/>
          <w:divBdr>
            <w:top w:val="none" w:sz="0" w:space="0" w:color="auto"/>
            <w:left w:val="none" w:sz="0" w:space="0" w:color="auto"/>
            <w:bottom w:val="none" w:sz="0" w:space="0" w:color="auto"/>
            <w:right w:val="none" w:sz="0" w:space="0" w:color="auto"/>
          </w:divBdr>
        </w:div>
        <w:div w:id="1057126209">
          <w:marLeft w:val="0"/>
          <w:marRight w:val="0"/>
          <w:marTop w:val="0"/>
          <w:marBottom w:val="0"/>
          <w:divBdr>
            <w:top w:val="none" w:sz="0" w:space="0" w:color="auto"/>
            <w:left w:val="none" w:sz="0" w:space="0" w:color="auto"/>
            <w:bottom w:val="none" w:sz="0" w:space="0" w:color="auto"/>
            <w:right w:val="none" w:sz="0" w:space="0" w:color="auto"/>
          </w:divBdr>
        </w:div>
        <w:div w:id="1061290244">
          <w:marLeft w:val="0"/>
          <w:marRight w:val="0"/>
          <w:marTop w:val="0"/>
          <w:marBottom w:val="0"/>
          <w:divBdr>
            <w:top w:val="none" w:sz="0" w:space="0" w:color="auto"/>
            <w:left w:val="none" w:sz="0" w:space="0" w:color="auto"/>
            <w:bottom w:val="none" w:sz="0" w:space="0" w:color="auto"/>
            <w:right w:val="none" w:sz="0" w:space="0" w:color="auto"/>
          </w:divBdr>
        </w:div>
        <w:div w:id="1181168057">
          <w:marLeft w:val="0"/>
          <w:marRight w:val="0"/>
          <w:marTop w:val="0"/>
          <w:marBottom w:val="0"/>
          <w:divBdr>
            <w:top w:val="none" w:sz="0" w:space="0" w:color="auto"/>
            <w:left w:val="none" w:sz="0" w:space="0" w:color="auto"/>
            <w:bottom w:val="none" w:sz="0" w:space="0" w:color="auto"/>
            <w:right w:val="none" w:sz="0" w:space="0" w:color="auto"/>
          </w:divBdr>
        </w:div>
        <w:div w:id="1227915195">
          <w:marLeft w:val="0"/>
          <w:marRight w:val="0"/>
          <w:marTop w:val="0"/>
          <w:marBottom w:val="0"/>
          <w:divBdr>
            <w:top w:val="none" w:sz="0" w:space="0" w:color="auto"/>
            <w:left w:val="none" w:sz="0" w:space="0" w:color="auto"/>
            <w:bottom w:val="none" w:sz="0" w:space="0" w:color="auto"/>
            <w:right w:val="none" w:sz="0" w:space="0" w:color="auto"/>
          </w:divBdr>
        </w:div>
        <w:div w:id="1235623801">
          <w:marLeft w:val="0"/>
          <w:marRight w:val="0"/>
          <w:marTop w:val="0"/>
          <w:marBottom w:val="0"/>
          <w:divBdr>
            <w:top w:val="none" w:sz="0" w:space="0" w:color="auto"/>
            <w:left w:val="none" w:sz="0" w:space="0" w:color="auto"/>
            <w:bottom w:val="none" w:sz="0" w:space="0" w:color="auto"/>
            <w:right w:val="none" w:sz="0" w:space="0" w:color="auto"/>
          </w:divBdr>
        </w:div>
        <w:div w:id="1301151983">
          <w:marLeft w:val="0"/>
          <w:marRight w:val="0"/>
          <w:marTop w:val="0"/>
          <w:marBottom w:val="0"/>
          <w:divBdr>
            <w:top w:val="none" w:sz="0" w:space="0" w:color="auto"/>
            <w:left w:val="none" w:sz="0" w:space="0" w:color="auto"/>
            <w:bottom w:val="none" w:sz="0" w:space="0" w:color="auto"/>
            <w:right w:val="none" w:sz="0" w:space="0" w:color="auto"/>
          </w:divBdr>
        </w:div>
        <w:div w:id="1302079560">
          <w:marLeft w:val="0"/>
          <w:marRight w:val="0"/>
          <w:marTop w:val="0"/>
          <w:marBottom w:val="0"/>
          <w:divBdr>
            <w:top w:val="none" w:sz="0" w:space="0" w:color="auto"/>
            <w:left w:val="none" w:sz="0" w:space="0" w:color="auto"/>
            <w:bottom w:val="none" w:sz="0" w:space="0" w:color="auto"/>
            <w:right w:val="none" w:sz="0" w:space="0" w:color="auto"/>
          </w:divBdr>
        </w:div>
        <w:div w:id="1310670914">
          <w:marLeft w:val="0"/>
          <w:marRight w:val="0"/>
          <w:marTop w:val="0"/>
          <w:marBottom w:val="0"/>
          <w:divBdr>
            <w:top w:val="none" w:sz="0" w:space="0" w:color="auto"/>
            <w:left w:val="none" w:sz="0" w:space="0" w:color="auto"/>
            <w:bottom w:val="none" w:sz="0" w:space="0" w:color="auto"/>
            <w:right w:val="none" w:sz="0" w:space="0" w:color="auto"/>
          </w:divBdr>
        </w:div>
        <w:div w:id="1352990786">
          <w:marLeft w:val="0"/>
          <w:marRight w:val="0"/>
          <w:marTop w:val="0"/>
          <w:marBottom w:val="0"/>
          <w:divBdr>
            <w:top w:val="none" w:sz="0" w:space="0" w:color="auto"/>
            <w:left w:val="none" w:sz="0" w:space="0" w:color="auto"/>
            <w:bottom w:val="none" w:sz="0" w:space="0" w:color="auto"/>
            <w:right w:val="none" w:sz="0" w:space="0" w:color="auto"/>
          </w:divBdr>
        </w:div>
        <w:div w:id="1355810021">
          <w:marLeft w:val="0"/>
          <w:marRight w:val="0"/>
          <w:marTop w:val="0"/>
          <w:marBottom w:val="0"/>
          <w:divBdr>
            <w:top w:val="none" w:sz="0" w:space="0" w:color="auto"/>
            <w:left w:val="none" w:sz="0" w:space="0" w:color="auto"/>
            <w:bottom w:val="none" w:sz="0" w:space="0" w:color="auto"/>
            <w:right w:val="none" w:sz="0" w:space="0" w:color="auto"/>
          </w:divBdr>
        </w:div>
        <w:div w:id="1447772350">
          <w:marLeft w:val="0"/>
          <w:marRight w:val="0"/>
          <w:marTop w:val="0"/>
          <w:marBottom w:val="0"/>
          <w:divBdr>
            <w:top w:val="none" w:sz="0" w:space="0" w:color="auto"/>
            <w:left w:val="none" w:sz="0" w:space="0" w:color="auto"/>
            <w:bottom w:val="none" w:sz="0" w:space="0" w:color="auto"/>
            <w:right w:val="none" w:sz="0" w:space="0" w:color="auto"/>
          </w:divBdr>
        </w:div>
        <w:div w:id="1453136110">
          <w:marLeft w:val="0"/>
          <w:marRight w:val="0"/>
          <w:marTop w:val="0"/>
          <w:marBottom w:val="0"/>
          <w:divBdr>
            <w:top w:val="none" w:sz="0" w:space="0" w:color="auto"/>
            <w:left w:val="none" w:sz="0" w:space="0" w:color="auto"/>
            <w:bottom w:val="none" w:sz="0" w:space="0" w:color="auto"/>
            <w:right w:val="none" w:sz="0" w:space="0" w:color="auto"/>
          </w:divBdr>
        </w:div>
        <w:div w:id="1454789510">
          <w:marLeft w:val="0"/>
          <w:marRight w:val="0"/>
          <w:marTop w:val="0"/>
          <w:marBottom w:val="0"/>
          <w:divBdr>
            <w:top w:val="none" w:sz="0" w:space="0" w:color="auto"/>
            <w:left w:val="none" w:sz="0" w:space="0" w:color="auto"/>
            <w:bottom w:val="none" w:sz="0" w:space="0" w:color="auto"/>
            <w:right w:val="none" w:sz="0" w:space="0" w:color="auto"/>
          </w:divBdr>
        </w:div>
        <w:div w:id="1484391543">
          <w:marLeft w:val="0"/>
          <w:marRight w:val="0"/>
          <w:marTop w:val="0"/>
          <w:marBottom w:val="0"/>
          <w:divBdr>
            <w:top w:val="none" w:sz="0" w:space="0" w:color="auto"/>
            <w:left w:val="none" w:sz="0" w:space="0" w:color="auto"/>
            <w:bottom w:val="none" w:sz="0" w:space="0" w:color="auto"/>
            <w:right w:val="none" w:sz="0" w:space="0" w:color="auto"/>
          </w:divBdr>
        </w:div>
        <w:div w:id="1491672737">
          <w:marLeft w:val="0"/>
          <w:marRight w:val="0"/>
          <w:marTop w:val="0"/>
          <w:marBottom w:val="0"/>
          <w:divBdr>
            <w:top w:val="none" w:sz="0" w:space="0" w:color="auto"/>
            <w:left w:val="none" w:sz="0" w:space="0" w:color="auto"/>
            <w:bottom w:val="none" w:sz="0" w:space="0" w:color="auto"/>
            <w:right w:val="none" w:sz="0" w:space="0" w:color="auto"/>
          </w:divBdr>
        </w:div>
        <w:div w:id="1517117482">
          <w:marLeft w:val="0"/>
          <w:marRight w:val="0"/>
          <w:marTop w:val="0"/>
          <w:marBottom w:val="0"/>
          <w:divBdr>
            <w:top w:val="none" w:sz="0" w:space="0" w:color="auto"/>
            <w:left w:val="none" w:sz="0" w:space="0" w:color="auto"/>
            <w:bottom w:val="none" w:sz="0" w:space="0" w:color="auto"/>
            <w:right w:val="none" w:sz="0" w:space="0" w:color="auto"/>
          </w:divBdr>
        </w:div>
        <w:div w:id="1526792641">
          <w:marLeft w:val="0"/>
          <w:marRight w:val="0"/>
          <w:marTop w:val="0"/>
          <w:marBottom w:val="0"/>
          <w:divBdr>
            <w:top w:val="none" w:sz="0" w:space="0" w:color="auto"/>
            <w:left w:val="none" w:sz="0" w:space="0" w:color="auto"/>
            <w:bottom w:val="none" w:sz="0" w:space="0" w:color="auto"/>
            <w:right w:val="none" w:sz="0" w:space="0" w:color="auto"/>
          </w:divBdr>
        </w:div>
        <w:div w:id="1541816134">
          <w:marLeft w:val="0"/>
          <w:marRight w:val="0"/>
          <w:marTop w:val="0"/>
          <w:marBottom w:val="0"/>
          <w:divBdr>
            <w:top w:val="none" w:sz="0" w:space="0" w:color="auto"/>
            <w:left w:val="none" w:sz="0" w:space="0" w:color="auto"/>
            <w:bottom w:val="none" w:sz="0" w:space="0" w:color="auto"/>
            <w:right w:val="none" w:sz="0" w:space="0" w:color="auto"/>
          </w:divBdr>
        </w:div>
        <w:div w:id="1551727928">
          <w:marLeft w:val="0"/>
          <w:marRight w:val="0"/>
          <w:marTop w:val="0"/>
          <w:marBottom w:val="0"/>
          <w:divBdr>
            <w:top w:val="none" w:sz="0" w:space="0" w:color="auto"/>
            <w:left w:val="none" w:sz="0" w:space="0" w:color="auto"/>
            <w:bottom w:val="none" w:sz="0" w:space="0" w:color="auto"/>
            <w:right w:val="none" w:sz="0" w:space="0" w:color="auto"/>
          </w:divBdr>
        </w:div>
        <w:div w:id="1559168186">
          <w:marLeft w:val="0"/>
          <w:marRight w:val="0"/>
          <w:marTop w:val="0"/>
          <w:marBottom w:val="0"/>
          <w:divBdr>
            <w:top w:val="none" w:sz="0" w:space="0" w:color="auto"/>
            <w:left w:val="none" w:sz="0" w:space="0" w:color="auto"/>
            <w:bottom w:val="none" w:sz="0" w:space="0" w:color="auto"/>
            <w:right w:val="none" w:sz="0" w:space="0" w:color="auto"/>
          </w:divBdr>
        </w:div>
        <w:div w:id="1595817545">
          <w:marLeft w:val="0"/>
          <w:marRight w:val="0"/>
          <w:marTop w:val="0"/>
          <w:marBottom w:val="0"/>
          <w:divBdr>
            <w:top w:val="none" w:sz="0" w:space="0" w:color="auto"/>
            <w:left w:val="none" w:sz="0" w:space="0" w:color="auto"/>
            <w:bottom w:val="none" w:sz="0" w:space="0" w:color="auto"/>
            <w:right w:val="none" w:sz="0" w:space="0" w:color="auto"/>
          </w:divBdr>
        </w:div>
        <w:div w:id="1662612360">
          <w:marLeft w:val="0"/>
          <w:marRight w:val="0"/>
          <w:marTop w:val="0"/>
          <w:marBottom w:val="0"/>
          <w:divBdr>
            <w:top w:val="none" w:sz="0" w:space="0" w:color="auto"/>
            <w:left w:val="none" w:sz="0" w:space="0" w:color="auto"/>
            <w:bottom w:val="none" w:sz="0" w:space="0" w:color="auto"/>
            <w:right w:val="none" w:sz="0" w:space="0" w:color="auto"/>
          </w:divBdr>
        </w:div>
        <w:div w:id="1717312299">
          <w:marLeft w:val="0"/>
          <w:marRight w:val="0"/>
          <w:marTop w:val="0"/>
          <w:marBottom w:val="0"/>
          <w:divBdr>
            <w:top w:val="none" w:sz="0" w:space="0" w:color="auto"/>
            <w:left w:val="none" w:sz="0" w:space="0" w:color="auto"/>
            <w:bottom w:val="none" w:sz="0" w:space="0" w:color="auto"/>
            <w:right w:val="none" w:sz="0" w:space="0" w:color="auto"/>
          </w:divBdr>
        </w:div>
        <w:div w:id="1724864039">
          <w:marLeft w:val="0"/>
          <w:marRight w:val="0"/>
          <w:marTop w:val="0"/>
          <w:marBottom w:val="0"/>
          <w:divBdr>
            <w:top w:val="none" w:sz="0" w:space="0" w:color="auto"/>
            <w:left w:val="none" w:sz="0" w:space="0" w:color="auto"/>
            <w:bottom w:val="none" w:sz="0" w:space="0" w:color="auto"/>
            <w:right w:val="none" w:sz="0" w:space="0" w:color="auto"/>
          </w:divBdr>
        </w:div>
        <w:div w:id="1814641099">
          <w:marLeft w:val="0"/>
          <w:marRight w:val="0"/>
          <w:marTop w:val="0"/>
          <w:marBottom w:val="0"/>
          <w:divBdr>
            <w:top w:val="none" w:sz="0" w:space="0" w:color="auto"/>
            <w:left w:val="none" w:sz="0" w:space="0" w:color="auto"/>
            <w:bottom w:val="none" w:sz="0" w:space="0" w:color="auto"/>
            <w:right w:val="none" w:sz="0" w:space="0" w:color="auto"/>
          </w:divBdr>
        </w:div>
        <w:div w:id="1823112067">
          <w:marLeft w:val="0"/>
          <w:marRight w:val="0"/>
          <w:marTop w:val="0"/>
          <w:marBottom w:val="0"/>
          <w:divBdr>
            <w:top w:val="none" w:sz="0" w:space="0" w:color="auto"/>
            <w:left w:val="none" w:sz="0" w:space="0" w:color="auto"/>
            <w:bottom w:val="none" w:sz="0" w:space="0" w:color="auto"/>
            <w:right w:val="none" w:sz="0" w:space="0" w:color="auto"/>
          </w:divBdr>
        </w:div>
        <w:div w:id="1896505024">
          <w:marLeft w:val="0"/>
          <w:marRight w:val="0"/>
          <w:marTop w:val="0"/>
          <w:marBottom w:val="0"/>
          <w:divBdr>
            <w:top w:val="none" w:sz="0" w:space="0" w:color="auto"/>
            <w:left w:val="none" w:sz="0" w:space="0" w:color="auto"/>
            <w:bottom w:val="none" w:sz="0" w:space="0" w:color="auto"/>
            <w:right w:val="none" w:sz="0" w:space="0" w:color="auto"/>
          </w:divBdr>
        </w:div>
        <w:div w:id="1942181553">
          <w:marLeft w:val="0"/>
          <w:marRight w:val="0"/>
          <w:marTop w:val="0"/>
          <w:marBottom w:val="0"/>
          <w:divBdr>
            <w:top w:val="none" w:sz="0" w:space="0" w:color="auto"/>
            <w:left w:val="none" w:sz="0" w:space="0" w:color="auto"/>
            <w:bottom w:val="none" w:sz="0" w:space="0" w:color="auto"/>
            <w:right w:val="none" w:sz="0" w:space="0" w:color="auto"/>
          </w:divBdr>
        </w:div>
        <w:div w:id="1980649254">
          <w:marLeft w:val="0"/>
          <w:marRight w:val="0"/>
          <w:marTop w:val="0"/>
          <w:marBottom w:val="0"/>
          <w:divBdr>
            <w:top w:val="none" w:sz="0" w:space="0" w:color="auto"/>
            <w:left w:val="none" w:sz="0" w:space="0" w:color="auto"/>
            <w:bottom w:val="none" w:sz="0" w:space="0" w:color="auto"/>
            <w:right w:val="none" w:sz="0" w:space="0" w:color="auto"/>
          </w:divBdr>
        </w:div>
        <w:div w:id="2032489911">
          <w:marLeft w:val="0"/>
          <w:marRight w:val="0"/>
          <w:marTop w:val="0"/>
          <w:marBottom w:val="0"/>
          <w:divBdr>
            <w:top w:val="none" w:sz="0" w:space="0" w:color="auto"/>
            <w:left w:val="none" w:sz="0" w:space="0" w:color="auto"/>
            <w:bottom w:val="none" w:sz="0" w:space="0" w:color="auto"/>
            <w:right w:val="none" w:sz="0" w:space="0" w:color="auto"/>
          </w:divBdr>
        </w:div>
        <w:div w:id="2111511900">
          <w:marLeft w:val="0"/>
          <w:marRight w:val="0"/>
          <w:marTop w:val="0"/>
          <w:marBottom w:val="0"/>
          <w:divBdr>
            <w:top w:val="none" w:sz="0" w:space="0" w:color="auto"/>
            <w:left w:val="none" w:sz="0" w:space="0" w:color="auto"/>
            <w:bottom w:val="none" w:sz="0" w:space="0" w:color="auto"/>
            <w:right w:val="none" w:sz="0" w:space="0" w:color="auto"/>
          </w:divBdr>
        </w:div>
        <w:div w:id="2118671631">
          <w:marLeft w:val="0"/>
          <w:marRight w:val="0"/>
          <w:marTop w:val="0"/>
          <w:marBottom w:val="0"/>
          <w:divBdr>
            <w:top w:val="none" w:sz="0" w:space="0" w:color="auto"/>
            <w:left w:val="none" w:sz="0" w:space="0" w:color="auto"/>
            <w:bottom w:val="none" w:sz="0" w:space="0" w:color="auto"/>
            <w:right w:val="none" w:sz="0" w:space="0" w:color="auto"/>
          </w:divBdr>
        </w:div>
      </w:divsChild>
    </w:div>
    <w:div w:id="1741564372">
      <w:bodyDiv w:val="1"/>
      <w:marLeft w:val="0"/>
      <w:marRight w:val="0"/>
      <w:marTop w:val="0"/>
      <w:marBottom w:val="0"/>
      <w:divBdr>
        <w:top w:val="none" w:sz="0" w:space="0" w:color="auto"/>
        <w:left w:val="none" w:sz="0" w:space="0" w:color="auto"/>
        <w:bottom w:val="none" w:sz="0" w:space="0" w:color="auto"/>
        <w:right w:val="none" w:sz="0" w:space="0" w:color="auto"/>
      </w:divBdr>
      <w:divsChild>
        <w:div w:id="2014213291">
          <w:marLeft w:val="0"/>
          <w:marRight w:val="0"/>
          <w:marTop w:val="0"/>
          <w:marBottom w:val="0"/>
          <w:divBdr>
            <w:top w:val="none" w:sz="0" w:space="0" w:color="auto"/>
            <w:left w:val="none" w:sz="0" w:space="0" w:color="auto"/>
            <w:bottom w:val="none" w:sz="0" w:space="0" w:color="auto"/>
            <w:right w:val="none" w:sz="0" w:space="0" w:color="auto"/>
          </w:divBdr>
          <w:divsChild>
            <w:div w:id="68486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531054">
      <w:bodyDiv w:val="1"/>
      <w:marLeft w:val="0"/>
      <w:marRight w:val="0"/>
      <w:marTop w:val="0"/>
      <w:marBottom w:val="0"/>
      <w:divBdr>
        <w:top w:val="none" w:sz="0" w:space="0" w:color="auto"/>
        <w:left w:val="none" w:sz="0" w:space="0" w:color="auto"/>
        <w:bottom w:val="none" w:sz="0" w:space="0" w:color="auto"/>
        <w:right w:val="none" w:sz="0" w:space="0" w:color="auto"/>
      </w:divBdr>
    </w:div>
    <w:div w:id="1799180390">
      <w:bodyDiv w:val="1"/>
      <w:marLeft w:val="0"/>
      <w:marRight w:val="0"/>
      <w:marTop w:val="0"/>
      <w:marBottom w:val="0"/>
      <w:divBdr>
        <w:top w:val="none" w:sz="0" w:space="0" w:color="auto"/>
        <w:left w:val="none" w:sz="0" w:space="0" w:color="auto"/>
        <w:bottom w:val="none" w:sz="0" w:space="0" w:color="auto"/>
        <w:right w:val="none" w:sz="0" w:space="0" w:color="auto"/>
      </w:divBdr>
      <w:divsChild>
        <w:div w:id="531386562">
          <w:marLeft w:val="0"/>
          <w:marRight w:val="0"/>
          <w:marTop w:val="0"/>
          <w:marBottom w:val="0"/>
          <w:divBdr>
            <w:top w:val="none" w:sz="0" w:space="0" w:color="auto"/>
            <w:left w:val="none" w:sz="0" w:space="0" w:color="auto"/>
            <w:bottom w:val="none" w:sz="0" w:space="0" w:color="auto"/>
            <w:right w:val="none" w:sz="0" w:space="0" w:color="auto"/>
          </w:divBdr>
        </w:div>
        <w:div w:id="970090116">
          <w:marLeft w:val="0"/>
          <w:marRight w:val="0"/>
          <w:marTop w:val="0"/>
          <w:marBottom w:val="0"/>
          <w:divBdr>
            <w:top w:val="none" w:sz="0" w:space="0" w:color="auto"/>
            <w:left w:val="none" w:sz="0" w:space="0" w:color="auto"/>
            <w:bottom w:val="none" w:sz="0" w:space="0" w:color="auto"/>
            <w:right w:val="none" w:sz="0" w:space="0" w:color="auto"/>
          </w:divBdr>
        </w:div>
        <w:div w:id="1244293965">
          <w:marLeft w:val="0"/>
          <w:marRight w:val="0"/>
          <w:marTop w:val="0"/>
          <w:marBottom w:val="0"/>
          <w:divBdr>
            <w:top w:val="none" w:sz="0" w:space="0" w:color="auto"/>
            <w:left w:val="none" w:sz="0" w:space="0" w:color="auto"/>
            <w:bottom w:val="none" w:sz="0" w:space="0" w:color="auto"/>
            <w:right w:val="none" w:sz="0" w:space="0" w:color="auto"/>
          </w:divBdr>
        </w:div>
        <w:div w:id="1635214568">
          <w:marLeft w:val="0"/>
          <w:marRight w:val="0"/>
          <w:marTop w:val="0"/>
          <w:marBottom w:val="0"/>
          <w:divBdr>
            <w:top w:val="none" w:sz="0" w:space="0" w:color="auto"/>
            <w:left w:val="none" w:sz="0" w:space="0" w:color="auto"/>
            <w:bottom w:val="none" w:sz="0" w:space="0" w:color="auto"/>
            <w:right w:val="none" w:sz="0" w:space="0" w:color="auto"/>
          </w:divBdr>
        </w:div>
      </w:divsChild>
    </w:div>
    <w:div w:id="1802310048">
      <w:bodyDiv w:val="1"/>
      <w:marLeft w:val="0"/>
      <w:marRight w:val="0"/>
      <w:marTop w:val="0"/>
      <w:marBottom w:val="0"/>
      <w:divBdr>
        <w:top w:val="none" w:sz="0" w:space="0" w:color="auto"/>
        <w:left w:val="none" w:sz="0" w:space="0" w:color="auto"/>
        <w:bottom w:val="none" w:sz="0" w:space="0" w:color="auto"/>
        <w:right w:val="none" w:sz="0" w:space="0" w:color="auto"/>
      </w:divBdr>
      <w:divsChild>
        <w:div w:id="397634921">
          <w:marLeft w:val="0"/>
          <w:marRight w:val="0"/>
          <w:marTop w:val="0"/>
          <w:marBottom w:val="0"/>
          <w:divBdr>
            <w:top w:val="none" w:sz="0" w:space="0" w:color="auto"/>
            <w:left w:val="none" w:sz="0" w:space="0" w:color="auto"/>
            <w:bottom w:val="none" w:sz="0" w:space="0" w:color="auto"/>
            <w:right w:val="none" w:sz="0" w:space="0" w:color="auto"/>
          </w:divBdr>
          <w:divsChild>
            <w:div w:id="58600572">
              <w:marLeft w:val="0"/>
              <w:marRight w:val="0"/>
              <w:marTop w:val="0"/>
              <w:marBottom w:val="0"/>
              <w:divBdr>
                <w:top w:val="none" w:sz="0" w:space="0" w:color="auto"/>
                <w:left w:val="none" w:sz="0" w:space="0" w:color="auto"/>
                <w:bottom w:val="none" w:sz="0" w:space="0" w:color="auto"/>
                <w:right w:val="none" w:sz="0" w:space="0" w:color="auto"/>
              </w:divBdr>
            </w:div>
            <w:div w:id="520898690">
              <w:marLeft w:val="0"/>
              <w:marRight w:val="0"/>
              <w:marTop w:val="0"/>
              <w:marBottom w:val="0"/>
              <w:divBdr>
                <w:top w:val="none" w:sz="0" w:space="0" w:color="auto"/>
                <w:left w:val="none" w:sz="0" w:space="0" w:color="auto"/>
                <w:bottom w:val="none" w:sz="0" w:space="0" w:color="auto"/>
                <w:right w:val="none" w:sz="0" w:space="0" w:color="auto"/>
              </w:divBdr>
            </w:div>
            <w:div w:id="799373901">
              <w:marLeft w:val="0"/>
              <w:marRight w:val="0"/>
              <w:marTop w:val="0"/>
              <w:marBottom w:val="0"/>
              <w:divBdr>
                <w:top w:val="none" w:sz="0" w:space="0" w:color="auto"/>
                <w:left w:val="none" w:sz="0" w:space="0" w:color="auto"/>
                <w:bottom w:val="none" w:sz="0" w:space="0" w:color="auto"/>
                <w:right w:val="none" w:sz="0" w:space="0" w:color="auto"/>
              </w:divBdr>
            </w:div>
            <w:div w:id="19920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1904">
      <w:bodyDiv w:val="1"/>
      <w:marLeft w:val="0"/>
      <w:marRight w:val="0"/>
      <w:marTop w:val="0"/>
      <w:marBottom w:val="0"/>
      <w:divBdr>
        <w:top w:val="none" w:sz="0" w:space="0" w:color="auto"/>
        <w:left w:val="none" w:sz="0" w:space="0" w:color="auto"/>
        <w:bottom w:val="none" w:sz="0" w:space="0" w:color="auto"/>
        <w:right w:val="none" w:sz="0" w:space="0" w:color="auto"/>
      </w:divBdr>
      <w:divsChild>
        <w:div w:id="1200269">
          <w:marLeft w:val="0"/>
          <w:marRight w:val="0"/>
          <w:marTop w:val="0"/>
          <w:marBottom w:val="0"/>
          <w:divBdr>
            <w:top w:val="none" w:sz="0" w:space="0" w:color="auto"/>
            <w:left w:val="none" w:sz="0" w:space="0" w:color="auto"/>
            <w:bottom w:val="none" w:sz="0" w:space="0" w:color="auto"/>
            <w:right w:val="none" w:sz="0" w:space="0" w:color="auto"/>
          </w:divBdr>
        </w:div>
        <w:div w:id="9570430">
          <w:marLeft w:val="0"/>
          <w:marRight w:val="0"/>
          <w:marTop w:val="0"/>
          <w:marBottom w:val="0"/>
          <w:divBdr>
            <w:top w:val="none" w:sz="0" w:space="0" w:color="auto"/>
            <w:left w:val="none" w:sz="0" w:space="0" w:color="auto"/>
            <w:bottom w:val="none" w:sz="0" w:space="0" w:color="auto"/>
            <w:right w:val="none" w:sz="0" w:space="0" w:color="auto"/>
          </w:divBdr>
        </w:div>
        <w:div w:id="14696009">
          <w:marLeft w:val="0"/>
          <w:marRight w:val="0"/>
          <w:marTop w:val="0"/>
          <w:marBottom w:val="0"/>
          <w:divBdr>
            <w:top w:val="none" w:sz="0" w:space="0" w:color="auto"/>
            <w:left w:val="none" w:sz="0" w:space="0" w:color="auto"/>
            <w:bottom w:val="none" w:sz="0" w:space="0" w:color="auto"/>
            <w:right w:val="none" w:sz="0" w:space="0" w:color="auto"/>
          </w:divBdr>
        </w:div>
        <w:div w:id="15694440">
          <w:marLeft w:val="0"/>
          <w:marRight w:val="0"/>
          <w:marTop w:val="0"/>
          <w:marBottom w:val="0"/>
          <w:divBdr>
            <w:top w:val="none" w:sz="0" w:space="0" w:color="auto"/>
            <w:left w:val="none" w:sz="0" w:space="0" w:color="auto"/>
            <w:bottom w:val="none" w:sz="0" w:space="0" w:color="auto"/>
            <w:right w:val="none" w:sz="0" w:space="0" w:color="auto"/>
          </w:divBdr>
        </w:div>
        <w:div w:id="18508882">
          <w:marLeft w:val="0"/>
          <w:marRight w:val="0"/>
          <w:marTop w:val="0"/>
          <w:marBottom w:val="0"/>
          <w:divBdr>
            <w:top w:val="none" w:sz="0" w:space="0" w:color="auto"/>
            <w:left w:val="none" w:sz="0" w:space="0" w:color="auto"/>
            <w:bottom w:val="none" w:sz="0" w:space="0" w:color="auto"/>
            <w:right w:val="none" w:sz="0" w:space="0" w:color="auto"/>
          </w:divBdr>
        </w:div>
        <w:div w:id="39863653">
          <w:marLeft w:val="0"/>
          <w:marRight w:val="0"/>
          <w:marTop w:val="0"/>
          <w:marBottom w:val="0"/>
          <w:divBdr>
            <w:top w:val="none" w:sz="0" w:space="0" w:color="auto"/>
            <w:left w:val="none" w:sz="0" w:space="0" w:color="auto"/>
            <w:bottom w:val="none" w:sz="0" w:space="0" w:color="auto"/>
            <w:right w:val="none" w:sz="0" w:space="0" w:color="auto"/>
          </w:divBdr>
        </w:div>
        <w:div w:id="53041395">
          <w:marLeft w:val="0"/>
          <w:marRight w:val="0"/>
          <w:marTop w:val="0"/>
          <w:marBottom w:val="0"/>
          <w:divBdr>
            <w:top w:val="none" w:sz="0" w:space="0" w:color="auto"/>
            <w:left w:val="none" w:sz="0" w:space="0" w:color="auto"/>
            <w:bottom w:val="none" w:sz="0" w:space="0" w:color="auto"/>
            <w:right w:val="none" w:sz="0" w:space="0" w:color="auto"/>
          </w:divBdr>
        </w:div>
        <w:div w:id="70006526">
          <w:marLeft w:val="0"/>
          <w:marRight w:val="0"/>
          <w:marTop w:val="0"/>
          <w:marBottom w:val="0"/>
          <w:divBdr>
            <w:top w:val="none" w:sz="0" w:space="0" w:color="auto"/>
            <w:left w:val="none" w:sz="0" w:space="0" w:color="auto"/>
            <w:bottom w:val="none" w:sz="0" w:space="0" w:color="auto"/>
            <w:right w:val="none" w:sz="0" w:space="0" w:color="auto"/>
          </w:divBdr>
        </w:div>
        <w:div w:id="75903739">
          <w:marLeft w:val="0"/>
          <w:marRight w:val="0"/>
          <w:marTop w:val="0"/>
          <w:marBottom w:val="0"/>
          <w:divBdr>
            <w:top w:val="none" w:sz="0" w:space="0" w:color="auto"/>
            <w:left w:val="none" w:sz="0" w:space="0" w:color="auto"/>
            <w:bottom w:val="none" w:sz="0" w:space="0" w:color="auto"/>
            <w:right w:val="none" w:sz="0" w:space="0" w:color="auto"/>
          </w:divBdr>
        </w:div>
        <w:div w:id="78062459">
          <w:marLeft w:val="0"/>
          <w:marRight w:val="0"/>
          <w:marTop w:val="0"/>
          <w:marBottom w:val="0"/>
          <w:divBdr>
            <w:top w:val="none" w:sz="0" w:space="0" w:color="auto"/>
            <w:left w:val="none" w:sz="0" w:space="0" w:color="auto"/>
            <w:bottom w:val="none" w:sz="0" w:space="0" w:color="auto"/>
            <w:right w:val="none" w:sz="0" w:space="0" w:color="auto"/>
          </w:divBdr>
        </w:div>
        <w:div w:id="80686817">
          <w:marLeft w:val="0"/>
          <w:marRight w:val="0"/>
          <w:marTop w:val="0"/>
          <w:marBottom w:val="0"/>
          <w:divBdr>
            <w:top w:val="none" w:sz="0" w:space="0" w:color="auto"/>
            <w:left w:val="none" w:sz="0" w:space="0" w:color="auto"/>
            <w:bottom w:val="none" w:sz="0" w:space="0" w:color="auto"/>
            <w:right w:val="none" w:sz="0" w:space="0" w:color="auto"/>
          </w:divBdr>
        </w:div>
        <w:div w:id="80760702">
          <w:marLeft w:val="0"/>
          <w:marRight w:val="0"/>
          <w:marTop w:val="0"/>
          <w:marBottom w:val="0"/>
          <w:divBdr>
            <w:top w:val="none" w:sz="0" w:space="0" w:color="auto"/>
            <w:left w:val="none" w:sz="0" w:space="0" w:color="auto"/>
            <w:bottom w:val="none" w:sz="0" w:space="0" w:color="auto"/>
            <w:right w:val="none" w:sz="0" w:space="0" w:color="auto"/>
          </w:divBdr>
        </w:div>
        <w:div w:id="87701737">
          <w:marLeft w:val="0"/>
          <w:marRight w:val="0"/>
          <w:marTop w:val="0"/>
          <w:marBottom w:val="0"/>
          <w:divBdr>
            <w:top w:val="none" w:sz="0" w:space="0" w:color="auto"/>
            <w:left w:val="none" w:sz="0" w:space="0" w:color="auto"/>
            <w:bottom w:val="none" w:sz="0" w:space="0" w:color="auto"/>
            <w:right w:val="none" w:sz="0" w:space="0" w:color="auto"/>
          </w:divBdr>
        </w:div>
        <w:div w:id="97875513">
          <w:marLeft w:val="0"/>
          <w:marRight w:val="0"/>
          <w:marTop w:val="0"/>
          <w:marBottom w:val="0"/>
          <w:divBdr>
            <w:top w:val="none" w:sz="0" w:space="0" w:color="auto"/>
            <w:left w:val="none" w:sz="0" w:space="0" w:color="auto"/>
            <w:bottom w:val="none" w:sz="0" w:space="0" w:color="auto"/>
            <w:right w:val="none" w:sz="0" w:space="0" w:color="auto"/>
          </w:divBdr>
        </w:div>
        <w:div w:id="98185305">
          <w:marLeft w:val="0"/>
          <w:marRight w:val="0"/>
          <w:marTop w:val="0"/>
          <w:marBottom w:val="0"/>
          <w:divBdr>
            <w:top w:val="none" w:sz="0" w:space="0" w:color="auto"/>
            <w:left w:val="none" w:sz="0" w:space="0" w:color="auto"/>
            <w:bottom w:val="none" w:sz="0" w:space="0" w:color="auto"/>
            <w:right w:val="none" w:sz="0" w:space="0" w:color="auto"/>
          </w:divBdr>
        </w:div>
        <w:div w:id="99031217">
          <w:marLeft w:val="0"/>
          <w:marRight w:val="0"/>
          <w:marTop w:val="0"/>
          <w:marBottom w:val="0"/>
          <w:divBdr>
            <w:top w:val="none" w:sz="0" w:space="0" w:color="auto"/>
            <w:left w:val="none" w:sz="0" w:space="0" w:color="auto"/>
            <w:bottom w:val="none" w:sz="0" w:space="0" w:color="auto"/>
            <w:right w:val="none" w:sz="0" w:space="0" w:color="auto"/>
          </w:divBdr>
        </w:div>
        <w:div w:id="107241395">
          <w:marLeft w:val="0"/>
          <w:marRight w:val="0"/>
          <w:marTop w:val="0"/>
          <w:marBottom w:val="0"/>
          <w:divBdr>
            <w:top w:val="none" w:sz="0" w:space="0" w:color="auto"/>
            <w:left w:val="none" w:sz="0" w:space="0" w:color="auto"/>
            <w:bottom w:val="none" w:sz="0" w:space="0" w:color="auto"/>
            <w:right w:val="none" w:sz="0" w:space="0" w:color="auto"/>
          </w:divBdr>
        </w:div>
        <w:div w:id="118036628">
          <w:marLeft w:val="0"/>
          <w:marRight w:val="0"/>
          <w:marTop w:val="0"/>
          <w:marBottom w:val="0"/>
          <w:divBdr>
            <w:top w:val="none" w:sz="0" w:space="0" w:color="auto"/>
            <w:left w:val="none" w:sz="0" w:space="0" w:color="auto"/>
            <w:bottom w:val="none" w:sz="0" w:space="0" w:color="auto"/>
            <w:right w:val="none" w:sz="0" w:space="0" w:color="auto"/>
          </w:divBdr>
        </w:div>
        <w:div w:id="135875973">
          <w:marLeft w:val="0"/>
          <w:marRight w:val="0"/>
          <w:marTop w:val="0"/>
          <w:marBottom w:val="0"/>
          <w:divBdr>
            <w:top w:val="none" w:sz="0" w:space="0" w:color="auto"/>
            <w:left w:val="none" w:sz="0" w:space="0" w:color="auto"/>
            <w:bottom w:val="none" w:sz="0" w:space="0" w:color="auto"/>
            <w:right w:val="none" w:sz="0" w:space="0" w:color="auto"/>
          </w:divBdr>
        </w:div>
        <w:div w:id="136143469">
          <w:marLeft w:val="0"/>
          <w:marRight w:val="0"/>
          <w:marTop w:val="0"/>
          <w:marBottom w:val="0"/>
          <w:divBdr>
            <w:top w:val="none" w:sz="0" w:space="0" w:color="auto"/>
            <w:left w:val="none" w:sz="0" w:space="0" w:color="auto"/>
            <w:bottom w:val="none" w:sz="0" w:space="0" w:color="auto"/>
            <w:right w:val="none" w:sz="0" w:space="0" w:color="auto"/>
          </w:divBdr>
        </w:div>
        <w:div w:id="145560184">
          <w:marLeft w:val="0"/>
          <w:marRight w:val="0"/>
          <w:marTop w:val="0"/>
          <w:marBottom w:val="0"/>
          <w:divBdr>
            <w:top w:val="none" w:sz="0" w:space="0" w:color="auto"/>
            <w:left w:val="none" w:sz="0" w:space="0" w:color="auto"/>
            <w:bottom w:val="none" w:sz="0" w:space="0" w:color="auto"/>
            <w:right w:val="none" w:sz="0" w:space="0" w:color="auto"/>
          </w:divBdr>
        </w:div>
        <w:div w:id="153106591">
          <w:marLeft w:val="0"/>
          <w:marRight w:val="0"/>
          <w:marTop w:val="0"/>
          <w:marBottom w:val="0"/>
          <w:divBdr>
            <w:top w:val="none" w:sz="0" w:space="0" w:color="auto"/>
            <w:left w:val="none" w:sz="0" w:space="0" w:color="auto"/>
            <w:bottom w:val="none" w:sz="0" w:space="0" w:color="auto"/>
            <w:right w:val="none" w:sz="0" w:space="0" w:color="auto"/>
          </w:divBdr>
        </w:div>
        <w:div w:id="154298614">
          <w:marLeft w:val="0"/>
          <w:marRight w:val="0"/>
          <w:marTop w:val="0"/>
          <w:marBottom w:val="0"/>
          <w:divBdr>
            <w:top w:val="none" w:sz="0" w:space="0" w:color="auto"/>
            <w:left w:val="none" w:sz="0" w:space="0" w:color="auto"/>
            <w:bottom w:val="none" w:sz="0" w:space="0" w:color="auto"/>
            <w:right w:val="none" w:sz="0" w:space="0" w:color="auto"/>
          </w:divBdr>
        </w:div>
        <w:div w:id="177237329">
          <w:marLeft w:val="0"/>
          <w:marRight w:val="0"/>
          <w:marTop w:val="0"/>
          <w:marBottom w:val="0"/>
          <w:divBdr>
            <w:top w:val="none" w:sz="0" w:space="0" w:color="auto"/>
            <w:left w:val="none" w:sz="0" w:space="0" w:color="auto"/>
            <w:bottom w:val="none" w:sz="0" w:space="0" w:color="auto"/>
            <w:right w:val="none" w:sz="0" w:space="0" w:color="auto"/>
          </w:divBdr>
        </w:div>
        <w:div w:id="179392981">
          <w:marLeft w:val="0"/>
          <w:marRight w:val="0"/>
          <w:marTop w:val="0"/>
          <w:marBottom w:val="0"/>
          <w:divBdr>
            <w:top w:val="none" w:sz="0" w:space="0" w:color="auto"/>
            <w:left w:val="none" w:sz="0" w:space="0" w:color="auto"/>
            <w:bottom w:val="none" w:sz="0" w:space="0" w:color="auto"/>
            <w:right w:val="none" w:sz="0" w:space="0" w:color="auto"/>
          </w:divBdr>
        </w:div>
        <w:div w:id="185102008">
          <w:marLeft w:val="0"/>
          <w:marRight w:val="0"/>
          <w:marTop w:val="0"/>
          <w:marBottom w:val="0"/>
          <w:divBdr>
            <w:top w:val="none" w:sz="0" w:space="0" w:color="auto"/>
            <w:left w:val="none" w:sz="0" w:space="0" w:color="auto"/>
            <w:bottom w:val="none" w:sz="0" w:space="0" w:color="auto"/>
            <w:right w:val="none" w:sz="0" w:space="0" w:color="auto"/>
          </w:divBdr>
        </w:div>
        <w:div w:id="187530528">
          <w:marLeft w:val="0"/>
          <w:marRight w:val="0"/>
          <w:marTop w:val="0"/>
          <w:marBottom w:val="0"/>
          <w:divBdr>
            <w:top w:val="none" w:sz="0" w:space="0" w:color="auto"/>
            <w:left w:val="none" w:sz="0" w:space="0" w:color="auto"/>
            <w:bottom w:val="none" w:sz="0" w:space="0" w:color="auto"/>
            <w:right w:val="none" w:sz="0" w:space="0" w:color="auto"/>
          </w:divBdr>
        </w:div>
        <w:div w:id="191769711">
          <w:marLeft w:val="0"/>
          <w:marRight w:val="0"/>
          <w:marTop w:val="0"/>
          <w:marBottom w:val="0"/>
          <w:divBdr>
            <w:top w:val="none" w:sz="0" w:space="0" w:color="auto"/>
            <w:left w:val="none" w:sz="0" w:space="0" w:color="auto"/>
            <w:bottom w:val="none" w:sz="0" w:space="0" w:color="auto"/>
            <w:right w:val="none" w:sz="0" w:space="0" w:color="auto"/>
          </w:divBdr>
        </w:div>
        <w:div w:id="194343805">
          <w:marLeft w:val="0"/>
          <w:marRight w:val="0"/>
          <w:marTop w:val="0"/>
          <w:marBottom w:val="0"/>
          <w:divBdr>
            <w:top w:val="none" w:sz="0" w:space="0" w:color="auto"/>
            <w:left w:val="none" w:sz="0" w:space="0" w:color="auto"/>
            <w:bottom w:val="none" w:sz="0" w:space="0" w:color="auto"/>
            <w:right w:val="none" w:sz="0" w:space="0" w:color="auto"/>
          </w:divBdr>
        </w:div>
        <w:div w:id="202985886">
          <w:marLeft w:val="0"/>
          <w:marRight w:val="0"/>
          <w:marTop w:val="0"/>
          <w:marBottom w:val="0"/>
          <w:divBdr>
            <w:top w:val="none" w:sz="0" w:space="0" w:color="auto"/>
            <w:left w:val="none" w:sz="0" w:space="0" w:color="auto"/>
            <w:bottom w:val="none" w:sz="0" w:space="0" w:color="auto"/>
            <w:right w:val="none" w:sz="0" w:space="0" w:color="auto"/>
          </w:divBdr>
        </w:div>
        <w:div w:id="206458570">
          <w:marLeft w:val="0"/>
          <w:marRight w:val="0"/>
          <w:marTop w:val="0"/>
          <w:marBottom w:val="0"/>
          <w:divBdr>
            <w:top w:val="none" w:sz="0" w:space="0" w:color="auto"/>
            <w:left w:val="none" w:sz="0" w:space="0" w:color="auto"/>
            <w:bottom w:val="none" w:sz="0" w:space="0" w:color="auto"/>
            <w:right w:val="none" w:sz="0" w:space="0" w:color="auto"/>
          </w:divBdr>
        </w:div>
        <w:div w:id="252202328">
          <w:marLeft w:val="0"/>
          <w:marRight w:val="0"/>
          <w:marTop w:val="0"/>
          <w:marBottom w:val="0"/>
          <w:divBdr>
            <w:top w:val="none" w:sz="0" w:space="0" w:color="auto"/>
            <w:left w:val="none" w:sz="0" w:space="0" w:color="auto"/>
            <w:bottom w:val="none" w:sz="0" w:space="0" w:color="auto"/>
            <w:right w:val="none" w:sz="0" w:space="0" w:color="auto"/>
          </w:divBdr>
        </w:div>
        <w:div w:id="260333562">
          <w:marLeft w:val="0"/>
          <w:marRight w:val="0"/>
          <w:marTop w:val="0"/>
          <w:marBottom w:val="0"/>
          <w:divBdr>
            <w:top w:val="none" w:sz="0" w:space="0" w:color="auto"/>
            <w:left w:val="none" w:sz="0" w:space="0" w:color="auto"/>
            <w:bottom w:val="none" w:sz="0" w:space="0" w:color="auto"/>
            <w:right w:val="none" w:sz="0" w:space="0" w:color="auto"/>
          </w:divBdr>
        </w:div>
        <w:div w:id="260339054">
          <w:marLeft w:val="0"/>
          <w:marRight w:val="0"/>
          <w:marTop w:val="0"/>
          <w:marBottom w:val="0"/>
          <w:divBdr>
            <w:top w:val="none" w:sz="0" w:space="0" w:color="auto"/>
            <w:left w:val="none" w:sz="0" w:space="0" w:color="auto"/>
            <w:bottom w:val="none" w:sz="0" w:space="0" w:color="auto"/>
            <w:right w:val="none" w:sz="0" w:space="0" w:color="auto"/>
          </w:divBdr>
        </w:div>
        <w:div w:id="268977634">
          <w:marLeft w:val="0"/>
          <w:marRight w:val="0"/>
          <w:marTop w:val="0"/>
          <w:marBottom w:val="0"/>
          <w:divBdr>
            <w:top w:val="none" w:sz="0" w:space="0" w:color="auto"/>
            <w:left w:val="none" w:sz="0" w:space="0" w:color="auto"/>
            <w:bottom w:val="none" w:sz="0" w:space="0" w:color="auto"/>
            <w:right w:val="none" w:sz="0" w:space="0" w:color="auto"/>
          </w:divBdr>
        </w:div>
        <w:div w:id="272639117">
          <w:marLeft w:val="0"/>
          <w:marRight w:val="0"/>
          <w:marTop w:val="0"/>
          <w:marBottom w:val="0"/>
          <w:divBdr>
            <w:top w:val="none" w:sz="0" w:space="0" w:color="auto"/>
            <w:left w:val="none" w:sz="0" w:space="0" w:color="auto"/>
            <w:bottom w:val="none" w:sz="0" w:space="0" w:color="auto"/>
            <w:right w:val="none" w:sz="0" w:space="0" w:color="auto"/>
          </w:divBdr>
        </w:div>
        <w:div w:id="278223889">
          <w:marLeft w:val="0"/>
          <w:marRight w:val="0"/>
          <w:marTop w:val="0"/>
          <w:marBottom w:val="0"/>
          <w:divBdr>
            <w:top w:val="none" w:sz="0" w:space="0" w:color="auto"/>
            <w:left w:val="none" w:sz="0" w:space="0" w:color="auto"/>
            <w:bottom w:val="none" w:sz="0" w:space="0" w:color="auto"/>
            <w:right w:val="none" w:sz="0" w:space="0" w:color="auto"/>
          </w:divBdr>
        </w:div>
        <w:div w:id="280383111">
          <w:marLeft w:val="0"/>
          <w:marRight w:val="0"/>
          <w:marTop w:val="0"/>
          <w:marBottom w:val="0"/>
          <w:divBdr>
            <w:top w:val="none" w:sz="0" w:space="0" w:color="auto"/>
            <w:left w:val="none" w:sz="0" w:space="0" w:color="auto"/>
            <w:bottom w:val="none" w:sz="0" w:space="0" w:color="auto"/>
            <w:right w:val="none" w:sz="0" w:space="0" w:color="auto"/>
          </w:divBdr>
        </w:div>
        <w:div w:id="287132173">
          <w:marLeft w:val="0"/>
          <w:marRight w:val="0"/>
          <w:marTop w:val="0"/>
          <w:marBottom w:val="0"/>
          <w:divBdr>
            <w:top w:val="none" w:sz="0" w:space="0" w:color="auto"/>
            <w:left w:val="none" w:sz="0" w:space="0" w:color="auto"/>
            <w:bottom w:val="none" w:sz="0" w:space="0" w:color="auto"/>
            <w:right w:val="none" w:sz="0" w:space="0" w:color="auto"/>
          </w:divBdr>
        </w:div>
        <w:div w:id="289089256">
          <w:marLeft w:val="0"/>
          <w:marRight w:val="0"/>
          <w:marTop w:val="0"/>
          <w:marBottom w:val="0"/>
          <w:divBdr>
            <w:top w:val="none" w:sz="0" w:space="0" w:color="auto"/>
            <w:left w:val="none" w:sz="0" w:space="0" w:color="auto"/>
            <w:bottom w:val="none" w:sz="0" w:space="0" w:color="auto"/>
            <w:right w:val="none" w:sz="0" w:space="0" w:color="auto"/>
          </w:divBdr>
        </w:div>
        <w:div w:id="302738606">
          <w:marLeft w:val="0"/>
          <w:marRight w:val="0"/>
          <w:marTop w:val="0"/>
          <w:marBottom w:val="0"/>
          <w:divBdr>
            <w:top w:val="none" w:sz="0" w:space="0" w:color="auto"/>
            <w:left w:val="none" w:sz="0" w:space="0" w:color="auto"/>
            <w:bottom w:val="none" w:sz="0" w:space="0" w:color="auto"/>
            <w:right w:val="none" w:sz="0" w:space="0" w:color="auto"/>
          </w:divBdr>
        </w:div>
        <w:div w:id="303896468">
          <w:marLeft w:val="0"/>
          <w:marRight w:val="0"/>
          <w:marTop w:val="0"/>
          <w:marBottom w:val="0"/>
          <w:divBdr>
            <w:top w:val="none" w:sz="0" w:space="0" w:color="auto"/>
            <w:left w:val="none" w:sz="0" w:space="0" w:color="auto"/>
            <w:bottom w:val="none" w:sz="0" w:space="0" w:color="auto"/>
            <w:right w:val="none" w:sz="0" w:space="0" w:color="auto"/>
          </w:divBdr>
        </w:div>
        <w:div w:id="306017136">
          <w:marLeft w:val="0"/>
          <w:marRight w:val="0"/>
          <w:marTop w:val="0"/>
          <w:marBottom w:val="0"/>
          <w:divBdr>
            <w:top w:val="none" w:sz="0" w:space="0" w:color="auto"/>
            <w:left w:val="none" w:sz="0" w:space="0" w:color="auto"/>
            <w:bottom w:val="none" w:sz="0" w:space="0" w:color="auto"/>
            <w:right w:val="none" w:sz="0" w:space="0" w:color="auto"/>
          </w:divBdr>
        </w:div>
        <w:div w:id="312563657">
          <w:marLeft w:val="0"/>
          <w:marRight w:val="0"/>
          <w:marTop w:val="0"/>
          <w:marBottom w:val="0"/>
          <w:divBdr>
            <w:top w:val="none" w:sz="0" w:space="0" w:color="auto"/>
            <w:left w:val="none" w:sz="0" w:space="0" w:color="auto"/>
            <w:bottom w:val="none" w:sz="0" w:space="0" w:color="auto"/>
            <w:right w:val="none" w:sz="0" w:space="0" w:color="auto"/>
          </w:divBdr>
        </w:div>
        <w:div w:id="313610570">
          <w:marLeft w:val="0"/>
          <w:marRight w:val="0"/>
          <w:marTop w:val="0"/>
          <w:marBottom w:val="0"/>
          <w:divBdr>
            <w:top w:val="none" w:sz="0" w:space="0" w:color="auto"/>
            <w:left w:val="none" w:sz="0" w:space="0" w:color="auto"/>
            <w:bottom w:val="none" w:sz="0" w:space="0" w:color="auto"/>
            <w:right w:val="none" w:sz="0" w:space="0" w:color="auto"/>
          </w:divBdr>
        </w:div>
        <w:div w:id="324288035">
          <w:marLeft w:val="0"/>
          <w:marRight w:val="0"/>
          <w:marTop w:val="0"/>
          <w:marBottom w:val="0"/>
          <w:divBdr>
            <w:top w:val="none" w:sz="0" w:space="0" w:color="auto"/>
            <w:left w:val="none" w:sz="0" w:space="0" w:color="auto"/>
            <w:bottom w:val="none" w:sz="0" w:space="0" w:color="auto"/>
            <w:right w:val="none" w:sz="0" w:space="0" w:color="auto"/>
          </w:divBdr>
        </w:div>
        <w:div w:id="325403175">
          <w:marLeft w:val="0"/>
          <w:marRight w:val="0"/>
          <w:marTop w:val="0"/>
          <w:marBottom w:val="0"/>
          <w:divBdr>
            <w:top w:val="none" w:sz="0" w:space="0" w:color="auto"/>
            <w:left w:val="none" w:sz="0" w:space="0" w:color="auto"/>
            <w:bottom w:val="none" w:sz="0" w:space="0" w:color="auto"/>
            <w:right w:val="none" w:sz="0" w:space="0" w:color="auto"/>
          </w:divBdr>
        </w:div>
        <w:div w:id="334190925">
          <w:marLeft w:val="0"/>
          <w:marRight w:val="0"/>
          <w:marTop w:val="0"/>
          <w:marBottom w:val="0"/>
          <w:divBdr>
            <w:top w:val="none" w:sz="0" w:space="0" w:color="auto"/>
            <w:left w:val="none" w:sz="0" w:space="0" w:color="auto"/>
            <w:bottom w:val="none" w:sz="0" w:space="0" w:color="auto"/>
            <w:right w:val="none" w:sz="0" w:space="0" w:color="auto"/>
          </w:divBdr>
        </w:div>
        <w:div w:id="339746445">
          <w:marLeft w:val="0"/>
          <w:marRight w:val="0"/>
          <w:marTop w:val="0"/>
          <w:marBottom w:val="0"/>
          <w:divBdr>
            <w:top w:val="none" w:sz="0" w:space="0" w:color="auto"/>
            <w:left w:val="none" w:sz="0" w:space="0" w:color="auto"/>
            <w:bottom w:val="none" w:sz="0" w:space="0" w:color="auto"/>
            <w:right w:val="none" w:sz="0" w:space="0" w:color="auto"/>
          </w:divBdr>
        </w:div>
        <w:div w:id="346717434">
          <w:marLeft w:val="0"/>
          <w:marRight w:val="0"/>
          <w:marTop w:val="0"/>
          <w:marBottom w:val="0"/>
          <w:divBdr>
            <w:top w:val="none" w:sz="0" w:space="0" w:color="auto"/>
            <w:left w:val="none" w:sz="0" w:space="0" w:color="auto"/>
            <w:bottom w:val="none" w:sz="0" w:space="0" w:color="auto"/>
            <w:right w:val="none" w:sz="0" w:space="0" w:color="auto"/>
          </w:divBdr>
        </w:div>
        <w:div w:id="347952661">
          <w:marLeft w:val="0"/>
          <w:marRight w:val="0"/>
          <w:marTop w:val="0"/>
          <w:marBottom w:val="0"/>
          <w:divBdr>
            <w:top w:val="none" w:sz="0" w:space="0" w:color="auto"/>
            <w:left w:val="none" w:sz="0" w:space="0" w:color="auto"/>
            <w:bottom w:val="none" w:sz="0" w:space="0" w:color="auto"/>
            <w:right w:val="none" w:sz="0" w:space="0" w:color="auto"/>
          </w:divBdr>
        </w:div>
        <w:div w:id="350839198">
          <w:marLeft w:val="0"/>
          <w:marRight w:val="0"/>
          <w:marTop w:val="0"/>
          <w:marBottom w:val="0"/>
          <w:divBdr>
            <w:top w:val="none" w:sz="0" w:space="0" w:color="auto"/>
            <w:left w:val="none" w:sz="0" w:space="0" w:color="auto"/>
            <w:bottom w:val="none" w:sz="0" w:space="0" w:color="auto"/>
            <w:right w:val="none" w:sz="0" w:space="0" w:color="auto"/>
          </w:divBdr>
        </w:div>
        <w:div w:id="359863871">
          <w:marLeft w:val="0"/>
          <w:marRight w:val="0"/>
          <w:marTop w:val="0"/>
          <w:marBottom w:val="0"/>
          <w:divBdr>
            <w:top w:val="none" w:sz="0" w:space="0" w:color="auto"/>
            <w:left w:val="none" w:sz="0" w:space="0" w:color="auto"/>
            <w:bottom w:val="none" w:sz="0" w:space="0" w:color="auto"/>
            <w:right w:val="none" w:sz="0" w:space="0" w:color="auto"/>
          </w:divBdr>
        </w:div>
        <w:div w:id="363216049">
          <w:marLeft w:val="0"/>
          <w:marRight w:val="0"/>
          <w:marTop w:val="0"/>
          <w:marBottom w:val="0"/>
          <w:divBdr>
            <w:top w:val="none" w:sz="0" w:space="0" w:color="auto"/>
            <w:left w:val="none" w:sz="0" w:space="0" w:color="auto"/>
            <w:bottom w:val="none" w:sz="0" w:space="0" w:color="auto"/>
            <w:right w:val="none" w:sz="0" w:space="0" w:color="auto"/>
          </w:divBdr>
        </w:div>
        <w:div w:id="364646107">
          <w:marLeft w:val="0"/>
          <w:marRight w:val="0"/>
          <w:marTop w:val="0"/>
          <w:marBottom w:val="0"/>
          <w:divBdr>
            <w:top w:val="none" w:sz="0" w:space="0" w:color="auto"/>
            <w:left w:val="none" w:sz="0" w:space="0" w:color="auto"/>
            <w:bottom w:val="none" w:sz="0" w:space="0" w:color="auto"/>
            <w:right w:val="none" w:sz="0" w:space="0" w:color="auto"/>
          </w:divBdr>
        </w:div>
        <w:div w:id="370767423">
          <w:marLeft w:val="0"/>
          <w:marRight w:val="0"/>
          <w:marTop w:val="0"/>
          <w:marBottom w:val="0"/>
          <w:divBdr>
            <w:top w:val="none" w:sz="0" w:space="0" w:color="auto"/>
            <w:left w:val="none" w:sz="0" w:space="0" w:color="auto"/>
            <w:bottom w:val="none" w:sz="0" w:space="0" w:color="auto"/>
            <w:right w:val="none" w:sz="0" w:space="0" w:color="auto"/>
          </w:divBdr>
        </w:div>
        <w:div w:id="383212847">
          <w:marLeft w:val="0"/>
          <w:marRight w:val="0"/>
          <w:marTop w:val="0"/>
          <w:marBottom w:val="0"/>
          <w:divBdr>
            <w:top w:val="none" w:sz="0" w:space="0" w:color="auto"/>
            <w:left w:val="none" w:sz="0" w:space="0" w:color="auto"/>
            <w:bottom w:val="none" w:sz="0" w:space="0" w:color="auto"/>
            <w:right w:val="none" w:sz="0" w:space="0" w:color="auto"/>
          </w:divBdr>
        </w:div>
        <w:div w:id="385953135">
          <w:marLeft w:val="0"/>
          <w:marRight w:val="0"/>
          <w:marTop w:val="0"/>
          <w:marBottom w:val="0"/>
          <w:divBdr>
            <w:top w:val="none" w:sz="0" w:space="0" w:color="auto"/>
            <w:left w:val="none" w:sz="0" w:space="0" w:color="auto"/>
            <w:bottom w:val="none" w:sz="0" w:space="0" w:color="auto"/>
            <w:right w:val="none" w:sz="0" w:space="0" w:color="auto"/>
          </w:divBdr>
        </w:div>
        <w:div w:id="392897731">
          <w:marLeft w:val="0"/>
          <w:marRight w:val="0"/>
          <w:marTop w:val="0"/>
          <w:marBottom w:val="0"/>
          <w:divBdr>
            <w:top w:val="none" w:sz="0" w:space="0" w:color="auto"/>
            <w:left w:val="none" w:sz="0" w:space="0" w:color="auto"/>
            <w:bottom w:val="none" w:sz="0" w:space="0" w:color="auto"/>
            <w:right w:val="none" w:sz="0" w:space="0" w:color="auto"/>
          </w:divBdr>
        </w:div>
        <w:div w:id="392970979">
          <w:marLeft w:val="0"/>
          <w:marRight w:val="0"/>
          <w:marTop w:val="0"/>
          <w:marBottom w:val="0"/>
          <w:divBdr>
            <w:top w:val="none" w:sz="0" w:space="0" w:color="auto"/>
            <w:left w:val="none" w:sz="0" w:space="0" w:color="auto"/>
            <w:bottom w:val="none" w:sz="0" w:space="0" w:color="auto"/>
            <w:right w:val="none" w:sz="0" w:space="0" w:color="auto"/>
          </w:divBdr>
        </w:div>
        <w:div w:id="393090768">
          <w:marLeft w:val="0"/>
          <w:marRight w:val="0"/>
          <w:marTop w:val="0"/>
          <w:marBottom w:val="0"/>
          <w:divBdr>
            <w:top w:val="none" w:sz="0" w:space="0" w:color="auto"/>
            <w:left w:val="none" w:sz="0" w:space="0" w:color="auto"/>
            <w:bottom w:val="none" w:sz="0" w:space="0" w:color="auto"/>
            <w:right w:val="none" w:sz="0" w:space="0" w:color="auto"/>
          </w:divBdr>
        </w:div>
        <w:div w:id="394469252">
          <w:marLeft w:val="0"/>
          <w:marRight w:val="0"/>
          <w:marTop w:val="0"/>
          <w:marBottom w:val="0"/>
          <w:divBdr>
            <w:top w:val="none" w:sz="0" w:space="0" w:color="auto"/>
            <w:left w:val="none" w:sz="0" w:space="0" w:color="auto"/>
            <w:bottom w:val="none" w:sz="0" w:space="0" w:color="auto"/>
            <w:right w:val="none" w:sz="0" w:space="0" w:color="auto"/>
          </w:divBdr>
        </w:div>
        <w:div w:id="394743056">
          <w:marLeft w:val="0"/>
          <w:marRight w:val="0"/>
          <w:marTop w:val="0"/>
          <w:marBottom w:val="0"/>
          <w:divBdr>
            <w:top w:val="none" w:sz="0" w:space="0" w:color="auto"/>
            <w:left w:val="none" w:sz="0" w:space="0" w:color="auto"/>
            <w:bottom w:val="none" w:sz="0" w:space="0" w:color="auto"/>
            <w:right w:val="none" w:sz="0" w:space="0" w:color="auto"/>
          </w:divBdr>
        </w:div>
        <w:div w:id="410083265">
          <w:marLeft w:val="0"/>
          <w:marRight w:val="0"/>
          <w:marTop w:val="0"/>
          <w:marBottom w:val="0"/>
          <w:divBdr>
            <w:top w:val="none" w:sz="0" w:space="0" w:color="auto"/>
            <w:left w:val="none" w:sz="0" w:space="0" w:color="auto"/>
            <w:bottom w:val="none" w:sz="0" w:space="0" w:color="auto"/>
            <w:right w:val="none" w:sz="0" w:space="0" w:color="auto"/>
          </w:divBdr>
        </w:div>
        <w:div w:id="413867840">
          <w:marLeft w:val="0"/>
          <w:marRight w:val="0"/>
          <w:marTop w:val="0"/>
          <w:marBottom w:val="0"/>
          <w:divBdr>
            <w:top w:val="none" w:sz="0" w:space="0" w:color="auto"/>
            <w:left w:val="none" w:sz="0" w:space="0" w:color="auto"/>
            <w:bottom w:val="none" w:sz="0" w:space="0" w:color="auto"/>
            <w:right w:val="none" w:sz="0" w:space="0" w:color="auto"/>
          </w:divBdr>
        </w:div>
        <w:div w:id="418872982">
          <w:marLeft w:val="0"/>
          <w:marRight w:val="0"/>
          <w:marTop w:val="0"/>
          <w:marBottom w:val="0"/>
          <w:divBdr>
            <w:top w:val="none" w:sz="0" w:space="0" w:color="auto"/>
            <w:left w:val="none" w:sz="0" w:space="0" w:color="auto"/>
            <w:bottom w:val="none" w:sz="0" w:space="0" w:color="auto"/>
            <w:right w:val="none" w:sz="0" w:space="0" w:color="auto"/>
          </w:divBdr>
        </w:div>
        <w:div w:id="425272702">
          <w:marLeft w:val="0"/>
          <w:marRight w:val="0"/>
          <w:marTop w:val="0"/>
          <w:marBottom w:val="0"/>
          <w:divBdr>
            <w:top w:val="none" w:sz="0" w:space="0" w:color="auto"/>
            <w:left w:val="none" w:sz="0" w:space="0" w:color="auto"/>
            <w:bottom w:val="none" w:sz="0" w:space="0" w:color="auto"/>
            <w:right w:val="none" w:sz="0" w:space="0" w:color="auto"/>
          </w:divBdr>
        </w:div>
        <w:div w:id="440540959">
          <w:marLeft w:val="0"/>
          <w:marRight w:val="0"/>
          <w:marTop w:val="0"/>
          <w:marBottom w:val="0"/>
          <w:divBdr>
            <w:top w:val="none" w:sz="0" w:space="0" w:color="auto"/>
            <w:left w:val="none" w:sz="0" w:space="0" w:color="auto"/>
            <w:bottom w:val="none" w:sz="0" w:space="0" w:color="auto"/>
            <w:right w:val="none" w:sz="0" w:space="0" w:color="auto"/>
          </w:divBdr>
        </w:div>
        <w:div w:id="445007616">
          <w:marLeft w:val="0"/>
          <w:marRight w:val="0"/>
          <w:marTop w:val="0"/>
          <w:marBottom w:val="0"/>
          <w:divBdr>
            <w:top w:val="none" w:sz="0" w:space="0" w:color="auto"/>
            <w:left w:val="none" w:sz="0" w:space="0" w:color="auto"/>
            <w:bottom w:val="none" w:sz="0" w:space="0" w:color="auto"/>
            <w:right w:val="none" w:sz="0" w:space="0" w:color="auto"/>
          </w:divBdr>
        </w:div>
        <w:div w:id="445084153">
          <w:marLeft w:val="0"/>
          <w:marRight w:val="0"/>
          <w:marTop w:val="0"/>
          <w:marBottom w:val="0"/>
          <w:divBdr>
            <w:top w:val="none" w:sz="0" w:space="0" w:color="auto"/>
            <w:left w:val="none" w:sz="0" w:space="0" w:color="auto"/>
            <w:bottom w:val="none" w:sz="0" w:space="0" w:color="auto"/>
            <w:right w:val="none" w:sz="0" w:space="0" w:color="auto"/>
          </w:divBdr>
        </w:div>
        <w:div w:id="477649653">
          <w:marLeft w:val="0"/>
          <w:marRight w:val="0"/>
          <w:marTop w:val="0"/>
          <w:marBottom w:val="0"/>
          <w:divBdr>
            <w:top w:val="none" w:sz="0" w:space="0" w:color="auto"/>
            <w:left w:val="none" w:sz="0" w:space="0" w:color="auto"/>
            <w:bottom w:val="none" w:sz="0" w:space="0" w:color="auto"/>
            <w:right w:val="none" w:sz="0" w:space="0" w:color="auto"/>
          </w:divBdr>
        </w:div>
        <w:div w:id="479736012">
          <w:marLeft w:val="0"/>
          <w:marRight w:val="0"/>
          <w:marTop w:val="0"/>
          <w:marBottom w:val="0"/>
          <w:divBdr>
            <w:top w:val="none" w:sz="0" w:space="0" w:color="auto"/>
            <w:left w:val="none" w:sz="0" w:space="0" w:color="auto"/>
            <w:bottom w:val="none" w:sz="0" w:space="0" w:color="auto"/>
            <w:right w:val="none" w:sz="0" w:space="0" w:color="auto"/>
          </w:divBdr>
        </w:div>
        <w:div w:id="483737409">
          <w:marLeft w:val="0"/>
          <w:marRight w:val="0"/>
          <w:marTop w:val="0"/>
          <w:marBottom w:val="0"/>
          <w:divBdr>
            <w:top w:val="none" w:sz="0" w:space="0" w:color="auto"/>
            <w:left w:val="none" w:sz="0" w:space="0" w:color="auto"/>
            <w:bottom w:val="none" w:sz="0" w:space="0" w:color="auto"/>
            <w:right w:val="none" w:sz="0" w:space="0" w:color="auto"/>
          </w:divBdr>
        </w:div>
        <w:div w:id="517472520">
          <w:marLeft w:val="0"/>
          <w:marRight w:val="0"/>
          <w:marTop w:val="0"/>
          <w:marBottom w:val="0"/>
          <w:divBdr>
            <w:top w:val="none" w:sz="0" w:space="0" w:color="auto"/>
            <w:left w:val="none" w:sz="0" w:space="0" w:color="auto"/>
            <w:bottom w:val="none" w:sz="0" w:space="0" w:color="auto"/>
            <w:right w:val="none" w:sz="0" w:space="0" w:color="auto"/>
          </w:divBdr>
        </w:div>
        <w:div w:id="529224088">
          <w:marLeft w:val="0"/>
          <w:marRight w:val="0"/>
          <w:marTop w:val="0"/>
          <w:marBottom w:val="0"/>
          <w:divBdr>
            <w:top w:val="none" w:sz="0" w:space="0" w:color="auto"/>
            <w:left w:val="none" w:sz="0" w:space="0" w:color="auto"/>
            <w:bottom w:val="none" w:sz="0" w:space="0" w:color="auto"/>
            <w:right w:val="none" w:sz="0" w:space="0" w:color="auto"/>
          </w:divBdr>
        </w:div>
        <w:div w:id="536506794">
          <w:marLeft w:val="0"/>
          <w:marRight w:val="0"/>
          <w:marTop w:val="0"/>
          <w:marBottom w:val="0"/>
          <w:divBdr>
            <w:top w:val="none" w:sz="0" w:space="0" w:color="auto"/>
            <w:left w:val="none" w:sz="0" w:space="0" w:color="auto"/>
            <w:bottom w:val="none" w:sz="0" w:space="0" w:color="auto"/>
            <w:right w:val="none" w:sz="0" w:space="0" w:color="auto"/>
          </w:divBdr>
        </w:div>
        <w:div w:id="538323879">
          <w:marLeft w:val="0"/>
          <w:marRight w:val="0"/>
          <w:marTop w:val="0"/>
          <w:marBottom w:val="0"/>
          <w:divBdr>
            <w:top w:val="none" w:sz="0" w:space="0" w:color="auto"/>
            <w:left w:val="none" w:sz="0" w:space="0" w:color="auto"/>
            <w:bottom w:val="none" w:sz="0" w:space="0" w:color="auto"/>
            <w:right w:val="none" w:sz="0" w:space="0" w:color="auto"/>
          </w:divBdr>
        </w:div>
        <w:div w:id="550920069">
          <w:marLeft w:val="0"/>
          <w:marRight w:val="0"/>
          <w:marTop w:val="0"/>
          <w:marBottom w:val="0"/>
          <w:divBdr>
            <w:top w:val="none" w:sz="0" w:space="0" w:color="auto"/>
            <w:left w:val="none" w:sz="0" w:space="0" w:color="auto"/>
            <w:bottom w:val="none" w:sz="0" w:space="0" w:color="auto"/>
            <w:right w:val="none" w:sz="0" w:space="0" w:color="auto"/>
          </w:divBdr>
        </w:div>
        <w:div w:id="551581758">
          <w:marLeft w:val="0"/>
          <w:marRight w:val="0"/>
          <w:marTop w:val="0"/>
          <w:marBottom w:val="0"/>
          <w:divBdr>
            <w:top w:val="none" w:sz="0" w:space="0" w:color="auto"/>
            <w:left w:val="none" w:sz="0" w:space="0" w:color="auto"/>
            <w:bottom w:val="none" w:sz="0" w:space="0" w:color="auto"/>
            <w:right w:val="none" w:sz="0" w:space="0" w:color="auto"/>
          </w:divBdr>
        </w:div>
        <w:div w:id="557667576">
          <w:marLeft w:val="0"/>
          <w:marRight w:val="0"/>
          <w:marTop w:val="0"/>
          <w:marBottom w:val="0"/>
          <w:divBdr>
            <w:top w:val="none" w:sz="0" w:space="0" w:color="auto"/>
            <w:left w:val="none" w:sz="0" w:space="0" w:color="auto"/>
            <w:bottom w:val="none" w:sz="0" w:space="0" w:color="auto"/>
            <w:right w:val="none" w:sz="0" w:space="0" w:color="auto"/>
          </w:divBdr>
        </w:div>
        <w:div w:id="559556463">
          <w:marLeft w:val="0"/>
          <w:marRight w:val="0"/>
          <w:marTop w:val="0"/>
          <w:marBottom w:val="0"/>
          <w:divBdr>
            <w:top w:val="none" w:sz="0" w:space="0" w:color="auto"/>
            <w:left w:val="none" w:sz="0" w:space="0" w:color="auto"/>
            <w:bottom w:val="none" w:sz="0" w:space="0" w:color="auto"/>
            <w:right w:val="none" w:sz="0" w:space="0" w:color="auto"/>
          </w:divBdr>
        </w:div>
        <w:div w:id="572814166">
          <w:marLeft w:val="0"/>
          <w:marRight w:val="0"/>
          <w:marTop w:val="0"/>
          <w:marBottom w:val="0"/>
          <w:divBdr>
            <w:top w:val="none" w:sz="0" w:space="0" w:color="auto"/>
            <w:left w:val="none" w:sz="0" w:space="0" w:color="auto"/>
            <w:bottom w:val="none" w:sz="0" w:space="0" w:color="auto"/>
            <w:right w:val="none" w:sz="0" w:space="0" w:color="auto"/>
          </w:divBdr>
        </w:div>
        <w:div w:id="573011371">
          <w:marLeft w:val="0"/>
          <w:marRight w:val="0"/>
          <w:marTop w:val="0"/>
          <w:marBottom w:val="0"/>
          <w:divBdr>
            <w:top w:val="none" w:sz="0" w:space="0" w:color="auto"/>
            <w:left w:val="none" w:sz="0" w:space="0" w:color="auto"/>
            <w:bottom w:val="none" w:sz="0" w:space="0" w:color="auto"/>
            <w:right w:val="none" w:sz="0" w:space="0" w:color="auto"/>
          </w:divBdr>
        </w:div>
        <w:div w:id="574363679">
          <w:marLeft w:val="0"/>
          <w:marRight w:val="0"/>
          <w:marTop w:val="0"/>
          <w:marBottom w:val="0"/>
          <w:divBdr>
            <w:top w:val="none" w:sz="0" w:space="0" w:color="auto"/>
            <w:left w:val="none" w:sz="0" w:space="0" w:color="auto"/>
            <w:bottom w:val="none" w:sz="0" w:space="0" w:color="auto"/>
            <w:right w:val="none" w:sz="0" w:space="0" w:color="auto"/>
          </w:divBdr>
        </w:div>
        <w:div w:id="602151708">
          <w:marLeft w:val="0"/>
          <w:marRight w:val="0"/>
          <w:marTop w:val="0"/>
          <w:marBottom w:val="0"/>
          <w:divBdr>
            <w:top w:val="none" w:sz="0" w:space="0" w:color="auto"/>
            <w:left w:val="none" w:sz="0" w:space="0" w:color="auto"/>
            <w:bottom w:val="none" w:sz="0" w:space="0" w:color="auto"/>
            <w:right w:val="none" w:sz="0" w:space="0" w:color="auto"/>
          </w:divBdr>
        </w:div>
        <w:div w:id="635335161">
          <w:marLeft w:val="0"/>
          <w:marRight w:val="0"/>
          <w:marTop w:val="0"/>
          <w:marBottom w:val="0"/>
          <w:divBdr>
            <w:top w:val="none" w:sz="0" w:space="0" w:color="auto"/>
            <w:left w:val="none" w:sz="0" w:space="0" w:color="auto"/>
            <w:bottom w:val="none" w:sz="0" w:space="0" w:color="auto"/>
            <w:right w:val="none" w:sz="0" w:space="0" w:color="auto"/>
          </w:divBdr>
        </w:div>
        <w:div w:id="654528727">
          <w:marLeft w:val="0"/>
          <w:marRight w:val="0"/>
          <w:marTop w:val="0"/>
          <w:marBottom w:val="0"/>
          <w:divBdr>
            <w:top w:val="none" w:sz="0" w:space="0" w:color="auto"/>
            <w:left w:val="none" w:sz="0" w:space="0" w:color="auto"/>
            <w:bottom w:val="none" w:sz="0" w:space="0" w:color="auto"/>
            <w:right w:val="none" w:sz="0" w:space="0" w:color="auto"/>
          </w:divBdr>
        </w:div>
        <w:div w:id="656614663">
          <w:marLeft w:val="0"/>
          <w:marRight w:val="0"/>
          <w:marTop w:val="0"/>
          <w:marBottom w:val="0"/>
          <w:divBdr>
            <w:top w:val="none" w:sz="0" w:space="0" w:color="auto"/>
            <w:left w:val="none" w:sz="0" w:space="0" w:color="auto"/>
            <w:bottom w:val="none" w:sz="0" w:space="0" w:color="auto"/>
            <w:right w:val="none" w:sz="0" w:space="0" w:color="auto"/>
          </w:divBdr>
        </w:div>
        <w:div w:id="682054006">
          <w:marLeft w:val="0"/>
          <w:marRight w:val="0"/>
          <w:marTop w:val="0"/>
          <w:marBottom w:val="0"/>
          <w:divBdr>
            <w:top w:val="none" w:sz="0" w:space="0" w:color="auto"/>
            <w:left w:val="none" w:sz="0" w:space="0" w:color="auto"/>
            <w:bottom w:val="none" w:sz="0" w:space="0" w:color="auto"/>
            <w:right w:val="none" w:sz="0" w:space="0" w:color="auto"/>
          </w:divBdr>
        </w:div>
        <w:div w:id="683214934">
          <w:marLeft w:val="0"/>
          <w:marRight w:val="0"/>
          <w:marTop w:val="0"/>
          <w:marBottom w:val="0"/>
          <w:divBdr>
            <w:top w:val="none" w:sz="0" w:space="0" w:color="auto"/>
            <w:left w:val="none" w:sz="0" w:space="0" w:color="auto"/>
            <w:bottom w:val="none" w:sz="0" w:space="0" w:color="auto"/>
            <w:right w:val="none" w:sz="0" w:space="0" w:color="auto"/>
          </w:divBdr>
        </w:div>
        <w:div w:id="709918337">
          <w:marLeft w:val="0"/>
          <w:marRight w:val="0"/>
          <w:marTop w:val="0"/>
          <w:marBottom w:val="0"/>
          <w:divBdr>
            <w:top w:val="none" w:sz="0" w:space="0" w:color="auto"/>
            <w:left w:val="none" w:sz="0" w:space="0" w:color="auto"/>
            <w:bottom w:val="none" w:sz="0" w:space="0" w:color="auto"/>
            <w:right w:val="none" w:sz="0" w:space="0" w:color="auto"/>
          </w:divBdr>
        </w:div>
        <w:div w:id="714037413">
          <w:marLeft w:val="0"/>
          <w:marRight w:val="0"/>
          <w:marTop w:val="0"/>
          <w:marBottom w:val="0"/>
          <w:divBdr>
            <w:top w:val="none" w:sz="0" w:space="0" w:color="auto"/>
            <w:left w:val="none" w:sz="0" w:space="0" w:color="auto"/>
            <w:bottom w:val="none" w:sz="0" w:space="0" w:color="auto"/>
            <w:right w:val="none" w:sz="0" w:space="0" w:color="auto"/>
          </w:divBdr>
        </w:div>
        <w:div w:id="725568654">
          <w:marLeft w:val="0"/>
          <w:marRight w:val="0"/>
          <w:marTop w:val="0"/>
          <w:marBottom w:val="0"/>
          <w:divBdr>
            <w:top w:val="none" w:sz="0" w:space="0" w:color="auto"/>
            <w:left w:val="none" w:sz="0" w:space="0" w:color="auto"/>
            <w:bottom w:val="none" w:sz="0" w:space="0" w:color="auto"/>
            <w:right w:val="none" w:sz="0" w:space="0" w:color="auto"/>
          </w:divBdr>
        </w:div>
        <w:div w:id="728724575">
          <w:marLeft w:val="0"/>
          <w:marRight w:val="0"/>
          <w:marTop w:val="0"/>
          <w:marBottom w:val="0"/>
          <w:divBdr>
            <w:top w:val="none" w:sz="0" w:space="0" w:color="auto"/>
            <w:left w:val="none" w:sz="0" w:space="0" w:color="auto"/>
            <w:bottom w:val="none" w:sz="0" w:space="0" w:color="auto"/>
            <w:right w:val="none" w:sz="0" w:space="0" w:color="auto"/>
          </w:divBdr>
        </w:div>
        <w:div w:id="729691021">
          <w:marLeft w:val="0"/>
          <w:marRight w:val="0"/>
          <w:marTop w:val="0"/>
          <w:marBottom w:val="0"/>
          <w:divBdr>
            <w:top w:val="none" w:sz="0" w:space="0" w:color="auto"/>
            <w:left w:val="none" w:sz="0" w:space="0" w:color="auto"/>
            <w:bottom w:val="none" w:sz="0" w:space="0" w:color="auto"/>
            <w:right w:val="none" w:sz="0" w:space="0" w:color="auto"/>
          </w:divBdr>
        </w:div>
        <w:div w:id="733309467">
          <w:marLeft w:val="0"/>
          <w:marRight w:val="0"/>
          <w:marTop w:val="0"/>
          <w:marBottom w:val="0"/>
          <w:divBdr>
            <w:top w:val="none" w:sz="0" w:space="0" w:color="auto"/>
            <w:left w:val="none" w:sz="0" w:space="0" w:color="auto"/>
            <w:bottom w:val="none" w:sz="0" w:space="0" w:color="auto"/>
            <w:right w:val="none" w:sz="0" w:space="0" w:color="auto"/>
          </w:divBdr>
        </w:div>
        <w:div w:id="733360654">
          <w:marLeft w:val="0"/>
          <w:marRight w:val="0"/>
          <w:marTop w:val="0"/>
          <w:marBottom w:val="0"/>
          <w:divBdr>
            <w:top w:val="none" w:sz="0" w:space="0" w:color="auto"/>
            <w:left w:val="none" w:sz="0" w:space="0" w:color="auto"/>
            <w:bottom w:val="none" w:sz="0" w:space="0" w:color="auto"/>
            <w:right w:val="none" w:sz="0" w:space="0" w:color="auto"/>
          </w:divBdr>
        </w:div>
        <w:div w:id="743331455">
          <w:marLeft w:val="0"/>
          <w:marRight w:val="0"/>
          <w:marTop w:val="0"/>
          <w:marBottom w:val="0"/>
          <w:divBdr>
            <w:top w:val="none" w:sz="0" w:space="0" w:color="auto"/>
            <w:left w:val="none" w:sz="0" w:space="0" w:color="auto"/>
            <w:bottom w:val="none" w:sz="0" w:space="0" w:color="auto"/>
            <w:right w:val="none" w:sz="0" w:space="0" w:color="auto"/>
          </w:divBdr>
        </w:div>
        <w:div w:id="744185091">
          <w:marLeft w:val="0"/>
          <w:marRight w:val="0"/>
          <w:marTop w:val="0"/>
          <w:marBottom w:val="0"/>
          <w:divBdr>
            <w:top w:val="none" w:sz="0" w:space="0" w:color="auto"/>
            <w:left w:val="none" w:sz="0" w:space="0" w:color="auto"/>
            <w:bottom w:val="none" w:sz="0" w:space="0" w:color="auto"/>
            <w:right w:val="none" w:sz="0" w:space="0" w:color="auto"/>
          </w:divBdr>
        </w:div>
        <w:div w:id="746077746">
          <w:marLeft w:val="0"/>
          <w:marRight w:val="0"/>
          <w:marTop w:val="0"/>
          <w:marBottom w:val="0"/>
          <w:divBdr>
            <w:top w:val="none" w:sz="0" w:space="0" w:color="auto"/>
            <w:left w:val="none" w:sz="0" w:space="0" w:color="auto"/>
            <w:bottom w:val="none" w:sz="0" w:space="0" w:color="auto"/>
            <w:right w:val="none" w:sz="0" w:space="0" w:color="auto"/>
          </w:divBdr>
        </w:div>
        <w:div w:id="755369233">
          <w:marLeft w:val="0"/>
          <w:marRight w:val="0"/>
          <w:marTop w:val="0"/>
          <w:marBottom w:val="0"/>
          <w:divBdr>
            <w:top w:val="none" w:sz="0" w:space="0" w:color="auto"/>
            <w:left w:val="none" w:sz="0" w:space="0" w:color="auto"/>
            <w:bottom w:val="none" w:sz="0" w:space="0" w:color="auto"/>
            <w:right w:val="none" w:sz="0" w:space="0" w:color="auto"/>
          </w:divBdr>
        </w:div>
        <w:div w:id="766660348">
          <w:marLeft w:val="0"/>
          <w:marRight w:val="0"/>
          <w:marTop w:val="0"/>
          <w:marBottom w:val="0"/>
          <w:divBdr>
            <w:top w:val="none" w:sz="0" w:space="0" w:color="auto"/>
            <w:left w:val="none" w:sz="0" w:space="0" w:color="auto"/>
            <w:bottom w:val="none" w:sz="0" w:space="0" w:color="auto"/>
            <w:right w:val="none" w:sz="0" w:space="0" w:color="auto"/>
          </w:divBdr>
        </w:div>
        <w:div w:id="768819862">
          <w:marLeft w:val="0"/>
          <w:marRight w:val="0"/>
          <w:marTop w:val="0"/>
          <w:marBottom w:val="0"/>
          <w:divBdr>
            <w:top w:val="none" w:sz="0" w:space="0" w:color="auto"/>
            <w:left w:val="none" w:sz="0" w:space="0" w:color="auto"/>
            <w:bottom w:val="none" w:sz="0" w:space="0" w:color="auto"/>
            <w:right w:val="none" w:sz="0" w:space="0" w:color="auto"/>
          </w:divBdr>
        </w:div>
        <w:div w:id="784154580">
          <w:marLeft w:val="0"/>
          <w:marRight w:val="0"/>
          <w:marTop w:val="0"/>
          <w:marBottom w:val="0"/>
          <w:divBdr>
            <w:top w:val="none" w:sz="0" w:space="0" w:color="auto"/>
            <w:left w:val="none" w:sz="0" w:space="0" w:color="auto"/>
            <w:bottom w:val="none" w:sz="0" w:space="0" w:color="auto"/>
            <w:right w:val="none" w:sz="0" w:space="0" w:color="auto"/>
          </w:divBdr>
        </w:div>
        <w:div w:id="787773683">
          <w:marLeft w:val="0"/>
          <w:marRight w:val="0"/>
          <w:marTop w:val="0"/>
          <w:marBottom w:val="0"/>
          <w:divBdr>
            <w:top w:val="none" w:sz="0" w:space="0" w:color="auto"/>
            <w:left w:val="none" w:sz="0" w:space="0" w:color="auto"/>
            <w:bottom w:val="none" w:sz="0" w:space="0" w:color="auto"/>
            <w:right w:val="none" w:sz="0" w:space="0" w:color="auto"/>
          </w:divBdr>
        </w:div>
        <w:div w:id="802188212">
          <w:marLeft w:val="0"/>
          <w:marRight w:val="0"/>
          <w:marTop w:val="0"/>
          <w:marBottom w:val="0"/>
          <w:divBdr>
            <w:top w:val="none" w:sz="0" w:space="0" w:color="auto"/>
            <w:left w:val="none" w:sz="0" w:space="0" w:color="auto"/>
            <w:bottom w:val="none" w:sz="0" w:space="0" w:color="auto"/>
            <w:right w:val="none" w:sz="0" w:space="0" w:color="auto"/>
          </w:divBdr>
        </w:div>
        <w:div w:id="804930584">
          <w:marLeft w:val="0"/>
          <w:marRight w:val="0"/>
          <w:marTop w:val="0"/>
          <w:marBottom w:val="0"/>
          <w:divBdr>
            <w:top w:val="none" w:sz="0" w:space="0" w:color="auto"/>
            <w:left w:val="none" w:sz="0" w:space="0" w:color="auto"/>
            <w:bottom w:val="none" w:sz="0" w:space="0" w:color="auto"/>
            <w:right w:val="none" w:sz="0" w:space="0" w:color="auto"/>
          </w:divBdr>
        </w:div>
        <w:div w:id="808862954">
          <w:marLeft w:val="0"/>
          <w:marRight w:val="0"/>
          <w:marTop w:val="0"/>
          <w:marBottom w:val="0"/>
          <w:divBdr>
            <w:top w:val="none" w:sz="0" w:space="0" w:color="auto"/>
            <w:left w:val="none" w:sz="0" w:space="0" w:color="auto"/>
            <w:bottom w:val="none" w:sz="0" w:space="0" w:color="auto"/>
            <w:right w:val="none" w:sz="0" w:space="0" w:color="auto"/>
          </w:divBdr>
        </w:div>
        <w:div w:id="816846882">
          <w:marLeft w:val="0"/>
          <w:marRight w:val="0"/>
          <w:marTop w:val="0"/>
          <w:marBottom w:val="0"/>
          <w:divBdr>
            <w:top w:val="none" w:sz="0" w:space="0" w:color="auto"/>
            <w:left w:val="none" w:sz="0" w:space="0" w:color="auto"/>
            <w:bottom w:val="none" w:sz="0" w:space="0" w:color="auto"/>
            <w:right w:val="none" w:sz="0" w:space="0" w:color="auto"/>
          </w:divBdr>
        </w:div>
        <w:div w:id="831406210">
          <w:marLeft w:val="0"/>
          <w:marRight w:val="0"/>
          <w:marTop w:val="0"/>
          <w:marBottom w:val="0"/>
          <w:divBdr>
            <w:top w:val="none" w:sz="0" w:space="0" w:color="auto"/>
            <w:left w:val="none" w:sz="0" w:space="0" w:color="auto"/>
            <w:bottom w:val="none" w:sz="0" w:space="0" w:color="auto"/>
            <w:right w:val="none" w:sz="0" w:space="0" w:color="auto"/>
          </w:divBdr>
        </w:div>
        <w:div w:id="848102836">
          <w:marLeft w:val="0"/>
          <w:marRight w:val="0"/>
          <w:marTop w:val="0"/>
          <w:marBottom w:val="0"/>
          <w:divBdr>
            <w:top w:val="none" w:sz="0" w:space="0" w:color="auto"/>
            <w:left w:val="none" w:sz="0" w:space="0" w:color="auto"/>
            <w:bottom w:val="none" w:sz="0" w:space="0" w:color="auto"/>
            <w:right w:val="none" w:sz="0" w:space="0" w:color="auto"/>
          </w:divBdr>
        </w:div>
        <w:div w:id="860624626">
          <w:marLeft w:val="0"/>
          <w:marRight w:val="0"/>
          <w:marTop w:val="0"/>
          <w:marBottom w:val="0"/>
          <w:divBdr>
            <w:top w:val="none" w:sz="0" w:space="0" w:color="auto"/>
            <w:left w:val="none" w:sz="0" w:space="0" w:color="auto"/>
            <w:bottom w:val="none" w:sz="0" w:space="0" w:color="auto"/>
            <w:right w:val="none" w:sz="0" w:space="0" w:color="auto"/>
          </w:divBdr>
        </w:div>
        <w:div w:id="877858009">
          <w:marLeft w:val="0"/>
          <w:marRight w:val="0"/>
          <w:marTop w:val="0"/>
          <w:marBottom w:val="0"/>
          <w:divBdr>
            <w:top w:val="none" w:sz="0" w:space="0" w:color="auto"/>
            <w:left w:val="none" w:sz="0" w:space="0" w:color="auto"/>
            <w:bottom w:val="none" w:sz="0" w:space="0" w:color="auto"/>
            <w:right w:val="none" w:sz="0" w:space="0" w:color="auto"/>
          </w:divBdr>
        </w:div>
        <w:div w:id="908807062">
          <w:marLeft w:val="0"/>
          <w:marRight w:val="0"/>
          <w:marTop w:val="0"/>
          <w:marBottom w:val="0"/>
          <w:divBdr>
            <w:top w:val="none" w:sz="0" w:space="0" w:color="auto"/>
            <w:left w:val="none" w:sz="0" w:space="0" w:color="auto"/>
            <w:bottom w:val="none" w:sz="0" w:space="0" w:color="auto"/>
            <w:right w:val="none" w:sz="0" w:space="0" w:color="auto"/>
          </w:divBdr>
        </w:div>
        <w:div w:id="923416009">
          <w:marLeft w:val="0"/>
          <w:marRight w:val="0"/>
          <w:marTop w:val="0"/>
          <w:marBottom w:val="0"/>
          <w:divBdr>
            <w:top w:val="none" w:sz="0" w:space="0" w:color="auto"/>
            <w:left w:val="none" w:sz="0" w:space="0" w:color="auto"/>
            <w:bottom w:val="none" w:sz="0" w:space="0" w:color="auto"/>
            <w:right w:val="none" w:sz="0" w:space="0" w:color="auto"/>
          </w:divBdr>
        </w:div>
        <w:div w:id="928126237">
          <w:marLeft w:val="0"/>
          <w:marRight w:val="0"/>
          <w:marTop w:val="0"/>
          <w:marBottom w:val="0"/>
          <w:divBdr>
            <w:top w:val="none" w:sz="0" w:space="0" w:color="auto"/>
            <w:left w:val="none" w:sz="0" w:space="0" w:color="auto"/>
            <w:bottom w:val="none" w:sz="0" w:space="0" w:color="auto"/>
            <w:right w:val="none" w:sz="0" w:space="0" w:color="auto"/>
          </w:divBdr>
        </w:div>
        <w:div w:id="930159504">
          <w:marLeft w:val="0"/>
          <w:marRight w:val="0"/>
          <w:marTop w:val="0"/>
          <w:marBottom w:val="0"/>
          <w:divBdr>
            <w:top w:val="none" w:sz="0" w:space="0" w:color="auto"/>
            <w:left w:val="none" w:sz="0" w:space="0" w:color="auto"/>
            <w:bottom w:val="none" w:sz="0" w:space="0" w:color="auto"/>
            <w:right w:val="none" w:sz="0" w:space="0" w:color="auto"/>
          </w:divBdr>
        </w:div>
        <w:div w:id="932665195">
          <w:marLeft w:val="0"/>
          <w:marRight w:val="0"/>
          <w:marTop w:val="0"/>
          <w:marBottom w:val="0"/>
          <w:divBdr>
            <w:top w:val="none" w:sz="0" w:space="0" w:color="auto"/>
            <w:left w:val="none" w:sz="0" w:space="0" w:color="auto"/>
            <w:bottom w:val="none" w:sz="0" w:space="0" w:color="auto"/>
            <w:right w:val="none" w:sz="0" w:space="0" w:color="auto"/>
          </w:divBdr>
        </w:div>
        <w:div w:id="942034773">
          <w:marLeft w:val="0"/>
          <w:marRight w:val="0"/>
          <w:marTop w:val="0"/>
          <w:marBottom w:val="0"/>
          <w:divBdr>
            <w:top w:val="none" w:sz="0" w:space="0" w:color="auto"/>
            <w:left w:val="none" w:sz="0" w:space="0" w:color="auto"/>
            <w:bottom w:val="none" w:sz="0" w:space="0" w:color="auto"/>
            <w:right w:val="none" w:sz="0" w:space="0" w:color="auto"/>
          </w:divBdr>
        </w:div>
        <w:div w:id="945503601">
          <w:marLeft w:val="0"/>
          <w:marRight w:val="0"/>
          <w:marTop w:val="0"/>
          <w:marBottom w:val="0"/>
          <w:divBdr>
            <w:top w:val="none" w:sz="0" w:space="0" w:color="auto"/>
            <w:left w:val="none" w:sz="0" w:space="0" w:color="auto"/>
            <w:bottom w:val="none" w:sz="0" w:space="0" w:color="auto"/>
            <w:right w:val="none" w:sz="0" w:space="0" w:color="auto"/>
          </w:divBdr>
        </w:div>
        <w:div w:id="950479254">
          <w:marLeft w:val="0"/>
          <w:marRight w:val="0"/>
          <w:marTop w:val="0"/>
          <w:marBottom w:val="0"/>
          <w:divBdr>
            <w:top w:val="none" w:sz="0" w:space="0" w:color="auto"/>
            <w:left w:val="none" w:sz="0" w:space="0" w:color="auto"/>
            <w:bottom w:val="none" w:sz="0" w:space="0" w:color="auto"/>
            <w:right w:val="none" w:sz="0" w:space="0" w:color="auto"/>
          </w:divBdr>
        </w:div>
        <w:div w:id="956453212">
          <w:marLeft w:val="0"/>
          <w:marRight w:val="0"/>
          <w:marTop w:val="0"/>
          <w:marBottom w:val="0"/>
          <w:divBdr>
            <w:top w:val="none" w:sz="0" w:space="0" w:color="auto"/>
            <w:left w:val="none" w:sz="0" w:space="0" w:color="auto"/>
            <w:bottom w:val="none" w:sz="0" w:space="0" w:color="auto"/>
            <w:right w:val="none" w:sz="0" w:space="0" w:color="auto"/>
          </w:divBdr>
        </w:div>
        <w:div w:id="957954634">
          <w:marLeft w:val="0"/>
          <w:marRight w:val="0"/>
          <w:marTop w:val="0"/>
          <w:marBottom w:val="0"/>
          <w:divBdr>
            <w:top w:val="none" w:sz="0" w:space="0" w:color="auto"/>
            <w:left w:val="none" w:sz="0" w:space="0" w:color="auto"/>
            <w:bottom w:val="none" w:sz="0" w:space="0" w:color="auto"/>
            <w:right w:val="none" w:sz="0" w:space="0" w:color="auto"/>
          </w:divBdr>
        </w:div>
        <w:div w:id="968629530">
          <w:marLeft w:val="0"/>
          <w:marRight w:val="0"/>
          <w:marTop w:val="0"/>
          <w:marBottom w:val="0"/>
          <w:divBdr>
            <w:top w:val="none" w:sz="0" w:space="0" w:color="auto"/>
            <w:left w:val="none" w:sz="0" w:space="0" w:color="auto"/>
            <w:bottom w:val="none" w:sz="0" w:space="0" w:color="auto"/>
            <w:right w:val="none" w:sz="0" w:space="0" w:color="auto"/>
          </w:divBdr>
        </w:div>
        <w:div w:id="973097990">
          <w:marLeft w:val="0"/>
          <w:marRight w:val="0"/>
          <w:marTop w:val="0"/>
          <w:marBottom w:val="0"/>
          <w:divBdr>
            <w:top w:val="none" w:sz="0" w:space="0" w:color="auto"/>
            <w:left w:val="none" w:sz="0" w:space="0" w:color="auto"/>
            <w:bottom w:val="none" w:sz="0" w:space="0" w:color="auto"/>
            <w:right w:val="none" w:sz="0" w:space="0" w:color="auto"/>
          </w:divBdr>
        </w:div>
        <w:div w:id="982737376">
          <w:marLeft w:val="0"/>
          <w:marRight w:val="0"/>
          <w:marTop w:val="0"/>
          <w:marBottom w:val="0"/>
          <w:divBdr>
            <w:top w:val="none" w:sz="0" w:space="0" w:color="auto"/>
            <w:left w:val="none" w:sz="0" w:space="0" w:color="auto"/>
            <w:bottom w:val="none" w:sz="0" w:space="0" w:color="auto"/>
            <w:right w:val="none" w:sz="0" w:space="0" w:color="auto"/>
          </w:divBdr>
        </w:div>
        <w:div w:id="991325040">
          <w:marLeft w:val="0"/>
          <w:marRight w:val="0"/>
          <w:marTop w:val="0"/>
          <w:marBottom w:val="0"/>
          <w:divBdr>
            <w:top w:val="none" w:sz="0" w:space="0" w:color="auto"/>
            <w:left w:val="none" w:sz="0" w:space="0" w:color="auto"/>
            <w:bottom w:val="none" w:sz="0" w:space="0" w:color="auto"/>
            <w:right w:val="none" w:sz="0" w:space="0" w:color="auto"/>
          </w:divBdr>
        </w:div>
        <w:div w:id="994996025">
          <w:marLeft w:val="0"/>
          <w:marRight w:val="0"/>
          <w:marTop w:val="0"/>
          <w:marBottom w:val="0"/>
          <w:divBdr>
            <w:top w:val="none" w:sz="0" w:space="0" w:color="auto"/>
            <w:left w:val="none" w:sz="0" w:space="0" w:color="auto"/>
            <w:bottom w:val="none" w:sz="0" w:space="0" w:color="auto"/>
            <w:right w:val="none" w:sz="0" w:space="0" w:color="auto"/>
          </w:divBdr>
        </w:div>
        <w:div w:id="1007975476">
          <w:marLeft w:val="0"/>
          <w:marRight w:val="0"/>
          <w:marTop w:val="0"/>
          <w:marBottom w:val="0"/>
          <w:divBdr>
            <w:top w:val="none" w:sz="0" w:space="0" w:color="auto"/>
            <w:left w:val="none" w:sz="0" w:space="0" w:color="auto"/>
            <w:bottom w:val="none" w:sz="0" w:space="0" w:color="auto"/>
            <w:right w:val="none" w:sz="0" w:space="0" w:color="auto"/>
          </w:divBdr>
        </w:div>
        <w:div w:id="1008603039">
          <w:marLeft w:val="0"/>
          <w:marRight w:val="0"/>
          <w:marTop w:val="0"/>
          <w:marBottom w:val="0"/>
          <w:divBdr>
            <w:top w:val="none" w:sz="0" w:space="0" w:color="auto"/>
            <w:left w:val="none" w:sz="0" w:space="0" w:color="auto"/>
            <w:bottom w:val="none" w:sz="0" w:space="0" w:color="auto"/>
            <w:right w:val="none" w:sz="0" w:space="0" w:color="auto"/>
          </w:divBdr>
        </w:div>
        <w:div w:id="1026635615">
          <w:marLeft w:val="0"/>
          <w:marRight w:val="0"/>
          <w:marTop w:val="0"/>
          <w:marBottom w:val="0"/>
          <w:divBdr>
            <w:top w:val="none" w:sz="0" w:space="0" w:color="auto"/>
            <w:left w:val="none" w:sz="0" w:space="0" w:color="auto"/>
            <w:bottom w:val="none" w:sz="0" w:space="0" w:color="auto"/>
            <w:right w:val="none" w:sz="0" w:space="0" w:color="auto"/>
          </w:divBdr>
        </w:div>
        <w:div w:id="1031227290">
          <w:marLeft w:val="0"/>
          <w:marRight w:val="0"/>
          <w:marTop w:val="0"/>
          <w:marBottom w:val="0"/>
          <w:divBdr>
            <w:top w:val="none" w:sz="0" w:space="0" w:color="auto"/>
            <w:left w:val="none" w:sz="0" w:space="0" w:color="auto"/>
            <w:bottom w:val="none" w:sz="0" w:space="0" w:color="auto"/>
            <w:right w:val="none" w:sz="0" w:space="0" w:color="auto"/>
          </w:divBdr>
        </w:div>
        <w:div w:id="1053038156">
          <w:marLeft w:val="0"/>
          <w:marRight w:val="0"/>
          <w:marTop w:val="0"/>
          <w:marBottom w:val="0"/>
          <w:divBdr>
            <w:top w:val="none" w:sz="0" w:space="0" w:color="auto"/>
            <w:left w:val="none" w:sz="0" w:space="0" w:color="auto"/>
            <w:bottom w:val="none" w:sz="0" w:space="0" w:color="auto"/>
            <w:right w:val="none" w:sz="0" w:space="0" w:color="auto"/>
          </w:divBdr>
        </w:div>
        <w:div w:id="1053889150">
          <w:marLeft w:val="0"/>
          <w:marRight w:val="0"/>
          <w:marTop w:val="0"/>
          <w:marBottom w:val="0"/>
          <w:divBdr>
            <w:top w:val="none" w:sz="0" w:space="0" w:color="auto"/>
            <w:left w:val="none" w:sz="0" w:space="0" w:color="auto"/>
            <w:bottom w:val="none" w:sz="0" w:space="0" w:color="auto"/>
            <w:right w:val="none" w:sz="0" w:space="0" w:color="auto"/>
          </w:divBdr>
        </w:div>
        <w:div w:id="1068725445">
          <w:marLeft w:val="0"/>
          <w:marRight w:val="0"/>
          <w:marTop w:val="0"/>
          <w:marBottom w:val="0"/>
          <w:divBdr>
            <w:top w:val="none" w:sz="0" w:space="0" w:color="auto"/>
            <w:left w:val="none" w:sz="0" w:space="0" w:color="auto"/>
            <w:bottom w:val="none" w:sz="0" w:space="0" w:color="auto"/>
            <w:right w:val="none" w:sz="0" w:space="0" w:color="auto"/>
          </w:divBdr>
        </w:div>
        <w:div w:id="1099059372">
          <w:marLeft w:val="0"/>
          <w:marRight w:val="0"/>
          <w:marTop w:val="0"/>
          <w:marBottom w:val="0"/>
          <w:divBdr>
            <w:top w:val="none" w:sz="0" w:space="0" w:color="auto"/>
            <w:left w:val="none" w:sz="0" w:space="0" w:color="auto"/>
            <w:bottom w:val="none" w:sz="0" w:space="0" w:color="auto"/>
            <w:right w:val="none" w:sz="0" w:space="0" w:color="auto"/>
          </w:divBdr>
        </w:div>
        <w:div w:id="1100415120">
          <w:marLeft w:val="0"/>
          <w:marRight w:val="0"/>
          <w:marTop w:val="0"/>
          <w:marBottom w:val="0"/>
          <w:divBdr>
            <w:top w:val="none" w:sz="0" w:space="0" w:color="auto"/>
            <w:left w:val="none" w:sz="0" w:space="0" w:color="auto"/>
            <w:bottom w:val="none" w:sz="0" w:space="0" w:color="auto"/>
            <w:right w:val="none" w:sz="0" w:space="0" w:color="auto"/>
          </w:divBdr>
        </w:div>
        <w:div w:id="1102146993">
          <w:marLeft w:val="0"/>
          <w:marRight w:val="0"/>
          <w:marTop w:val="0"/>
          <w:marBottom w:val="0"/>
          <w:divBdr>
            <w:top w:val="none" w:sz="0" w:space="0" w:color="auto"/>
            <w:left w:val="none" w:sz="0" w:space="0" w:color="auto"/>
            <w:bottom w:val="none" w:sz="0" w:space="0" w:color="auto"/>
            <w:right w:val="none" w:sz="0" w:space="0" w:color="auto"/>
          </w:divBdr>
        </w:div>
        <w:div w:id="1114134733">
          <w:marLeft w:val="0"/>
          <w:marRight w:val="0"/>
          <w:marTop w:val="0"/>
          <w:marBottom w:val="0"/>
          <w:divBdr>
            <w:top w:val="none" w:sz="0" w:space="0" w:color="auto"/>
            <w:left w:val="none" w:sz="0" w:space="0" w:color="auto"/>
            <w:bottom w:val="none" w:sz="0" w:space="0" w:color="auto"/>
            <w:right w:val="none" w:sz="0" w:space="0" w:color="auto"/>
          </w:divBdr>
        </w:div>
        <w:div w:id="1119646391">
          <w:marLeft w:val="0"/>
          <w:marRight w:val="0"/>
          <w:marTop w:val="0"/>
          <w:marBottom w:val="0"/>
          <w:divBdr>
            <w:top w:val="none" w:sz="0" w:space="0" w:color="auto"/>
            <w:left w:val="none" w:sz="0" w:space="0" w:color="auto"/>
            <w:bottom w:val="none" w:sz="0" w:space="0" w:color="auto"/>
            <w:right w:val="none" w:sz="0" w:space="0" w:color="auto"/>
          </w:divBdr>
        </w:div>
        <w:div w:id="1130633937">
          <w:marLeft w:val="0"/>
          <w:marRight w:val="0"/>
          <w:marTop w:val="0"/>
          <w:marBottom w:val="0"/>
          <w:divBdr>
            <w:top w:val="none" w:sz="0" w:space="0" w:color="auto"/>
            <w:left w:val="none" w:sz="0" w:space="0" w:color="auto"/>
            <w:bottom w:val="none" w:sz="0" w:space="0" w:color="auto"/>
            <w:right w:val="none" w:sz="0" w:space="0" w:color="auto"/>
          </w:divBdr>
        </w:div>
        <w:div w:id="1132944294">
          <w:marLeft w:val="0"/>
          <w:marRight w:val="0"/>
          <w:marTop w:val="0"/>
          <w:marBottom w:val="0"/>
          <w:divBdr>
            <w:top w:val="none" w:sz="0" w:space="0" w:color="auto"/>
            <w:left w:val="none" w:sz="0" w:space="0" w:color="auto"/>
            <w:bottom w:val="none" w:sz="0" w:space="0" w:color="auto"/>
            <w:right w:val="none" w:sz="0" w:space="0" w:color="auto"/>
          </w:divBdr>
        </w:div>
        <w:div w:id="1139221662">
          <w:marLeft w:val="0"/>
          <w:marRight w:val="0"/>
          <w:marTop w:val="0"/>
          <w:marBottom w:val="0"/>
          <w:divBdr>
            <w:top w:val="none" w:sz="0" w:space="0" w:color="auto"/>
            <w:left w:val="none" w:sz="0" w:space="0" w:color="auto"/>
            <w:bottom w:val="none" w:sz="0" w:space="0" w:color="auto"/>
            <w:right w:val="none" w:sz="0" w:space="0" w:color="auto"/>
          </w:divBdr>
        </w:div>
        <w:div w:id="1145968237">
          <w:marLeft w:val="0"/>
          <w:marRight w:val="0"/>
          <w:marTop w:val="0"/>
          <w:marBottom w:val="0"/>
          <w:divBdr>
            <w:top w:val="none" w:sz="0" w:space="0" w:color="auto"/>
            <w:left w:val="none" w:sz="0" w:space="0" w:color="auto"/>
            <w:bottom w:val="none" w:sz="0" w:space="0" w:color="auto"/>
            <w:right w:val="none" w:sz="0" w:space="0" w:color="auto"/>
          </w:divBdr>
        </w:div>
        <w:div w:id="1148747045">
          <w:marLeft w:val="0"/>
          <w:marRight w:val="0"/>
          <w:marTop w:val="0"/>
          <w:marBottom w:val="0"/>
          <w:divBdr>
            <w:top w:val="none" w:sz="0" w:space="0" w:color="auto"/>
            <w:left w:val="none" w:sz="0" w:space="0" w:color="auto"/>
            <w:bottom w:val="none" w:sz="0" w:space="0" w:color="auto"/>
            <w:right w:val="none" w:sz="0" w:space="0" w:color="auto"/>
          </w:divBdr>
        </w:div>
        <w:div w:id="1165167995">
          <w:marLeft w:val="0"/>
          <w:marRight w:val="0"/>
          <w:marTop w:val="0"/>
          <w:marBottom w:val="0"/>
          <w:divBdr>
            <w:top w:val="none" w:sz="0" w:space="0" w:color="auto"/>
            <w:left w:val="none" w:sz="0" w:space="0" w:color="auto"/>
            <w:bottom w:val="none" w:sz="0" w:space="0" w:color="auto"/>
            <w:right w:val="none" w:sz="0" w:space="0" w:color="auto"/>
          </w:divBdr>
        </w:div>
        <w:div w:id="1165823870">
          <w:marLeft w:val="0"/>
          <w:marRight w:val="0"/>
          <w:marTop w:val="0"/>
          <w:marBottom w:val="0"/>
          <w:divBdr>
            <w:top w:val="none" w:sz="0" w:space="0" w:color="auto"/>
            <w:left w:val="none" w:sz="0" w:space="0" w:color="auto"/>
            <w:bottom w:val="none" w:sz="0" w:space="0" w:color="auto"/>
            <w:right w:val="none" w:sz="0" w:space="0" w:color="auto"/>
          </w:divBdr>
        </w:div>
        <w:div w:id="1172599880">
          <w:marLeft w:val="0"/>
          <w:marRight w:val="0"/>
          <w:marTop w:val="0"/>
          <w:marBottom w:val="0"/>
          <w:divBdr>
            <w:top w:val="none" w:sz="0" w:space="0" w:color="auto"/>
            <w:left w:val="none" w:sz="0" w:space="0" w:color="auto"/>
            <w:bottom w:val="none" w:sz="0" w:space="0" w:color="auto"/>
            <w:right w:val="none" w:sz="0" w:space="0" w:color="auto"/>
          </w:divBdr>
        </w:div>
        <w:div w:id="1178927716">
          <w:marLeft w:val="0"/>
          <w:marRight w:val="0"/>
          <w:marTop w:val="0"/>
          <w:marBottom w:val="0"/>
          <w:divBdr>
            <w:top w:val="none" w:sz="0" w:space="0" w:color="auto"/>
            <w:left w:val="none" w:sz="0" w:space="0" w:color="auto"/>
            <w:bottom w:val="none" w:sz="0" w:space="0" w:color="auto"/>
            <w:right w:val="none" w:sz="0" w:space="0" w:color="auto"/>
          </w:divBdr>
        </w:div>
        <w:div w:id="1202282064">
          <w:marLeft w:val="0"/>
          <w:marRight w:val="0"/>
          <w:marTop w:val="0"/>
          <w:marBottom w:val="0"/>
          <w:divBdr>
            <w:top w:val="none" w:sz="0" w:space="0" w:color="auto"/>
            <w:left w:val="none" w:sz="0" w:space="0" w:color="auto"/>
            <w:bottom w:val="none" w:sz="0" w:space="0" w:color="auto"/>
            <w:right w:val="none" w:sz="0" w:space="0" w:color="auto"/>
          </w:divBdr>
        </w:div>
        <w:div w:id="1217474078">
          <w:marLeft w:val="0"/>
          <w:marRight w:val="0"/>
          <w:marTop w:val="0"/>
          <w:marBottom w:val="0"/>
          <w:divBdr>
            <w:top w:val="none" w:sz="0" w:space="0" w:color="auto"/>
            <w:left w:val="none" w:sz="0" w:space="0" w:color="auto"/>
            <w:bottom w:val="none" w:sz="0" w:space="0" w:color="auto"/>
            <w:right w:val="none" w:sz="0" w:space="0" w:color="auto"/>
          </w:divBdr>
        </w:div>
        <w:div w:id="1229806838">
          <w:marLeft w:val="0"/>
          <w:marRight w:val="0"/>
          <w:marTop w:val="0"/>
          <w:marBottom w:val="0"/>
          <w:divBdr>
            <w:top w:val="none" w:sz="0" w:space="0" w:color="auto"/>
            <w:left w:val="none" w:sz="0" w:space="0" w:color="auto"/>
            <w:bottom w:val="none" w:sz="0" w:space="0" w:color="auto"/>
            <w:right w:val="none" w:sz="0" w:space="0" w:color="auto"/>
          </w:divBdr>
        </w:div>
        <w:div w:id="1234897445">
          <w:marLeft w:val="0"/>
          <w:marRight w:val="0"/>
          <w:marTop w:val="0"/>
          <w:marBottom w:val="0"/>
          <w:divBdr>
            <w:top w:val="none" w:sz="0" w:space="0" w:color="auto"/>
            <w:left w:val="none" w:sz="0" w:space="0" w:color="auto"/>
            <w:bottom w:val="none" w:sz="0" w:space="0" w:color="auto"/>
            <w:right w:val="none" w:sz="0" w:space="0" w:color="auto"/>
          </w:divBdr>
        </w:div>
        <w:div w:id="1234969267">
          <w:marLeft w:val="0"/>
          <w:marRight w:val="0"/>
          <w:marTop w:val="0"/>
          <w:marBottom w:val="0"/>
          <w:divBdr>
            <w:top w:val="none" w:sz="0" w:space="0" w:color="auto"/>
            <w:left w:val="none" w:sz="0" w:space="0" w:color="auto"/>
            <w:bottom w:val="none" w:sz="0" w:space="0" w:color="auto"/>
            <w:right w:val="none" w:sz="0" w:space="0" w:color="auto"/>
          </w:divBdr>
        </w:div>
        <w:div w:id="1242179148">
          <w:marLeft w:val="0"/>
          <w:marRight w:val="0"/>
          <w:marTop w:val="0"/>
          <w:marBottom w:val="0"/>
          <w:divBdr>
            <w:top w:val="none" w:sz="0" w:space="0" w:color="auto"/>
            <w:left w:val="none" w:sz="0" w:space="0" w:color="auto"/>
            <w:bottom w:val="none" w:sz="0" w:space="0" w:color="auto"/>
            <w:right w:val="none" w:sz="0" w:space="0" w:color="auto"/>
          </w:divBdr>
        </w:div>
        <w:div w:id="1254777862">
          <w:marLeft w:val="0"/>
          <w:marRight w:val="0"/>
          <w:marTop w:val="0"/>
          <w:marBottom w:val="0"/>
          <w:divBdr>
            <w:top w:val="none" w:sz="0" w:space="0" w:color="auto"/>
            <w:left w:val="none" w:sz="0" w:space="0" w:color="auto"/>
            <w:bottom w:val="none" w:sz="0" w:space="0" w:color="auto"/>
            <w:right w:val="none" w:sz="0" w:space="0" w:color="auto"/>
          </w:divBdr>
        </w:div>
        <w:div w:id="1258558588">
          <w:marLeft w:val="0"/>
          <w:marRight w:val="0"/>
          <w:marTop w:val="0"/>
          <w:marBottom w:val="0"/>
          <w:divBdr>
            <w:top w:val="none" w:sz="0" w:space="0" w:color="auto"/>
            <w:left w:val="none" w:sz="0" w:space="0" w:color="auto"/>
            <w:bottom w:val="none" w:sz="0" w:space="0" w:color="auto"/>
            <w:right w:val="none" w:sz="0" w:space="0" w:color="auto"/>
          </w:divBdr>
        </w:div>
        <w:div w:id="1262952512">
          <w:marLeft w:val="0"/>
          <w:marRight w:val="0"/>
          <w:marTop w:val="0"/>
          <w:marBottom w:val="0"/>
          <w:divBdr>
            <w:top w:val="none" w:sz="0" w:space="0" w:color="auto"/>
            <w:left w:val="none" w:sz="0" w:space="0" w:color="auto"/>
            <w:bottom w:val="none" w:sz="0" w:space="0" w:color="auto"/>
            <w:right w:val="none" w:sz="0" w:space="0" w:color="auto"/>
          </w:divBdr>
        </w:div>
        <w:div w:id="1267929166">
          <w:marLeft w:val="0"/>
          <w:marRight w:val="0"/>
          <w:marTop w:val="0"/>
          <w:marBottom w:val="0"/>
          <w:divBdr>
            <w:top w:val="none" w:sz="0" w:space="0" w:color="auto"/>
            <w:left w:val="none" w:sz="0" w:space="0" w:color="auto"/>
            <w:bottom w:val="none" w:sz="0" w:space="0" w:color="auto"/>
            <w:right w:val="none" w:sz="0" w:space="0" w:color="auto"/>
          </w:divBdr>
        </w:div>
        <w:div w:id="1267957246">
          <w:marLeft w:val="0"/>
          <w:marRight w:val="0"/>
          <w:marTop w:val="0"/>
          <w:marBottom w:val="0"/>
          <w:divBdr>
            <w:top w:val="none" w:sz="0" w:space="0" w:color="auto"/>
            <w:left w:val="none" w:sz="0" w:space="0" w:color="auto"/>
            <w:bottom w:val="none" w:sz="0" w:space="0" w:color="auto"/>
            <w:right w:val="none" w:sz="0" w:space="0" w:color="auto"/>
          </w:divBdr>
        </w:div>
        <w:div w:id="1270315087">
          <w:marLeft w:val="0"/>
          <w:marRight w:val="0"/>
          <w:marTop w:val="0"/>
          <w:marBottom w:val="0"/>
          <w:divBdr>
            <w:top w:val="none" w:sz="0" w:space="0" w:color="auto"/>
            <w:left w:val="none" w:sz="0" w:space="0" w:color="auto"/>
            <w:bottom w:val="none" w:sz="0" w:space="0" w:color="auto"/>
            <w:right w:val="none" w:sz="0" w:space="0" w:color="auto"/>
          </w:divBdr>
        </w:div>
        <w:div w:id="1273777873">
          <w:marLeft w:val="0"/>
          <w:marRight w:val="0"/>
          <w:marTop w:val="0"/>
          <w:marBottom w:val="0"/>
          <w:divBdr>
            <w:top w:val="none" w:sz="0" w:space="0" w:color="auto"/>
            <w:left w:val="none" w:sz="0" w:space="0" w:color="auto"/>
            <w:bottom w:val="none" w:sz="0" w:space="0" w:color="auto"/>
            <w:right w:val="none" w:sz="0" w:space="0" w:color="auto"/>
          </w:divBdr>
        </w:div>
        <w:div w:id="1274052303">
          <w:marLeft w:val="0"/>
          <w:marRight w:val="0"/>
          <w:marTop w:val="0"/>
          <w:marBottom w:val="0"/>
          <w:divBdr>
            <w:top w:val="none" w:sz="0" w:space="0" w:color="auto"/>
            <w:left w:val="none" w:sz="0" w:space="0" w:color="auto"/>
            <w:bottom w:val="none" w:sz="0" w:space="0" w:color="auto"/>
            <w:right w:val="none" w:sz="0" w:space="0" w:color="auto"/>
          </w:divBdr>
        </w:div>
        <w:div w:id="1274510411">
          <w:marLeft w:val="0"/>
          <w:marRight w:val="0"/>
          <w:marTop w:val="0"/>
          <w:marBottom w:val="0"/>
          <w:divBdr>
            <w:top w:val="none" w:sz="0" w:space="0" w:color="auto"/>
            <w:left w:val="none" w:sz="0" w:space="0" w:color="auto"/>
            <w:bottom w:val="none" w:sz="0" w:space="0" w:color="auto"/>
            <w:right w:val="none" w:sz="0" w:space="0" w:color="auto"/>
          </w:divBdr>
        </w:div>
        <w:div w:id="1276673193">
          <w:marLeft w:val="0"/>
          <w:marRight w:val="0"/>
          <w:marTop w:val="0"/>
          <w:marBottom w:val="0"/>
          <w:divBdr>
            <w:top w:val="none" w:sz="0" w:space="0" w:color="auto"/>
            <w:left w:val="none" w:sz="0" w:space="0" w:color="auto"/>
            <w:bottom w:val="none" w:sz="0" w:space="0" w:color="auto"/>
            <w:right w:val="none" w:sz="0" w:space="0" w:color="auto"/>
          </w:divBdr>
        </w:div>
        <w:div w:id="1281108193">
          <w:marLeft w:val="0"/>
          <w:marRight w:val="0"/>
          <w:marTop w:val="0"/>
          <w:marBottom w:val="0"/>
          <w:divBdr>
            <w:top w:val="none" w:sz="0" w:space="0" w:color="auto"/>
            <w:left w:val="none" w:sz="0" w:space="0" w:color="auto"/>
            <w:bottom w:val="none" w:sz="0" w:space="0" w:color="auto"/>
            <w:right w:val="none" w:sz="0" w:space="0" w:color="auto"/>
          </w:divBdr>
        </w:div>
        <w:div w:id="1281180859">
          <w:marLeft w:val="0"/>
          <w:marRight w:val="0"/>
          <w:marTop w:val="0"/>
          <w:marBottom w:val="0"/>
          <w:divBdr>
            <w:top w:val="none" w:sz="0" w:space="0" w:color="auto"/>
            <w:left w:val="none" w:sz="0" w:space="0" w:color="auto"/>
            <w:bottom w:val="none" w:sz="0" w:space="0" w:color="auto"/>
            <w:right w:val="none" w:sz="0" w:space="0" w:color="auto"/>
          </w:divBdr>
        </w:div>
        <w:div w:id="1309626759">
          <w:marLeft w:val="0"/>
          <w:marRight w:val="0"/>
          <w:marTop w:val="0"/>
          <w:marBottom w:val="0"/>
          <w:divBdr>
            <w:top w:val="none" w:sz="0" w:space="0" w:color="auto"/>
            <w:left w:val="none" w:sz="0" w:space="0" w:color="auto"/>
            <w:bottom w:val="none" w:sz="0" w:space="0" w:color="auto"/>
            <w:right w:val="none" w:sz="0" w:space="0" w:color="auto"/>
          </w:divBdr>
        </w:div>
        <w:div w:id="1315525936">
          <w:marLeft w:val="0"/>
          <w:marRight w:val="0"/>
          <w:marTop w:val="0"/>
          <w:marBottom w:val="0"/>
          <w:divBdr>
            <w:top w:val="none" w:sz="0" w:space="0" w:color="auto"/>
            <w:left w:val="none" w:sz="0" w:space="0" w:color="auto"/>
            <w:bottom w:val="none" w:sz="0" w:space="0" w:color="auto"/>
            <w:right w:val="none" w:sz="0" w:space="0" w:color="auto"/>
          </w:divBdr>
        </w:div>
        <w:div w:id="1318461720">
          <w:marLeft w:val="0"/>
          <w:marRight w:val="0"/>
          <w:marTop w:val="0"/>
          <w:marBottom w:val="0"/>
          <w:divBdr>
            <w:top w:val="none" w:sz="0" w:space="0" w:color="auto"/>
            <w:left w:val="none" w:sz="0" w:space="0" w:color="auto"/>
            <w:bottom w:val="none" w:sz="0" w:space="0" w:color="auto"/>
            <w:right w:val="none" w:sz="0" w:space="0" w:color="auto"/>
          </w:divBdr>
        </w:div>
        <w:div w:id="1321038033">
          <w:marLeft w:val="0"/>
          <w:marRight w:val="0"/>
          <w:marTop w:val="0"/>
          <w:marBottom w:val="0"/>
          <w:divBdr>
            <w:top w:val="none" w:sz="0" w:space="0" w:color="auto"/>
            <w:left w:val="none" w:sz="0" w:space="0" w:color="auto"/>
            <w:bottom w:val="none" w:sz="0" w:space="0" w:color="auto"/>
            <w:right w:val="none" w:sz="0" w:space="0" w:color="auto"/>
          </w:divBdr>
        </w:div>
        <w:div w:id="1330600859">
          <w:marLeft w:val="0"/>
          <w:marRight w:val="0"/>
          <w:marTop w:val="0"/>
          <w:marBottom w:val="0"/>
          <w:divBdr>
            <w:top w:val="none" w:sz="0" w:space="0" w:color="auto"/>
            <w:left w:val="none" w:sz="0" w:space="0" w:color="auto"/>
            <w:bottom w:val="none" w:sz="0" w:space="0" w:color="auto"/>
            <w:right w:val="none" w:sz="0" w:space="0" w:color="auto"/>
          </w:divBdr>
        </w:div>
        <w:div w:id="1343585442">
          <w:marLeft w:val="0"/>
          <w:marRight w:val="0"/>
          <w:marTop w:val="0"/>
          <w:marBottom w:val="0"/>
          <w:divBdr>
            <w:top w:val="none" w:sz="0" w:space="0" w:color="auto"/>
            <w:left w:val="none" w:sz="0" w:space="0" w:color="auto"/>
            <w:bottom w:val="none" w:sz="0" w:space="0" w:color="auto"/>
            <w:right w:val="none" w:sz="0" w:space="0" w:color="auto"/>
          </w:divBdr>
        </w:div>
        <w:div w:id="1362168453">
          <w:marLeft w:val="0"/>
          <w:marRight w:val="0"/>
          <w:marTop w:val="0"/>
          <w:marBottom w:val="0"/>
          <w:divBdr>
            <w:top w:val="none" w:sz="0" w:space="0" w:color="auto"/>
            <w:left w:val="none" w:sz="0" w:space="0" w:color="auto"/>
            <w:bottom w:val="none" w:sz="0" w:space="0" w:color="auto"/>
            <w:right w:val="none" w:sz="0" w:space="0" w:color="auto"/>
          </w:divBdr>
        </w:div>
        <w:div w:id="1368068668">
          <w:marLeft w:val="0"/>
          <w:marRight w:val="0"/>
          <w:marTop w:val="0"/>
          <w:marBottom w:val="0"/>
          <w:divBdr>
            <w:top w:val="none" w:sz="0" w:space="0" w:color="auto"/>
            <w:left w:val="none" w:sz="0" w:space="0" w:color="auto"/>
            <w:bottom w:val="none" w:sz="0" w:space="0" w:color="auto"/>
            <w:right w:val="none" w:sz="0" w:space="0" w:color="auto"/>
          </w:divBdr>
        </w:div>
        <w:div w:id="1376928830">
          <w:marLeft w:val="0"/>
          <w:marRight w:val="0"/>
          <w:marTop w:val="0"/>
          <w:marBottom w:val="0"/>
          <w:divBdr>
            <w:top w:val="none" w:sz="0" w:space="0" w:color="auto"/>
            <w:left w:val="none" w:sz="0" w:space="0" w:color="auto"/>
            <w:bottom w:val="none" w:sz="0" w:space="0" w:color="auto"/>
            <w:right w:val="none" w:sz="0" w:space="0" w:color="auto"/>
          </w:divBdr>
        </w:div>
        <w:div w:id="1383406094">
          <w:marLeft w:val="0"/>
          <w:marRight w:val="0"/>
          <w:marTop w:val="0"/>
          <w:marBottom w:val="0"/>
          <w:divBdr>
            <w:top w:val="none" w:sz="0" w:space="0" w:color="auto"/>
            <w:left w:val="none" w:sz="0" w:space="0" w:color="auto"/>
            <w:bottom w:val="none" w:sz="0" w:space="0" w:color="auto"/>
            <w:right w:val="none" w:sz="0" w:space="0" w:color="auto"/>
          </w:divBdr>
        </w:div>
        <w:div w:id="1390114008">
          <w:marLeft w:val="0"/>
          <w:marRight w:val="0"/>
          <w:marTop w:val="0"/>
          <w:marBottom w:val="0"/>
          <w:divBdr>
            <w:top w:val="none" w:sz="0" w:space="0" w:color="auto"/>
            <w:left w:val="none" w:sz="0" w:space="0" w:color="auto"/>
            <w:bottom w:val="none" w:sz="0" w:space="0" w:color="auto"/>
            <w:right w:val="none" w:sz="0" w:space="0" w:color="auto"/>
          </w:divBdr>
        </w:div>
        <w:div w:id="1391802691">
          <w:marLeft w:val="0"/>
          <w:marRight w:val="0"/>
          <w:marTop w:val="0"/>
          <w:marBottom w:val="0"/>
          <w:divBdr>
            <w:top w:val="none" w:sz="0" w:space="0" w:color="auto"/>
            <w:left w:val="none" w:sz="0" w:space="0" w:color="auto"/>
            <w:bottom w:val="none" w:sz="0" w:space="0" w:color="auto"/>
            <w:right w:val="none" w:sz="0" w:space="0" w:color="auto"/>
          </w:divBdr>
        </w:div>
        <w:div w:id="1404454027">
          <w:marLeft w:val="0"/>
          <w:marRight w:val="0"/>
          <w:marTop w:val="0"/>
          <w:marBottom w:val="0"/>
          <w:divBdr>
            <w:top w:val="none" w:sz="0" w:space="0" w:color="auto"/>
            <w:left w:val="none" w:sz="0" w:space="0" w:color="auto"/>
            <w:bottom w:val="none" w:sz="0" w:space="0" w:color="auto"/>
            <w:right w:val="none" w:sz="0" w:space="0" w:color="auto"/>
          </w:divBdr>
        </w:div>
        <w:div w:id="1411274414">
          <w:marLeft w:val="0"/>
          <w:marRight w:val="0"/>
          <w:marTop w:val="0"/>
          <w:marBottom w:val="0"/>
          <w:divBdr>
            <w:top w:val="none" w:sz="0" w:space="0" w:color="auto"/>
            <w:left w:val="none" w:sz="0" w:space="0" w:color="auto"/>
            <w:bottom w:val="none" w:sz="0" w:space="0" w:color="auto"/>
            <w:right w:val="none" w:sz="0" w:space="0" w:color="auto"/>
          </w:divBdr>
        </w:div>
        <w:div w:id="1413703651">
          <w:marLeft w:val="0"/>
          <w:marRight w:val="0"/>
          <w:marTop w:val="0"/>
          <w:marBottom w:val="0"/>
          <w:divBdr>
            <w:top w:val="none" w:sz="0" w:space="0" w:color="auto"/>
            <w:left w:val="none" w:sz="0" w:space="0" w:color="auto"/>
            <w:bottom w:val="none" w:sz="0" w:space="0" w:color="auto"/>
            <w:right w:val="none" w:sz="0" w:space="0" w:color="auto"/>
          </w:divBdr>
        </w:div>
        <w:div w:id="1415007552">
          <w:marLeft w:val="0"/>
          <w:marRight w:val="0"/>
          <w:marTop w:val="0"/>
          <w:marBottom w:val="0"/>
          <w:divBdr>
            <w:top w:val="none" w:sz="0" w:space="0" w:color="auto"/>
            <w:left w:val="none" w:sz="0" w:space="0" w:color="auto"/>
            <w:bottom w:val="none" w:sz="0" w:space="0" w:color="auto"/>
            <w:right w:val="none" w:sz="0" w:space="0" w:color="auto"/>
          </w:divBdr>
        </w:div>
        <w:div w:id="1425883544">
          <w:marLeft w:val="0"/>
          <w:marRight w:val="0"/>
          <w:marTop w:val="0"/>
          <w:marBottom w:val="0"/>
          <w:divBdr>
            <w:top w:val="none" w:sz="0" w:space="0" w:color="auto"/>
            <w:left w:val="none" w:sz="0" w:space="0" w:color="auto"/>
            <w:bottom w:val="none" w:sz="0" w:space="0" w:color="auto"/>
            <w:right w:val="none" w:sz="0" w:space="0" w:color="auto"/>
          </w:divBdr>
        </w:div>
        <w:div w:id="1427269159">
          <w:marLeft w:val="0"/>
          <w:marRight w:val="0"/>
          <w:marTop w:val="0"/>
          <w:marBottom w:val="0"/>
          <w:divBdr>
            <w:top w:val="none" w:sz="0" w:space="0" w:color="auto"/>
            <w:left w:val="none" w:sz="0" w:space="0" w:color="auto"/>
            <w:bottom w:val="none" w:sz="0" w:space="0" w:color="auto"/>
            <w:right w:val="none" w:sz="0" w:space="0" w:color="auto"/>
          </w:divBdr>
        </w:div>
        <w:div w:id="1429228354">
          <w:marLeft w:val="0"/>
          <w:marRight w:val="0"/>
          <w:marTop w:val="0"/>
          <w:marBottom w:val="0"/>
          <w:divBdr>
            <w:top w:val="none" w:sz="0" w:space="0" w:color="auto"/>
            <w:left w:val="none" w:sz="0" w:space="0" w:color="auto"/>
            <w:bottom w:val="none" w:sz="0" w:space="0" w:color="auto"/>
            <w:right w:val="none" w:sz="0" w:space="0" w:color="auto"/>
          </w:divBdr>
        </w:div>
        <w:div w:id="1429421478">
          <w:marLeft w:val="0"/>
          <w:marRight w:val="0"/>
          <w:marTop w:val="0"/>
          <w:marBottom w:val="0"/>
          <w:divBdr>
            <w:top w:val="none" w:sz="0" w:space="0" w:color="auto"/>
            <w:left w:val="none" w:sz="0" w:space="0" w:color="auto"/>
            <w:bottom w:val="none" w:sz="0" w:space="0" w:color="auto"/>
            <w:right w:val="none" w:sz="0" w:space="0" w:color="auto"/>
          </w:divBdr>
        </w:div>
        <w:div w:id="1436825015">
          <w:marLeft w:val="0"/>
          <w:marRight w:val="0"/>
          <w:marTop w:val="0"/>
          <w:marBottom w:val="0"/>
          <w:divBdr>
            <w:top w:val="none" w:sz="0" w:space="0" w:color="auto"/>
            <w:left w:val="none" w:sz="0" w:space="0" w:color="auto"/>
            <w:bottom w:val="none" w:sz="0" w:space="0" w:color="auto"/>
            <w:right w:val="none" w:sz="0" w:space="0" w:color="auto"/>
          </w:divBdr>
        </w:div>
        <w:div w:id="1444112960">
          <w:marLeft w:val="0"/>
          <w:marRight w:val="0"/>
          <w:marTop w:val="0"/>
          <w:marBottom w:val="0"/>
          <w:divBdr>
            <w:top w:val="none" w:sz="0" w:space="0" w:color="auto"/>
            <w:left w:val="none" w:sz="0" w:space="0" w:color="auto"/>
            <w:bottom w:val="none" w:sz="0" w:space="0" w:color="auto"/>
            <w:right w:val="none" w:sz="0" w:space="0" w:color="auto"/>
          </w:divBdr>
        </w:div>
        <w:div w:id="1455323047">
          <w:marLeft w:val="0"/>
          <w:marRight w:val="0"/>
          <w:marTop w:val="0"/>
          <w:marBottom w:val="0"/>
          <w:divBdr>
            <w:top w:val="none" w:sz="0" w:space="0" w:color="auto"/>
            <w:left w:val="none" w:sz="0" w:space="0" w:color="auto"/>
            <w:bottom w:val="none" w:sz="0" w:space="0" w:color="auto"/>
            <w:right w:val="none" w:sz="0" w:space="0" w:color="auto"/>
          </w:divBdr>
        </w:div>
        <w:div w:id="1455834323">
          <w:marLeft w:val="0"/>
          <w:marRight w:val="0"/>
          <w:marTop w:val="0"/>
          <w:marBottom w:val="0"/>
          <w:divBdr>
            <w:top w:val="none" w:sz="0" w:space="0" w:color="auto"/>
            <w:left w:val="none" w:sz="0" w:space="0" w:color="auto"/>
            <w:bottom w:val="none" w:sz="0" w:space="0" w:color="auto"/>
            <w:right w:val="none" w:sz="0" w:space="0" w:color="auto"/>
          </w:divBdr>
        </w:div>
        <w:div w:id="1461269228">
          <w:marLeft w:val="0"/>
          <w:marRight w:val="0"/>
          <w:marTop w:val="0"/>
          <w:marBottom w:val="0"/>
          <w:divBdr>
            <w:top w:val="none" w:sz="0" w:space="0" w:color="auto"/>
            <w:left w:val="none" w:sz="0" w:space="0" w:color="auto"/>
            <w:bottom w:val="none" w:sz="0" w:space="0" w:color="auto"/>
            <w:right w:val="none" w:sz="0" w:space="0" w:color="auto"/>
          </w:divBdr>
        </w:div>
        <w:div w:id="1470129389">
          <w:marLeft w:val="0"/>
          <w:marRight w:val="0"/>
          <w:marTop w:val="0"/>
          <w:marBottom w:val="0"/>
          <w:divBdr>
            <w:top w:val="none" w:sz="0" w:space="0" w:color="auto"/>
            <w:left w:val="none" w:sz="0" w:space="0" w:color="auto"/>
            <w:bottom w:val="none" w:sz="0" w:space="0" w:color="auto"/>
            <w:right w:val="none" w:sz="0" w:space="0" w:color="auto"/>
          </w:divBdr>
        </w:div>
        <w:div w:id="1472484727">
          <w:marLeft w:val="0"/>
          <w:marRight w:val="0"/>
          <w:marTop w:val="0"/>
          <w:marBottom w:val="0"/>
          <w:divBdr>
            <w:top w:val="none" w:sz="0" w:space="0" w:color="auto"/>
            <w:left w:val="none" w:sz="0" w:space="0" w:color="auto"/>
            <w:bottom w:val="none" w:sz="0" w:space="0" w:color="auto"/>
            <w:right w:val="none" w:sz="0" w:space="0" w:color="auto"/>
          </w:divBdr>
        </w:div>
        <w:div w:id="1477601507">
          <w:marLeft w:val="0"/>
          <w:marRight w:val="0"/>
          <w:marTop w:val="0"/>
          <w:marBottom w:val="0"/>
          <w:divBdr>
            <w:top w:val="none" w:sz="0" w:space="0" w:color="auto"/>
            <w:left w:val="none" w:sz="0" w:space="0" w:color="auto"/>
            <w:bottom w:val="none" w:sz="0" w:space="0" w:color="auto"/>
            <w:right w:val="none" w:sz="0" w:space="0" w:color="auto"/>
          </w:divBdr>
        </w:div>
        <w:div w:id="1477651468">
          <w:marLeft w:val="0"/>
          <w:marRight w:val="0"/>
          <w:marTop w:val="0"/>
          <w:marBottom w:val="0"/>
          <w:divBdr>
            <w:top w:val="none" w:sz="0" w:space="0" w:color="auto"/>
            <w:left w:val="none" w:sz="0" w:space="0" w:color="auto"/>
            <w:bottom w:val="none" w:sz="0" w:space="0" w:color="auto"/>
            <w:right w:val="none" w:sz="0" w:space="0" w:color="auto"/>
          </w:divBdr>
        </w:div>
        <w:div w:id="1481000672">
          <w:marLeft w:val="0"/>
          <w:marRight w:val="0"/>
          <w:marTop w:val="0"/>
          <w:marBottom w:val="0"/>
          <w:divBdr>
            <w:top w:val="none" w:sz="0" w:space="0" w:color="auto"/>
            <w:left w:val="none" w:sz="0" w:space="0" w:color="auto"/>
            <w:bottom w:val="none" w:sz="0" w:space="0" w:color="auto"/>
            <w:right w:val="none" w:sz="0" w:space="0" w:color="auto"/>
          </w:divBdr>
        </w:div>
        <w:div w:id="1486513989">
          <w:marLeft w:val="0"/>
          <w:marRight w:val="0"/>
          <w:marTop w:val="0"/>
          <w:marBottom w:val="0"/>
          <w:divBdr>
            <w:top w:val="none" w:sz="0" w:space="0" w:color="auto"/>
            <w:left w:val="none" w:sz="0" w:space="0" w:color="auto"/>
            <w:bottom w:val="none" w:sz="0" w:space="0" w:color="auto"/>
            <w:right w:val="none" w:sz="0" w:space="0" w:color="auto"/>
          </w:divBdr>
        </w:div>
        <w:div w:id="1487089087">
          <w:marLeft w:val="0"/>
          <w:marRight w:val="0"/>
          <w:marTop w:val="0"/>
          <w:marBottom w:val="0"/>
          <w:divBdr>
            <w:top w:val="none" w:sz="0" w:space="0" w:color="auto"/>
            <w:left w:val="none" w:sz="0" w:space="0" w:color="auto"/>
            <w:bottom w:val="none" w:sz="0" w:space="0" w:color="auto"/>
            <w:right w:val="none" w:sz="0" w:space="0" w:color="auto"/>
          </w:divBdr>
        </w:div>
        <w:div w:id="1487476336">
          <w:marLeft w:val="0"/>
          <w:marRight w:val="0"/>
          <w:marTop w:val="0"/>
          <w:marBottom w:val="0"/>
          <w:divBdr>
            <w:top w:val="none" w:sz="0" w:space="0" w:color="auto"/>
            <w:left w:val="none" w:sz="0" w:space="0" w:color="auto"/>
            <w:bottom w:val="none" w:sz="0" w:space="0" w:color="auto"/>
            <w:right w:val="none" w:sz="0" w:space="0" w:color="auto"/>
          </w:divBdr>
        </w:div>
        <w:div w:id="1492021411">
          <w:marLeft w:val="0"/>
          <w:marRight w:val="0"/>
          <w:marTop w:val="0"/>
          <w:marBottom w:val="0"/>
          <w:divBdr>
            <w:top w:val="none" w:sz="0" w:space="0" w:color="auto"/>
            <w:left w:val="none" w:sz="0" w:space="0" w:color="auto"/>
            <w:bottom w:val="none" w:sz="0" w:space="0" w:color="auto"/>
            <w:right w:val="none" w:sz="0" w:space="0" w:color="auto"/>
          </w:divBdr>
        </w:div>
        <w:div w:id="1493834559">
          <w:marLeft w:val="0"/>
          <w:marRight w:val="0"/>
          <w:marTop w:val="0"/>
          <w:marBottom w:val="0"/>
          <w:divBdr>
            <w:top w:val="none" w:sz="0" w:space="0" w:color="auto"/>
            <w:left w:val="none" w:sz="0" w:space="0" w:color="auto"/>
            <w:bottom w:val="none" w:sz="0" w:space="0" w:color="auto"/>
            <w:right w:val="none" w:sz="0" w:space="0" w:color="auto"/>
          </w:divBdr>
        </w:div>
        <w:div w:id="1495996544">
          <w:marLeft w:val="0"/>
          <w:marRight w:val="0"/>
          <w:marTop w:val="0"/>
          <w:marBottom w:val="0"/>
          <w:divBdr>
            <w:top w:val="none" w:sz="0" w:space="0" w:color="auto"/>
            <w:left w:val="none" w:sz="0" w:space="0" w:color="auto"/>
            <w:bottom w:val="none" w:sz="0" w:space="0" w:color="auto"/>
            <w:right w:val="none" w:sz="0" w:space="0" w:color="auto"/>
          </w:divBdr>
        </w:div>
        <w:div w:id="1506894631">
          <w:marLeft w:val="0"/>
          <w:marRight w:val="0"/>
          <w:marTop w:val="0"/>
          <w:marBottom w:val="0"/>
          <w:divBdr>
            <w:top w:val="none" w:sz="0" w:space="0" w:color="auto"/>
            <w:left w:val="none" w:sz="0" w:space="0" w:color="auto"/>
            <w:bottom w:val="none" w:sz="0" w:space="0" w:color="auto"/>
            <w:right w:val="none" w:sz="0" w:space="0" w:color="auto"/>
          </w:divBdr>
        </w:div>
        <w:div w:id="1528103830">
          <w:marLeft w:val="0"/>
          <w:marRight w:val="0"/>
          <w:marTop w:val="0"/>
          <w:marBottom w:val="0"/>
          <w:divBdr>
            <w:top w:val="none" w:sz="0" w:space="0" w:color="auto"/>
            <w:left w:val="none" w:sz="0" w:space="0" w:color="auto"/>
            <w:bottom w:val="none" w:sz="0" w:space="0" w:color="auto"/>
            <w:right w:val="none" w:sz="0" w:space="0" w:color="auto"/>
          </w:divBdr>
        </w:div>
        <w:div w:id="1528716169">
          <w:marLeft w:val="0"/>
          <w:marRight w:val="0"/>
          <w:marTop w:val="0"/>
          <w:marBottom w:val="0"/>
          <w:divBdr>
            <w:top w:val="none" w:sz="0" w:space="0" w:color="auto"/>
            <w:left w:val="none" w:sz="0" w:space="0" w:color="auto"/>
            <w:bottom w:val="none" w:sz="0" w:space="0" w:color="auto"/>
            <w:right w:val="none" w:sz="0" w:space="0" w:color="auto"/>
          </w:divBdr>
        </w:div>
        <w:div w:id="1534882833">
          <w:marLeft w:val="0"/>
          <w:marRight w:val="0"/>
          <w:marTop w:val="0"/>
          <w:marBottom w:val="0"/>
          <w:divBdr>
            <w:top w:val="none" w:sz="0" w:space="0" w:color="auto"/>
            <w:left w:val="none" w:sz="0" w:space="0" w:color="auto"/>
            <w:bottom w:val="none" w:sz="0" w:space="0" w:color="auto"/>
            <w:right w:val="none" w:sz="0" w:space="0" w:color="auto"/>
          </w:divBdr>
        </w:div>
        <w:div w:id="1535846509">
          <w:marLeft w:val="0"/>
          <w:marRight w:val="0"/>
          <w:marTop w:val="0"/>
          <w:marBottom w:val="0"/>
          <w:divBdr>
            <w:top w:val="none" w:sz="0" w:space="0" w:color="auto"/>
            <w:left w:val="none" w:sz="0" w:space="0" w:color="auto"/>
            <w:bottom w:val="none" w:sz="0" w:space="0" w:color="auto"/>
            <w:right w:val="none" w:sz="0" w:space="0" w:color="auto"/>
          </w:divBdr>
        </w:div>
        <w:div w:id="1546091609">
          <w:marLeft w:val="0"/>
          <w:marRight w:val="0"/>
          <w:marTop w:val="0"/>
          <w:marBottom w:val="0"/>
          <w:divBdr>
            <w:top w:val="none" w:sz="0" w:space="0" w:color="auto"/>
            <w:left w:val="none" w:sz="0" w:space="0" w:color="auto"/>
            <w:bottom w:val="none" w:sz="0" w:space="0" w:color="auto"/>
            <w:right w:val="none" w:sz="0" w:space="0" w:color="auto"/>
          </w:divBdr>
        </w:div>
        <w:div w:id="1554852037">
          <w:marLeft w:val="0"/>
          <w:marRight w:val="0"/>
          <w:marTop w:val="0"/>
          <w:marBottom w:val="0"/>
          <w:divBdr>
            <w:top w:val="none" w:sz="0" w:space="0" w:color="auto"/>
            <w:left w:val="none" w:sz="0" w:space="0" w:color="auto"/>
            <w:bottom w:val="none" w:sz="0" w:space="0" w:color="auto"/>
            <w:right w:val="none" w:sz="0" w:space="0" w:color="auto"/>
          </w:divBdr>
        </w:div>
        <w:div w:id="1582248993">
          <w:marLeft w:val="0"/>
          <w:marRight w:val="0"/>
          <w:marTop w:val="0"/>
          <w:marBottom w:val="0"/>
          <w:divBdr>
            <w:top w:val="none" w:sz="0" w:space="0" w:color="auto"/>
            <w:left w:val="none" w:sz="0" w:space="0" w:color="auto"/>
            <w:bottom w:val="none" w:sz="0" w:space="0" w:color="auto"/>
            <w:right w:val="none" w:sz="0" w:space="0" w:color="auto"/>
          </w:divBdr>
        </w:div>
        <w:div w:id="1594319734">
          <w:marLeft w:val="0"/>
          <w:marRight w:val="0"/>
          <w:marTop w:val="0"/>
          <w:marBottom w:val="0"/>
          <w:divBdr>
            <w:top w:val="none" w:sz="0" w:space="0" w:color="auto"/>
            <w:left w:val="none" w:sz="0" w:space="0" w:color="auto"/>
            <w:bottom w:val="none" w:sz="0" w:space="0" w:color="auto"/>
            <w:right w:val="none" w:sz="0" w:space="0" w:color="auto"/>
          </w:divBdr>
        </w:div>
        <w:div w:id="1608778079">
          <w:marLeft w:val="0"/>
          <w:marRight w:val="0"/>
          <w:marTop w:val="0"/>
          <w:marBottom w:val="0"/>
          <w:divBdr>
            <w:top w:val="none" w:sz="0" w:space="0" w:color="auto"/>
            <w:left w:val="none" w:sz="0" w:space="0" w:color="auto"/>
            <w:bottom w:val="none" w:sz="0" w:space="0" w:color="auto"/>
            <w:right w:val="none" w:sz="0" w:space="0" w:color="auto"/>
          </w:divBdr>
        </w:div>
        <w:div w:id="1610895322">
          <w:marLeft w:val="0"/>
          <w:marRight w:val="0"/>
          <w:marTop w:val="0"/>
          <w:marBottom w:val="0"/>
          <w:divBdr>
            <w:top w:val="none" w:sz="0" w:space="0" w:color="auto"/>
            <w:left w:val="none" w:sz="0" w:space="0" w:color="auto"/>
            <w:bottom w:val="none" w:sz="0" w:space="0" w:color="auto"/>
            <w:right w:val="none" w:sz="0" w:space="0" w:color="auto"/>
          </w:divBdr>
        </w:div>
        <w:div w:id="1618028977">
          <w:marLeft w:val="0"/>
          <w:marRight w:val="0"/>
          <w:marTop w:val="0"/>
          <w:marBottom w:val="0"/>
          <w:divBdr>
            <w:top w:val="none" w:sz="0" w:space="0" w:color="auto"/>
            <w:left w:val="none" w:sz="0" w:space="0" w:color="auto"/>
            <w:bottom w:val="none" w:sz="0" w:space="0" w:color="auto"/>
            <w:right w:val="none" w:sz="0" w:space="0" w:color="auto"/>
          </w:divBdr>
        </w:div>
        <w:div w:id="1618295111">
          <w:marLeft w:val="0"/>
          <w:marRight w:val="0"/>
          <w:marTop w:val="0"/>
          <w:marBottom w:val="0"/>
          <w:divBdr>
            <w:top w:val="none" w:sz="0" w:space="0" w:color="auto"/>
            <w:left w:val="none" w:sz="0" w:space="0" w:color="auto"/>
            <w:bottom w:val="none" w:sz="0" w:space="0" w:color="auto"/>
            <w:right w:val="none" w:sz="0" w:space="0" w:color="auto"/>
          </w:divBdr>
        </w:div>
        <w:div w:id="1620988413">
          <w:marLeft w:val="0"/>
          <w:marRight w:val="0"/>
          <w:marTop w:val="0"/>
          <w:marBottom w:val="0"/>
          <w:divBdr>
            <w:top w:val="none" w:sz="0" w:space="0" w:color="auto"/>
            <w:left w:val="none" w:sz="0" w:space="0" w:color="auto"/>
            <w:bottom w:val="none" w:sz="0" w:space="0" w:color="auto"/>
            <w:right w:val="none" w:sz="0" w:space="0" w:color="auto"/>
          </w:divBdr>
        </w:div>
        <w:div w:id="1631210399">
          <w:marLeft w:val="0"/>
          <w:marRight w:val="0"/>
          <w:marTop w:val="0"/>
          <w:marBottom w:val="0"/>
          <w:divBdr>
            <w:top w:val="none" w:sz="0" w:space="0" w:color="auto"/>
            <w:left w:val="none" w:sz="0" w:space="0" w:color="auto"/>
            <w:bottom w:val="none" w:sz="0" w:space="0" w:color="auto"/>
            <w:right w:val="none" w:sz="0" w:space="0" w:color="auto"/>
          </w:divBdr>
        </w:div>
        <w:div w:id="1636642358">
          <w:marLeft w:val="0"/>
          <w:marRight w:val="0"/>
          <w:marTop w:val="0"/>
          <w:marBottom w:val="0"/>
          <w:divBdr>
            <w:top w:val="none" w:sz="0" w:space="0" w:color="auto"/>
            <w:left w:val="none" w:sz="0" w:space="0" w:color="auto"/>
            <w:bottom w:val="none" w:sz="0" w:space="0" w:color="auto"/>
            <w:right w:val="none" w:sz="0" w:space="0" w:color="auto"/>
          </w:divBdr>
        </w:div>
        <w:div w:id="1638561295">
          <w:marLeft w:val="0"/>
          <w:marRight w:val="0"/>
          <w:marTop w:val="0"/>
          <w:marBottom w:val="0"/>
          <w:divBdr>
            <w:top w:val="none" w:sz="0" w:space="0" w:color="auto"/>
            <w:left w:val="none" w:sz="0" w:space="0" w:color="auto"/>
            <w:bottom w:val="none" w:sz="0" w:space="0" w:color="auto"/>
            <w:right w:val="none" w:sz="0" w:space="0" w:color="auto"/>
          </w:divBdr>
        </w:div>
        <w:div w:id="1644891730">
          <w:marLeft w:val="0"/>
          <w:marRight w:val="0"/>
          <w:marTop w:val="0"/>
          <w:marBottom w:val="0"/>
          <w:divBdr>
            <w:top w:val="none" w:sz="0" w:space="0" w:color="auto"/>
            <w:left w:val="none" w:sz="0" w:space="0" w:color="auto"/>
            <w:bottom w:val="none" w:sz="0" w:space="0" w:color="auto"/>
            <w:right w:val="none" w:sz="0" w:space="0" w:color="auto"/>
          </w:divBdr>
        </w:div>
        <w:div w:id="1656255393">
          <w:marLeft w:val="0"/>
          <w:marRight w:val="0"/>
          <w:marTop w:val="0"/>
          <w:marBottom w:val="0"/>
          <w:divBdr>
            <w:top w:val="none" w:sz="0" w:space="0" w:color="auto"/>
            <w:left w:val="none" w:sz="0" w:space="0" w:color="auto"/>
            <w:bottom w:val="none" w:sz="0" w:space="0" w:color="auto"/>
            <w:right w:val="none" w:sz="0" w:space="0" w:color="auto"/>
          </w:divBdr>
        </w:div>
        <w:div w:id="1659577876">
          <w:marLeft w:val="0"/>
          <w:marRight w:val="0"/>
          <w:marTop w:val="0"/>
          <w:marBottom w:val="0"/>
          <w:divBdr>
            <w:top w:val="none" w:sz="0" w:space="0" w:color="auto"/>
            <w:left w:val="none" w:sz="0" w:space="0" w:color="auto"/>
            <w:bottom w:val="none" w:sz="0" w:space="0" w:color="auto"/>
            <w:right w:val="none" w:sz="0" w:space="0" w:color="auto"/>
          </w:divBdr>
        </w:div>
        <w:div w:id="1666321552">
          <w:marLeft w:val="0"/>
          <w:marRight w:val="0"/>
          <w:marTop w:val="0"/>
          <w:marBottom w:val="0"/>
          <w:divBdr>
            <w:top w:val="none" w:sz="0" w:space="0" w:color="auto"/>
            <w:left w:val="none" w:sz="0" w:space="0" w:color="auto"/>
            <w:bottom w:val="none" w:sz="0" w:space="0" w:color="auto"/>
            <w:right w:val="none" w:sz="0" w:space="0" w:color="auto"/>
          </w:divBdr>
        </w:div>
        <w:div w:id="1683119194">
          <w:marLeft w:val="0"/>
          <w:marRight w:val="0"/>
          <w:marTop w:val="0"/>
          <w:marBottom w:val="0"/>
          <w:divBdr>
            <w:top w:val="none" w:sz="0" w:space="0" w:color="auto"/>
            <w:left w:val="none" w:sz="0" w:space="0" w:color="auto"/>
            <w:bottom w:val="none" w:sz="0" w:space="0" w:color="auto"/>
            <w:right w:val="none" w:sz="0" w:space="0" w:color="auto"/>
          </w:divBdr>
        </w:div>
        <w:div w:id="1688867068">
          <w:marLeft w:val="0"/>
          <w:marRight w:val="0"/>
          <w:marTop w:val="0"/>
          <w:marBottom w:val="0"/>
          <w:divBdr>
            <w:top w:val="none" w:sz="0" w:space="0" w:color="auto"/>
            <w:left w:val="none" w:sz="0" w:space="0" w:color="auto"/>
            <w:bottom w:val="none" w:sz="0" w:space="0" w:color="auto"/>
            <w:right w:val="none" w:sz="0" w:space="0" w:color="auto"/>
          </w:divBdr>
        </w:div>
        <w:div w:id="1694963362">
          <w:marLeft w:val="0"/>
          <w:marRight w:val="0"/>
          <w:marTop w:val="0"/>
          <w:marBottom w:val="0"/>
          <w:divBdr>
            <w:top w:val="none" w:sz="0" w:space="0" w:color="auto"/>
            <w:left w:val="none" w:sz="0" w:space="0" w:color="auto"/>
            <w:bottom w:val="none" w:sz="0" w:space="0" w:color="auto"/>
            <w:right w:val="none" w:sz="0" w:space="0" w:color="auto"/>
          </w:divBdr>
        </w:div>
        <w:div w:id="1703827533">
          <w:marLeft w:val="0"/>
          <w:marRight w:val="0"/>
          <w:marTop w:val="0"/>
          <w:marBottom w:val="0"/>
          <w:divBdr>
            <w:top w:val="none" w:sz="0" w:space="0" w:color="auto"/>
            <w:left w:val="none" w:sz="0" w:space="0" w:color="auto"/>
            <w:bottom w:val="none" w:sz="0" w:space="0" w:color="auto"/>
            <w:right w:val="none" w:sz="0" w:space="0" w:color="auto"/>
          </w:divBdr>
        </w:div>
        <w:div w:id="1705060131">
          <w:marLeft w:val="0"/>
          <w:marRight w:val="0"/>
          <w:marTop w:val="0"/>
          <w:marBottom w:val="0"/>
          <w:divBdr>
            <w:top w:val="none" w:sz="0" w:space="0" w:color="auto"/>
            <w:left w:val="none" w:sz="0" w:space="0" w:color="auto"/>
            <w:bottom w:val="none" w:sz="0" w:space="0" w:color="auto"/>
            <w:right w:val="none" w:sz="0" w:space="0" w:color="auto"/>
          </w:divBdr>
        </w:div>
        <w:div w:id="1710299622">
          <w:marLeft w:val="0"/>
          <w:marRight w:val="0"/>
          <w:marTop w:val="0"/>
          <w:marBottom w:val="0"/>
          <w:divBdr>
            <w:top w:val="none" w:sz="0" w:space="0" w:color="auto"/>
            <w:left w:val="none" w:sz="0" w:space="0" w:color="auto"/>
            <w:bottom w:val="none" w:sz="0" w:space="0" w:color="auto"/>
            <w:right w:val="none" w:sz="0" w:space="0" w:color="auto"/>
          </w:divBdr>
        </w:div>
        <w:div w:id="1713768358">
          <w:marLeft w:val="0"/>
          <w:marRight w:val="0"/>
          <w:marTop w:val="0"/>
          <w:marBottom w:val="0"/>
          <w:divBdr>
            <w:top w:val="none" w:sz="0" w:space="0" w:color="auto"/>
            <w:left w:val="none" w:sz="0" w:space="0" w:color="auto"/>
            <w:bottom w:val="none" w:sz="0" w:space="0" w:color="auto"/>
            <w:right w:val="none" w:sz="0" w:space="0" w:color="auto"/>
          </w:divBdr>
        </w:div>
        <w:div w:id="1730421324">
          <w:marLeft w:val="0"/>
          <w:marRight w:val="0"/>
          <w:marTop w:val="0"/>
          <w:marBottom w:val="0"/>
          <w:divBdr>
            <w:top w:val="none" w:sz="0" w:space="0" w:color="auto"/>
            <w:left w:val="none" w:sz="0" w:space="0" w:color="auto"/>
            <w:bottom w:val="none" w:sz="0" w:space="0" w:color="auto"/>
            <w:right w:val="none" w:sz="0" w:space="0" w:color="auto"/>
          </w:divBdr>
        </w:div>
        <w:div w:id="1735544330">
          <w:marLeft w:val="0"/>
          <w:marRight w:val="0"/>
          <w:marTop w:val="0"/>
          <w:marBottom w:val="0"/>
          <w:divBdr>
            <w:top w:val="none" w:sz="0" w:space="0" w:color="auto"/>
            <w:left w:val="none" w:sz="0" w:space="0" w:color="auto"/>
            <w:bottom w:val="none" w:sz="0" w:space="0" w:color="auto"/>
            <w:right w:val="none" w:sz="0" w:space="0" w:color="auto"/>
          </w:divBdr>
        </w:div>
        <w:div w:id="1748385053">
          <w:marLeft w:val="0"/>
          <w:marRight w:val="0"/>
          <w:marTop w:val="0"/>
          <w:marBottom w:val="0"/>
          <w:divBdr>
            <w:top w:val="none" w:sz="0" w:space="0" w:color="auto"/>
            <w:left w:val="none" w:sz="0" w:space="0" w:color="auto"/>
            <w:bottom w:val="none" w:sz="0" w:space="0" w:color="auto"/>
            <w:right w:val="none" w:sz="0" w:space="0" w:color="auto"/>
          </w:divBdr>
        </w:div>
        <w:div w:id="1769815827">
          <w:marLeft w:val="0"/>
          <w:marRight w:val="0"/>
          <w:marTop w:val="0"/>
          <w:marBottom w:val="0"/>
          <w:divBdr>
            <w:top w:val="none" w:sz="0" w:space="0" w:color="auto"/>
            <w:left w:val="none" w:sz="0" w:space="0" w:color="auto"/>
            <w:bottom w:val="none" w:sz="0" w:space="0" w:color="auto"/>
            <w:right w:val="none" w:sz="0" w:space="0" w:color="auto"/>
          </w:divBdr>
        </w:div>
        <w:div w:id="1772047509">
          <w:marLeft w:val="0"/>
          <w:marRight w:val="0"/>
          <w:marTop w:val="0"/>
          <w:marBottom w:val="0"/>
          <w:divBdr>
            <w:top w:val="none" w:sz="0" w:space="0" w:color="auto"/>
            <w:left w:val="none" w:sz="0" w:space="0" w:color="auto"/>
            <w:bottom w:val="none" w:sz="0" w:space="0" w:color="auto"/>
            <w:right w:val="none" w:sz="0" w:space="0" w:color="auto"/>
          </w:divBdr>
        </w:div>
        <w:div w:id="1792431291">
          <w:marLeft w:val="0"/>
          <w:marRight w:val="0"/>
          <w:marTop w:val="0"/>
          <w:marBottom w:val="0"/>
          <w:divBdr>
            <w:top w:val="none" w:sz="0" w:space="0" w:color="auto"/>
            <w:left w:val="none" w:sz="0" w:space="0" w:color="auto"/>
            <w:bottom w:val="none" w:sz="0" w:space="0" w:color="auto"/>
            <w:right w:val="none" w:sz="0" w:space="0" w:color="auto"/>
          </w:divBdr>
        </w:div>
        <w:div w:id="1812552474">
          <w:marLeft w:val="0"/>
          <w:marRight w:val="0"/>
          <w:marTop w:val="0"/>
          <w:marBottom w:val="0"/>
          <w:divBdr>
            <w:top w:val="none" w:sz="0" w:space="0" w:color="auto"/>
            <w:left w:val="none" w:sz="0" w:space="0" w:color="auto"/>
            <w:bottom w:val="none" w:sz="0" w:space="0" w:color="auto"/>
            <w:right w:val="none" w:sz="0" w:space="0" w:color="auto"/>
          </w:divBdr>
        </w:div>
        <w:div w:id="1815490684">
          <w:marLeft w:val="0"/>
          <w:marRight w:val="0"/>
          <w:marTop w:val="0"/>
          <w:marBottom w:val="0"/>
          <w:divBdr>
            <w:top w:val="none" w:sz="0" w:space="0" w:color="auto"/>
            <w:left w:val="none" w:sz="0" w:space="0" w:color="auto"/>
            <w:bottom w:val="none" w:sz="0" w:space="0" w:color="auto"/>
            <w:right w:val="none" w:sz="0" w:space="0" w:color="auto"/>
          </w:divBdr>
        </w:div>
        <w:div w:id="1824809414">
          <w:marLeft w:val="0"/>
          <w:marRight w:val="0"/>
          <w:marTop w:val="0"/>
          <w:marBottom w:val="0"/>
          <w:divBdr>
            <w:top w:val="none" w:sz="0" w:space="0" w:color="auto"/>
            <w:left w:val="none" w:sz="0" w:space="0" w:color="auto"/>
            <w:bottom w:val="none" w:sz="0" w:space="0" w:color="auto"/>
            <w:right w:val="none" w:sz="0" w:space="0" w:color="auto"/>
          </w:divBdr>
        </w:div>
        <w:div w:id="1846163471">
          <w:marLeft w:val="0"/>
          <w:marRight w:val="0"/>
          <w:marTop w:val="0"/>
          <w:marBottom w:val="0"/>
          <w:divBdr>
            <w:top w:val="none" w:sz="0" w:space="0" w:color="auto"/>
            <w:left w:val="none" w:sz="0" w:space="0" w:color="auto"/>
            <w:bottom w:val="none" w:sz="0" w:space="0" w:color="auto"/>
            <w:right w:val="none" w:sz="0" w:space="0" w:color="auto"/>
          </w:divBdr>
        </w:div>
        <w:div w:id="1857885527">
          <w:marLeft w:val="0"/>
          <w:marRight w:val="0"/>
          <w:marTop w:val="0"/>
          <w:marBottom w:val="0"/>
          <w:divBdr>
            <w:top w:val="none" w:sz="0" w:space="0" w:color="auto"/>
            <w:left w:val="none" w:sz="0" w:space="0" w:color="auto"/>
            <w:bottom w:val="none" w:sz="0" w:space="0" w:color="auto"/>
            <w:right w:val="none" w:sz="0" w:space="0" w:color="auto"/>
          </w:divBdr>
        </w:div>
        <w:div w:id="1873879623">
          <w:marLeft w:val="0"/>
          <w:marRight w:val="0"/>
          <w:marTop w:val="0"/>
          <w:marBottom w:val="0"/>
          <w:divBdr>
            <w:top w:val="none" w:sz="0" w:space="0" w:color="auto"/>
            <w:left w:val="none" w:sz="0" w:space="0" w:color="auto"/>
            <w:bottom w:val="none" w:sz="0" w:space="0" w:color="auto"/>
            <w:right w:val="none" w:sz="0" w:space="0" w:color="auto"/>
          </w:divBdr>
        </w:div>
        <w:div w:id="1876692469">
          <w:marLeft w:val="0"/>
          <w:marRight w:val="0"/>
          <w:marTop w:val="0"/>
          <w:marBottom w:val="0"/>
          <w:divBdr>
            <w:top w:val="none" w:sz="0" w:space="0" w:color="auto"/>
            <w:left w:val="none" w:sz="0" w:space="0" w:color="auto"/>
            <w:bottom w:val="none" w:sz="0" w:space="0" w:color="auto"/>
            <w:right w:val="none" w:sz="0" w:space="0" w:color="auto"/>
          </w:divBdr>
        </w:div>
        <w:div w:id="1888567272">
          <w:marLeft w:val="0"/>
          <w:marRight w:val="0"/>
          <w:marTop w:val="0"/>
          <w:marBottom w:val="0"/>
          <w:divBdr>
            <w:top w:val="none" w:sz="0" w:space="0" w:color="auto"/>
            <w:left w:val="none" w:sz="0" w:space="0" w:color="auto"/>
            <w:bottom w:val="none" w:sz="0" w:space="0" w:color="auto"/>
            <w:right w:val="none" w:sz="0" w:space="0" w:color="auto"/>
          </w:divBdr>
        </w:div>
        <w:div w:id="1903976512">
          <w:marLeft w:val="0"/>
          <w:marRight w:val="0"/>
          <w:marTop w:val="0"/>
          <w:marBottom w:val="0"/>
          <w:divBdr>
            <w:top w:val="none" w:sz="0" w:space="0" w:color="auto"/>
            <w:left w:val="none" w:sz="0" w:space="0" w:color="auto"/>
            <w:bottom w:val="none" w:sz="0" w:space="0" w:color="auto"/>
            <w:right w:val="none" w:sz="0" w:space="0" w:color="auto"/>
          </w:divBdr>
        </w:div>
        <w:div w:id="1926063144">
          <w:marLeft w:val="0"/>
          <w:marRight w:val="0"/>
          <w:marTop w:val="0"/>
          <w:marBottom w:val="0"/>
          <w:divBdr>
            <w:top w:val="none" w:sz="0" w:space="0" w:color="auto"/>
            <w:left w:val="none" w:sz="0" w:space="0" w:color="auto"/>
            <w:bottom w:val="none" w:sz="0" w:space="0" w:color="auto"/>
            <w:right w:val="none" w:sz="0" w:space="0" w:color="auto"/>
          </w:divBdr>
        </w:div>
        <w:div w:id="1928229766">
          <w:marLeft w:val="0"/>
          <w:marRight w:val="0"/>
          <w:marTop w:val="0"/>
          <w:marBottom w:val="0"/>
          <w:divBdr>
            <w:top w:val="none" w:sz="0" w:space="0" w:color="auto"/>
            <w:left w:val="none" w:sz="0" w:space="0" w:color="auto"/>
            <w:bottom w:val="none" w:sz="0" w:space="0" w:color="auto"/>
            <w:right w:val="none" w:sz="0" w:space="0" w:color="auto"/>
          </w:divBdr>
        </w:div>
        <w:div w:id="1936399882">
          <w:marLeft w:val="0"/>
          <w:marRight w:val="0"/>
          <w:marTop w:val="0"/>
          <w:marBottom w:val="0"/>
          <w:divBdr>
            <w:top w:val="none" w:sz="0" w:space="0" w:color="auto"/>
            <w:left w:val="none" w:sz="0" w:space="0" w:color="auto"/>
            <w:bottom w:val="none" w:sz="0" w:space="0" w:color="auto"/>
            <w:right w:val="none" w:sz="0" w:space="0" w:color="auto"/>
          </w:divBdr>
        </w:div>
        <w:div w:id="1940673996">
          <w:marLeft w:val="0"/>
          <w:marRight w:val="0"/>
          <w:marTop w:val="0"/>
          <w:marBottom w:val="0"/>
          <w:divBdr>
            <w:top w:val="none" w:sz="0" w:space="0" w:color="auto"/>
            <w:left w:val="none" w:sz="0" w:space="0" w:color="auto"/>
            <w:bottom w:val="none" w:sz="0" w:space="0" w:color="auto"/>
            <w:right w:val="none" w:sz="0" w:space="0" w:color="auto"/>
          </w:divBdr>
        </w:div>
        <w:div w:id="1947350409">
          <w:marLeft w:val="0"/>
          <w:marRight w:val="0"/>
          <w:marTop w:val="0"/>
          <w:marBottom w:val="0"/>
          <w:divBdr>
            <w:top w:val="none" w:sz="0" w:space="0" w:color="auto"/>
            <w:left w:val="none" w:sz="0" w:space="0" w:color="auto"/>
            <w:bottom w:val="none" w:sz="0" w:space="0" w:color="auto"/>
            <w:right w:val="none" w:sz="0" w:space="0" w:color="auto"/>
          </w:divBdr>
        </w:div>
        <w:div w:id="1951431634">
          <w:marLeft w:val="0"/>
          <w:marRight w:val="0"/>
          <w:marTop w:val="0"/>
          <w:marBottom w:val="0"/>
          <w:divBdr>
            <w:top w:val="none" w:sz="0" w:space="0" w:color="auto"/>
            <w:left w:val="none" w:sz="0" w:space="0" w:color="auto"/>
            <w:bottom w:val="none" w:sz="0" w:space="0" w:color="auto"/>
            <w:right w:val="none" w:sz="0" w:space="0" w:color="auto"/>
          </w:divBdr>
        </w:div>
        <w:div w:id="1954896989">
          <w:marLeft w:val="0"/>
          <w:marRight w:val="0"/>
          <w:marTop w:val="0"/>
          <w:marBottom w:val="0"/>
          <w:divBdr>
            <w:top w:val="none" w:sz="0" w:space="0" w:color="auto"/>
            <w:left w:val="none" w:sz="0" w:space="0" w:color="auto"/>
            <w:bottom w:val="none" w:sz="0" w:space="0" w:color="auto"/>
            <w:right w:val="none" w:sz="0" w:space="0" w:color="auto"/>
          </w:divBdr>
        </w:div>
        <w:div w:id="1963996498">
          <w:marLeft w:val="0"/>
          <w:marRight w:val="0"/>
          <w:marTop w:val="0"/>
          <w:marBottom w:val="0"/>
          <w:divBdr>
            <w:top w:val="none" w:sz="0" w:space="0" w:color="auto"/>
            <w:left w:val="none" w:sz="0" w:space="0" w:color="auto"/>
            <w:bottom w:val="none" w:sz="0" w:space="0" w:color="auto"/>
            <w:right w:val="none" w:sz="0" w:space="0" w:color="auto"/>
          </w:divBdr>
        </w:div>
        <w:div w:id="1972206159">
          <w:marLeft w:val="0"/>
          <w:marRight w:val="0"/>
          <w:marTop w:val="0"/>
          <w:marBottom w:val="0"/>
          <w:divBdr>
            <w:top w:val="none" w:sz="0" w:space="0" w:color="auto"/>
            <w:left w:val="none" w:sz="0" w:space="0" w:color="auto"/>
            <w:bottom w:val="none" w:sz="0" w:space="0" w:color="auto"/>
            <w:right w:val="none" w:sz="0" w:space="0" w:color="auto"/>
          </w:divBdr>
        </w:div>
        <w:div w:id="1987121271">
          <w:marLeft w:val="0"/>
          <w:marRight w:val="0"/>
          <w:marTop w:val="0"/>
          <w:marBottom w:val="0"/>
          <w:divBdr>
            <w:top w:val="none" w:sz="0" w:space="0" w:color="auto"/>
            <w:left w:val="none" w:sz="0" w:space="0" w:color="auto"/>
            <w:bottom w:val="none" w:sz="0" w:space="0" w:color="auto"/>
            <w:right w:val="none" w:sz="0" w:space="0" w:color="auto"/>
          </w:divBdr>
        </w:div>
        <w:div w:id="1989165213">
          <w:marLeft w:val="0"/>
          <w:marRight w:val="0"/>
          <w:marTop w:val="0"/>
          <w:marBottom w:val="0"/>
          <w:divBdr>
            <w:top w:val="none" w:sz="0" w:space="0" w:color="auto"/>
            <w:left w:val="none" w:sz="0" w:space="0" w:color="auto"/>
            <w:bottom w:val="none" w:sz="0" w:space="0" w:color="auto"/>
            <w:right w:val="none" w:sz="0" w:space="0" w:color="auto"/>
          </w:divBdr>
        </w:div>
        <w:div w:id="1989942185">
          <w:marLeft w:val="0"/>
          <w:marRight w:val="0"/>
          <w:marTop w:val="0"/>
          <w:marBottom w:val="0"/>
          <w:divBdr>
            <w:top w:val="none" w:sz="0" w:space="0" w:color="auto"/>
            <w:left w:val="none" w:sz="0" w:space="0" w:color="auto"/>
            <w:bottom w:val="none" w:sz="0" w:space="0" w:color="auto"/>
            <w:right w:val="none" w:sz="0" w:space="0" w:color="auto"/>
          </w:divBdr>
        </w:div>
        <w:div w:id="1994984511">
          <w:marLeft w:val="0"/>
          <w:marRight w:val="0"/>
          <w:marTop w:val="0"/>
          <w:marBottom w:val="0"/>
          <w:divBdr>
            <w:top w:val="none" w:sz="0" w:space="0" w:color="auto"/>
            <w:left w:val="none" w:sz="0" w:space="0" w:color="auto"/>
            <w:bottom w:val="none" w:sz="0" w:space="0" w:color="auto"/>
            <w:right w:val="none" w:sz="0" w:space="0" w:color="auto"/>
          </w:divBdr>
        </w:div>
        <w:div w:id="1997763913">
          <w:marLeft w:val="0"/>
          <w:marRight w:val="0"/>
          <w:marTop w:val="0"/>
          <w:marBottom w:val="0"/>
          <w:divBdr>
            <w:top w:val="none" w:sz="0" w:space="0" w:color="auto"/>
            <w:left w:val="none" w:sz="0" w:space="0" w:color="auto"/>
            <w:bottom w:val="none" w:sz="0" w:space="0" w:color="auto"/>
            <w:right w:val="none" w:sz="0" w:space="0" w:color="auto"/>
          </w:divBdr>
        </w:div>
        <w:div w:id="1998147670">
          <w:marLeft w:val="0"/>
          <w:marRight w:val="0"/>
          <w:marTop w:val="0"/>
          <w:marBottom w:val="0"/>
          <w:divBdr>
            <w:top w:val="none" w:sz="0" w:space="0" w:color="auto"/>
            <w:left w:val="none" w:sz="0" w:space="0" w:color="auto"/>
            <w:bottom w:val="none" w:sz="0" w:space="0" w:color="auto"/>
            <w:right w:val="none" w:sz="0" w:space="0" w:color="auto"/>
          </w:divBdr>
        </w:div>
        <w:div w:id="1999268307">
          <w:marLeft w:val="0"/>
          <w:marRight w:val="0"/>
          <w:marTop w:val="0"/>
          <w:marBottom w:val="0"/>
          <w:divBdr>
            <w:top w:val="none" w:sz="0" w:space="0" w:color="auto"/>
            <w:left w:val="none" w:sz="0" w:space="0" w:color="auto"/>
            <w:bottom w:val="none" w:sz="0" w:space="0" w:color="auto"/>
            <w:right w:val="none" w:sz="0" w:space="0" w:color="auto"/>
          </w:divBdr>
        </w:div>
        <w:div w:id="2026445964">
          <w:marLeft w:val="0"/>
          <w:marRight w:val="0"/>
          <w:marTop w:val="0"/>
          <w:marBottom w:val="0"/>
          <w:divBdr>
            <w:top w:val="none" w:sz="0" w:space="0" w:color="auto"/>
            <w:left w:val="none" w:sz="0" w:space="0" w:color="auto"/>
            <w:bottom w:val="none" w:sz="0" w:space="0" w:color="auto"/>
            <w:right w:val="none" w:sz="0" w:space="0" w:color="auto"/>
          </w:divBdr>
        </w:div>
        <w:div w:id="2027057332">
          <w:marLeft w:val="0"/>
          <w:marRight w:val="0"/>
          <w:marTop w:val="0"/>
          <w:marBottom w:val="0"/>
          <w:divBdr>
            <w:top w:val="none" w:sz="0" w:space="0" w:color="auto"/>
            <w:left w:val="none" w:sz="0" w:space="0" w:color="auto"/>
            <w:bottom w:val="none" w:sz="0" w:space="0" w:color="auto"/>
            <w:right w:val="none" w:sz="0" w:space="0" w:color="auto"/>
          </w:divBdr>
        </w:div>
        <w:div w:id="2028090892">
          <w:marLeft w:val="0"/>
          <w:marRight w:val="0"/>
          <w:marTop w:val="0"/>
          <w:marBottom w:val="0"/>
          <w:divBdr>
            <w:top w:val="none" w:sz="0" w:space="0" w:color="auto"/>
            <w:left w:val="none" w:sz="0" w:space="0" w:color="auto"/>
            <w:bottom w:val="none" w:sz="0" w:space="0" w:color="auto"/>
            <w:right w:val="none" w:sz="0" w:space="0" w:color="auto"/>
          </w:divBdr>
        </w:div>
        <w:div w:id="2029942967">
          <w:marLeft w:val="0"/>
          <w:marRight w:val="0"/>
          <w:marTop w:val="0"/>
          <w:marBottom w:val="0"/>
          <w:divBdr>
            <w:top w:val="none" w:sz="0" w:space="0" w:color="auto"/>
            <w:left w:val="none" w:sz="0" w:space="0" w:color="auto"/>
            <w:bottom w:val="none" w:sz="0" w:space="0" w:color="auto"/>
            <w:right w:val="none" w:sz="0" w:space="0" w:color="auto"/>
          </w:divBdr>
        </w:div>
        <w:div w:id="2038968201">
          <w:marLeft w:val="0"/>
          <w:marRight w:val="0"/>
          <w:marTop w:val="0"/>
          <w:marBottom w:val="0"/>
          <w:divBdr>
            <w:top w:val="none" w:sz="0" w:space="0" w:color="auto"/>
            <w:left w:val="none" w:sz="0" w:space="0" w:color="auto"/>
            <w:bottom w:val="none" w:sz="0" w:space="0" w:color="auto"/>
            <w:right w:val="none" w:sz="0" w:space="0" w:color="auto"/>
          </w:divBdr>
        </w:div>
        <w:div w:id="2039814750">
          <w:marLeft w:val="0"/>
          <w:marRight w:val="0"/>
          <w:marTop w:val="0"/>
          <w:marBottom w:val="0"/>
          <w:divBdr>
            <w:top w:val="none" w:sz="0" w:space="0" w:color="auto"/>
            <w:left w:val="none" w:sz="0" w:space="0" w:color="auto"/>
            <w:bottom w:val="none" w:sz="0" w:space="0" w:color="auto"/>
            <w:right w:val="none" w:sz="0" w:space="0" w:color="auto"/>
          </w:divBdr>
        </w:div>
        <w:div w:id="2042628909">
          <w:marLeft w:val="0"/>
          <w:marRight w:val="0"/>
          <w:marTop w:val="0"/>
          <w:marBottom w:val="0"/>
          <w:divBdr>
            <w:top w:val="none" w:sz="0" w:space="0" w:color="auto"/>
            <w:left w:val="none" w:sz="0" w:space="0" w:color="auto"/>
            <w:bottom w:val="none" w:sz="0" w:space="0" w:color="auto"/>
            <w:right w:val="none" w:sz="0" w:space="0" w:color="auto"/>
          </w:divBdr>
        </w:div>
        <w:div w:id="2053381317">
          <w:marLeft w:val="0"/>
          <w:marRight w:val="0"/>
          <w:marTop w:val="0"/>
          <w:marBottom w:val="0"/>
          <w:divBdr>
            <w:top w:val="none" w:sz="0" w:space="0" w:color="auto"/>
            <w:left w:val="none" w:sz="0" w:space="0" w:color="auto"/>
            <w:bottom w:val="none" w:sz="0" w:space="0" w:color="auto"/>
            <w:right w:val="none" w:sz="0" w:space="0" w:color="auto"/>
          </w:divBdr>
        </w:div>
        <w:div w:id="2056193277">
          <w:marLeft w:val="0"/>
          <w:marRight w:val="0"/>
          <w:marTop w:val="0"/>
          <w:marBottom w:val="0"/>
          <w:divBdr>
            <w:top w:val="none" w:sz="0" w:space="0" w:color="auto"/>
            <w:left w:val="none" w:sz="0" w:space="0" w:color="auto"/>
            <w:bottom w:val="none" w:sz="0" w:space="0" w:color="auto"/>
            <w:right w:val="none" w:sz="0" w:space="0" w:color="auto"/>
          </w:divBdr>
        </w:div>
        <w:div w:id="2062096776">
          <w:marLeft w:val="0"/>
          <w:marRight w:val="0"/>
          <w:marTop w:val="0"/>
          <w:marBottom w:val="0"/>
          <w:divBdr>
            <w:top w:val="none" w:sz="0" w:space="0" w:color="auto"/>
            <w:left w:val="none" w:sz="0" w:space="0" w:color="auto"/>
            <w:bottom w:val="none" w:sz="0" w:space="0" w:color="auto"/>
            <w:right w:val="none" w:sz="0" w:space="0" w:color="auto"/>
          </w:divBdr>
        </w:div>
        <w:div w:id="2068186321">
          <w:marLeft w:val="0"/>
          <w:marRight w:val="0"/>
          <w:marTop w:val="0"/>
          <w:marBottom w:val="0"/>
          <w:divBdr>
            <w:top w:val="none" w:sz="0" w:space="0" w:color="auto"/>
            <w:left w:val="none" w:sz="0" w:space="0" w:color="auto"/>
            <w:bottom w:val="none" w:sz="0" w:space="0" w:color="auto"/>
            <w:right w:val="none" w:sz="0" w:space="0" w:color="auto"/>
          </w:divBdr>
        </w:div>
        <w:div w:id="2082016607">
          <w:marLeft w:val="0"/>
          <w:marRight w:val="0"/>
          <w:marTop w:val="0"/>
          <w:marBottom w:val="0"/>
          <w:divBdr>
            <w:top w:val="none" w:sz="0" w:space="0" w:color="auto"/>
            <w:left w:val="none" w:sz="0" w:space="0" w:color="auto"/>
            <w:bottom w:val="none" w:sz="0" w:space="0" w:color="auto"/>
            <w:right w:val="none" w:sz="0" w:space="0" w:color="auto"/>
          </w:divBdr>
        </w:div>
        <w:div w:id="2094430001">
          <w:marLeft w:val="0"/>
          <w:marRight w:val="0"/>
          <w:marTop w:val="0"/>
          <w:marBottom w:val="0"/>
          <w:divBdr>
            <w:top w:val="none" w:sz="0" w:space="0" w:color="auto"/>
            <w:left w:val="none" w:sz="0" w:space="0" w:color="auto"/>
            <w:bottom w:val="none" w:sz="0" w:space="0" w:color="auto"/>
            <w:right w:val="none" w:sz="0" w:space="0" w:color="auto"/>
          </w:divBdr>
        </w:div>
        <w:div w:id="2098092964">
          <w:marLeft w:val="0"/>
          <w:marRight w:val="0"/>
          <w:marTop w:val="0"/>
          <w:marBottom w:val="0"/>
          <w:divBdr>
            <w:top w:val="none" w:sz="0" w:space="0" w:color="auto"/>
            <w:left w:val="none" w:sz="0" w:space="0" w:color="auto"/>
            <w:bottom w:val="none" w:sz="0" w:space="0" w:color="auto"/>
            <w:right w:val="none" w:sz="0" w:space="0" w:color="auto"/>
          </w:divBdr>
        </w:div>
        <w:div w:id="2101096973">
          <w:marLeft w:val="0"/>
          <w:marRight w:val="0"/>
          <w:marTop w:val="0"/>
          <w:marBottom w:val="0"/>
          <w:divBdr>
            <w:top w:val="none" w:sz="0" w:space="0" w:color="auto"/>
            <w:left w:val="none" w:sz="0" w:space="0" w:color="auto"/>
            <w:bottom w:val="none" w:sz="0" w:space="0" w:color="auto"/>
            <w:right w:val="none" w:sz="0" w:space="0" w:color="auto"/>
          </w:divBdr>
        </w:div>
        <w:div w:id="2105682450">
          <w:marLeft w:val="0"/>
          <w:marRight w:val="0"/>
          <w:marTop w:val="0"/>
          <w:marBottom w:val="0"/>
          <w:divBdr>
            <w:top w:val="none" w:sz="0" w:space="0" w:color="auto"/>
            <w:left w:val="none" w:sz="0" w:space="0" w:color="auto"/>
            <w:bottom w:val="none" w:sz="0" w:space="0" w:color="auto"/>
            <w:right w:val="none" w:sz="0" w:space="0" w:color="auto"/>
          </w:divBdr>
        </w:div>
        <w:div w:id="2111269546">
          <w:marLeft w:val="0"/>
          <w:marRight w:val="0"/>
          <w:marTop w:val="0"/>
          <w:marBottom w:val="0"/>
          <w:divBdr>
            <w:top w:val="none" w:sz="0" w:space="0" w:color="auto"/>
            <w:left w:val="none" w:sz="0" w:space="0" w:color="auto"/>
            <w:bottom w:val="none" w:sz="0" w:space="0" w:color="auto"/>
            <w:right w:val="none" w:sz="0" w:space="0" w:color="auto"/>
          </w:divBdr>
        </w:div>
        <w:div w:id="2111386822">
          <w:marLeft w:val="0"/>
          <w:marRight w:val="0"/>
          <w:marTop w:val="0"/>
          <w:marBottom w:val="0"/>
          <w:divBdr>
            <w:top w:val="none" w:sz="0" w:space="0" w:color="auto"/>
            <w:left w:val="none" w:sz="0" w:space="0" w:color="auto"/>
            <w:bottom w:val="none" w:sz="0" w:space="0" w:color="auto"/>
            <w:right w:val="none" w:sz="0" w:space="0" w:color="auto"/>
          </w:divBdr>
        </w:div>
        <w:div w:id="2111969636">
          <w:marLeft w:val="0"/>
          <w:marRight w:val="0"/>
          <w:marTop w:val="0"/>
          <w:marBottom w:val="0"/>
          <w:divBdr>
            <w:top w:val="none" w:sz="0" w:space="0" w:color="auto"/>
            <w:left w:val="none" w:sz="0" w:space="0" w:color="auto"/>
            <w:bottom w:val="none" w:sz="0" w:space="0" w:color="auto"/>
            <w:right w:val="none" w:sz="0" w:space="0" w:color="auto"/>
          </w:divBdr>
        </w:div>
        <w:div w:id="2116510057">
          <w:marLeft w:val="0"/>
          <w:marRight w:val="0"/>
          <w:marTop w:val="0"/>
          <w:marBottom w:val="0"/>
          <w:divBdr>
            <w:top w:val="none" w:sz="0" w:space="0" w:color="auto"/>
            <w:left w:val="none" w:sz="0" w:space="0" w:color="auto"/>
            <w:bottom w:val="none" w:sz="0" w:space="0" w:color="auto"/>
            <w:right w:val="none" w:sz="0" w:space="0" w:color="auto"/>
          </w:divBdr>
        </w:div>
        <w:div w:id="2135638245">
          <w:marLeft w:val="0"/>
          <w:marRight w:val="0"/>
          <w:marTop w:val="0"/>
          <w:marBottom w:val="0"/>
          <w:divBdr>
            <w:top w:val="none" w:sz="0" w:space="0" w:color="auto"/>
            <w:left w:val="none" w:sz="0" w:space="0" w:color="auto"/>
            <w:bottom w:val="none" w:sz="0" w:space="0" w:color="auto"/>
            <w:right w:val="none" w:sz="0" w:space="0" w:color="auto"/>
          </w:divBdr>
        </w:div>
        <w:div w:id="2139714194">
          <w:marLeft w:val="0"/>
          <w:marRight w:val="0"/>
          <w:marTop w:val="0"/>
          <w:marBottom w:val="0"/>
          <w:divBdr>
            <w:top w:val="none" w:sz="0" w:space="0" w:color="auto"/>
            <w:left w:val="none" w:sz="0" w:space="0" w:color="auto"/>
            <w:bottom w:val="none" w:sz="0" w:space="0" w:color="auto"/>
            <w:right w:val="none" w:sz="0" w:space="0" w:color="auto"/>
          </w:divBdr>
        </w:div>
        <w:div w:id="2139762883">
          <w:marLeft w:val="0"/>
          <w:marRight w:val="0"/>
          <w:marTop w:val="0"/>
          <w:marBottom w:val="0"/>
          <w:divBdr>
            <w:top w:val="none" w:sz="0" w:space="0" w:color="auto"/>
            <w:left w:val="none" w:sz="0" w:space="0" w:color="auto"/>
            <w:bottom w:val="none" w:sz="0" w:space="0" w:color="auto"/>
            <w:right w:val="none" w:sz="0" w:space="0" w:color="auto"/>
          </w:divBdr>
        </w:div>
        <w:div w:id="2141219306">
          <w:marLeft w:val="0"/>
          <w:marRight w:val="0"/>
          <w:marTop w:val="0"/>
          <w:marBottom w:val="0"/>
          <w:divBdr>
            <w:top w:val="none" w:sz="0" w:space="0" w:color="auto"/>
            <w:left w:val="none" w:sz="0" w:space="0" w:color="auto"/>
            <w:bottom w:val="none" w:sz="0" w:space="0" w:color="auto"/>
            <w:right w:val="none" w:sz="0" w:space="0" w:color="auto"/>
          </w:divBdr>
        </w:div>
        <w:div w:id="2143383789">
          <w:marLeft w:val="0"/>
          <w:marRight w:val="0"/>
          <w:marTop w:val="0"/>
          <w:marBottom w:val="0"/>
          <w:divBdr>
            <w:top w:val="none" w:sz="0" w:space="0" w:color="auto"/>
            <w:left w:val="none" w:sz="0" w:space="0" w:color="auto"/>
            <w:bottom w:val="none" w:sz="0" w:space="0" w:color="auto"/>
            <w:right w:val="none" w:sz="0" w:space="0" w:color="auto"/>
          </w:divBdr>
        </w:div>
      </w:divsChild>
    </w:div>
    <w:div w:id="1937471334">
      <w:bodyDiv w:val="1"/>
      <w:marLeft w:val="0"/>
      <w:marRight w:val="0"/>
      <w:marTop w:val="0"/>
      <w:marBottom w:val="0"/>
      <w:divBdr>
        <w:top w:val="none" w:sz="0" w:space="0" w:color="auto"/>
        <w:left w:val="none" w:sz="0" w:space="0" w:color="auto"/>
        <w:bottom w:val="none" w:sz="0" w:space="0" w:color="auto"/>
        <w:right w:val="none" w:sz="0" w:space="0" w:color="auto"/>
      </w:divBdr>
      <w:divsChild>
        <w:div w:id="1509178088">
          <w:marLeft w:val="0"/>
          <w:marRight w:val="0"/>
          <w:marTop w:val="0"/>
          <w:marBottom w:val="0"/>
          <w:divBdr>
            <w:top w:val="none" w:sz="0" w:space="0" w:color="auto"/>
            <w:left w:val="none" w:sz="0" w:space="0" w:color="auto"/>
            <w:bottom w:val="none" w:sz="0" w:space="0" w:color="auto"/>
            <w:right w:val="none" w:sz="0" w:space="0" w:color="auto"/>
          </w:divBdr>
          <w:divsChild>
            <w:div w:id="256905743">
              <w:marLeft w:val="0"/>
              <w:marRight w:val="0"/>
              <w:marTop w:val="0"/>
              <w:marBottom w:val="0"/>
              <w:divBdr>
                <w:top w:val="none" w:sz="0" w:space="0" w:color="auto"/>
                <w:left w:val="none" w:sz="0" w:space="0" w:color="auto"/>
                <w:bottom w:val="none" w:sz="0" w:space="0" w:color="auto"/>
                <w:right w:val="none" w:sz="0" w:space="0" w:color="auto"/>
              </w:divBdr>
            </w:div>
            <w:div w:id="118883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1226">
      <w:bodyDiv w:val="1"/>
      <w:marLeft w:val="0"/>
      <w:marRight w:val="0"/>
      <w:marTop w:val="0"/>
      <w:marBottom w:val="0"/>
      <w:divBdr>
        <w:top w:val="none" w:sz="0" w:space="0" w:color="auto"/>
        <w:left w:val="none" w:sz="0" w:space="0" w:color="auto"/>
        <w:bottom w:val="none" w:sz="0" w:space="0" w:color="auto"/>
        <w:right w:val="none" w:sz="0" w:space="0" w:color="auto"/>
      </w:divBdr>
      <w:divsChild>
        <w:div w:id="1712068382">
          <w:marLeft w:val="0"/>
          <w:marRight w:val="0"/>
          <w:marTop w:val="0"/>
          <w:marBottom w:val="0"/>
          <w:divBdr>
            <w:top w:val="none" w:sz="0" w:space="0" w:color="auto"/>
            <w:left w:val="none" w:sz="0" w:space="0" w:color="auto"/>
            <w:bottom w:val="none" w:sz="0" w:space="0" w:color="auto"/>
            <w:right w:val="none" w:sz="0" w:space="0" w:color="auto"/>
          </w:divBdr>
        </w:div>
      </w:divsChild>
    </w:div>
    <w:div w:id="1993409532">
      <w:bodyDiv w:val="1"/>
      <w:marLeft w:val="0"/>
      <w:marRight w:val="0"/>
      <w:marTop w:val="0"/>
      <w:marBottom w:val="0"/>
      <w:divBdr>
        <w:top w:val="none" w:sz="0" w:space="0" w:color="auto"/>
        <w:left w:val="none" w:sz="0" w:space="0" w:color="auto"/>
        <w:bottom w:val="none" w:sz="0" w:space="0" w:color="auto"/>
        <w:right w:val="none" w:sz="0" w:space="0" w:color="auto"/>
      </w:divBdr>
      <w:divsChild>
        <w:div w:id="606697243">
          <w:marLeft w:val="0"/>
          <w:marRight w:val="0"/>
          <w:marTop w:val="0"/>
          <w:marBottom w:val="0"/>
          <w:divBdr>
            <w:top w:val="none" w:sz="0" w:space="0" w:color="auto"/>
            <w:left w:val="none" w:sz="0" w:space="0" w:color="auto"/>
            <w:bottom w:val="none" w:sz="0" w:space="0" w:color="auto"/>
            <w:right w:val="none" w:sz="0" w:space="0" w:color="auto"/>
          </w:divBdr>
          <w:divsChild>
            <w:div w:id="900292450">
              <w:marLeft w:val="0"/>
              <w:marRight w:val="0"/>
              <w:marTop w:val="0"/>
              <w:marBottom w:val="0"/>
              <w:divBdr>
                <w:top w:val="none" w:sz="0" w:space="0" w:color="auto"/>
                <w:left w:val="none" w:sz="0" w:space="0" w:color="auto"/>
                <w:bottom w:val="none" w:sz="0" w:space="0" w:color="auto"/>
                <w:right w:val="none" w:sz="0" w:space="0" w:color="auto"/>
              </w:divBdr>
            </w:div>
            <w:div w:id="164354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86893">
      <w:bodyDiv w:val="1"/>
      <w:marLeft w:val="0"/>
      <w:marRight w:val="0"/>
      <w:marTop w:val="0"/>
      <w:marBottom w:val="0"/>
      <w:divBdr>
        <w:top w:val="none" w:sz="0" w:space="0" w:color="auto"/>
        <w:left w:val="none" w:sz="0" w:space="0" w:color="auto"/>
        <w:bottom w:val="none" w:sz="0" w:space="0" w:color="auto"/>
        <w:right w:val="none" w:sz="0" w:space="0" w:color="auto"/>
      </w:divBdr>
      <w:divsChild>
        <w:div w:id="20277519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w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536271208\AppData\Roaming\CM_Tools\Templates\WordTemplates\A4\RBCCM\Memo.dotx" TargetMode="External"/></Relationships>
</file>

<file path=word/theme/theme1.xml><?xml version="1.0" encoding="utf-8"?>
<a:theme xmlns:a="http://schemas.openxmlformats.org/drawingml/2006/main" name="NewRBCPresentationToolsThemeFileFromWord">
  <a:themeElements>
    <a:clrScheme name="Custom 1">
      <a:dk1>
        <a:srgbClr val="000000"/>
      </a:dk1>
      <a:lt1>
        <a:srgbClr val="FFFFFF"/>
      </a:lt1>
      <a:dk2>
        <a:srgbClr val="002750"/>
      </a:dk2>
      <a:lt2>
        <a:srgbClr val="ADC2D2"/>
      </a:lt2>
      <a:accent1>
        <a:srgbClr val="002750"/>
      </a:accent1>
      <a:accent2>
        <a:srgbClr val="0051A5"/>
      </a:accent2>
      <a:accent3>
        <a:srgbClr val="6AADE4"/>
      </a:accent3>
      <a:accent4>
        <a:srgbClr val="FFD200"/>
      </a:accent4>
      <a:accent5>
        <a:srgbClr val="8499A6"/>
      </a:accent5>
      <a:accent6>
        <a:srgbClr val="9D8954"/>
      </a:accent6>
      <a:hlink>
        <a:srgbClr val="0051A5"/>
      </a:hlink>
      <a:folHlink>
        <a:srgbClr val="008FFA"/>
      </a:folHlink>
    </a:clrScheme>
    <a:fontScheme name="RBCCM_2014_Landscape">
      <a:majorFont>
        <a:latin typeface="Arial"/>
        <a:ea typeface="Geneva"/>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solidFill>
          <a:srgbClr val="EBF0F5"/>
        </a:solidFill>
        <a:ln>
          <a:noFill/>
        </a:ln>
        <a:effectLst/>
        <a:extLst>
          <a:ext uri="{91240B29-F687-4F45-9708-019B960494DF}">
            <a14:hiddenLine xmlns:a14="http://schemas.microsoft.com/office/drawing/2010/main" w="9525" cap="flat" cmpd="sng" algn="ctr">
              <a:solidFill>
                <a:srgbClr val="000000"/>
              </a:solidFill>
              <a:prstDash val="solid"/>
              <a:round/>
              <a:headEnd type="none" w="med" len="med"/>
              <a:tailEnd type="none" w="med" len="med"/>
            </a14:hiddenLine>
          </a:ext>
          <a:ext uri="{AF507438-7753-43E0-B8FC-AC1667EBCBE1}">
            <a14:hiddenEffects xmlns:a14="http://schemas.microsoft.com/office/drawing/2010/main">
              <a:effectLst>
                <a:outerShdw dist="35921" dir="2700000" algn="ctr" rotWithShape="0">
                  <a:srgbClr val="808080"/>
                </a:outerShdw>
              </a:effectLst>
            </a14:hiddenEffects>
          </a:ext>
        </a:extLst>
      </a:spPr>
      <a:bodyPr rot="0" spcFirstLastPara="0" vertOverflow="overflow" horzOverflow="overflow" vert="horz" wrap="square" lIns="0" tIns="0" rIns="0" bIns="0" numCol="1" spcCol="0" rtlCol="0" fromWordArt="0" anchor="t" anchorCtr="0" forceAA="0" compatLnSpc="1">
        <a:prstTxWarp prst="textNoShape">
          <a:avLst/>
        </a:prstTxWarp>
        <a:noAutofit/>
      </a:bodyPr>
      <a:lstStyle>
        <a:defPPr marL="0" marR="0" indent="0" algn="l" defTabSz="511175" rtl="0" eaLnBrk="1" fontAlgn="base" latinLnBrk="0" hangingPunct="1">
          <a:lnSpc>
            <a:spcPct val="100000"/>
          </a:lnSpc>
          <a:spcBef>
            <a:spcPct val="0"/>
          </a:spcBef>
          <a:spcAft>
            <a:spcPct val="0"/>
          </a:spcAft>
          <a:buClrTx/>
          <a:buSzTx/>
          <a:buFontTx/>
          <a:buNone/>
          <a:tabLst/>
          <a:defRPr kumimoji="0" sz="1000" i="0" u="none" strike="noStrike" cap="none" normalizeH="0" baseline="0" smtClean="0">
            <a:ln>
              <a:noFill/>
            </a:ln>
            <a:solidFill>
              <a:srgbClr val="000000"/>
            </a:solidFill>
            <a:effectLst/>
            <a:latin typeface="Arial" panose="020B0604020202020204" pitchFamily="34" charset="0"/>
            <a:ea typeface="Geneva" pitchFamily="1" charset="-128"/>
          </a:defRPr>
        </a:defPPr>
      </a:lstStyle>
    </a:spDef>
    <a:lnDef>
      <a:spPr bwMode="auto">
        <a:noFill/>
        <a:ln w="9525" cap="flat" cmpd="sng" algn="ctr">
          <a:solidFill>
            <a:srgbClr val="000000"/>
          </a:solidFill>
          <a:prstDash val="solid"/>
          <a:round/>
          <a:headEnd type="none" w="med" len="med"/>
          <a:tailEnd type="none" w="med" len="me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a:spPr>
      <a:bodyPr/>
      <a:lstStyle/>
    </a:lnDef>
    <a:txDef>
      <a:spPr>
        <a:noFill/>
        <a:extLst>
          <a:ext uri="{909E8E84-426E-40DD-AFC4-6F175D3DCCD1}">
            <a14:hiddenFill xmlns:a14="http://schemas.microsoft.com/office/drawing/2010/main">
              <a:solidFill>
                <a:srgbClr val="EBF0F5"/>
              </a:solidFill>
            </a14:hiddenFill>
          </a:ext>
        </a:extLst>
      </a:spPr>
      <a:bodyPr vert="horz" wrap="square" rtlCol="0">
        <a:noAutofit/>
      </a:bodyPr>
      <a:lstStyle>
        <a:defPPr algn="l">
          <a:defRPr sz="1000" dirty="0" smtClean="0">
            <a:solidFill>
              <a:srgbClr val="000000"/>
            </a:solidFill>
            <a:latin typeface="Arial" panose="020B0604020202020204" pitchFamily="34" charset="0"/>
          </a:defRPr>
        </a:defPPr>
      </a:lstStyle>
    </a:txDef>
  </a:objectDefaults>
  <a:extraClrSchemeLst>
    <a:extraClrScheme>
      <a:clrScheme name="RBCCM_2014_Landscape 1">
        <a:dk1>
          <a:srgbClr val="000000"/>
        </a:dk1>
        <a:lt1>
          <a:srgbClr val="FFFFFF"/>
        </a:lt1>
        <a:dk2>
          <a:srgbClr val="003263"/>
        </a:dk2>
        <a:lt2>
          <a:srgbClr val="FFD200"/>
        </a:lt2>
        <a:accent1>
          <a:srgbClr val="0060A9"/>
        </a:accent1>
        <a:accent2>
          <a:srgbClr val="6AADE4"/>
        </a:accent2>
        <a:accent3>
          <a:srgbClr val="FFFFFF"/>
        </a:accent3>
        <a:accent4>
          <a:srgbClr val="000000"/>
        </a:accent4>
        <a:accent5>
          <a:srgbClr val="AAB6D1"/>
        </a:accent5>
        <a:accent6>
          <a:srgbClr val="5F9CCF"/>
        </a:accent6>
        <a:hlink>
          <a:srgbClr val="6F6E6F"/>
        </a:hlink>
        <a:folHlink>
          <a:srgbClr val="8499A6"/>
        </a:folHlink>
      </a:clrScheme>
      <a:clrMap bg1="lt1" tx1="dk1" bg2="lt2" tx2="dk2" accent1="accent1" accent2="accent2" accent3="accent3" accent4="accent4" accent5="accent5" accent6="accent6" hlink="hlink" folHlink="folHlink"/>
    </a:extraClrScheme>
  </a:extraClrSchemeLst>
  <a:custClrLst>
    <a:custClr name="Dark Blue">
      <a:srgbClr val="002750"/>
    </a:custClr>
    <a:custClr name="Bright Blue">
      <a:srgbClr val="0051A5"/>
    </a:custClr>
    <a:custClr name="Light Blue">
      <a:srgbClr val="73B0E3"/>
    </a:custClr>
    <a:custClr name="Yellow">
      <a:srgbClr val="FEDF01"/>
    </a:custClr>
    <a:custClr name="Blue-Grey">
      <a:srgbClr val="8499A6"/>
    </a:custClr>
    <a:custClr name="Gold">
      <a:srgbClr val="E8CF00"/>
    </a:custClr>
    <a:custClr name="Orange">
      <a:srgbClr val="FCA311"/>
    </a:custClr>
    <a:custClr name="Red">
      <a:srgbClr val="9B301B"/>
    </a:custClr>
    <a:custClr name="Silver">
      <a:srgbClr val="700078"/>
    </a:custClr>
    <a:custClr name="Slate">
      <a:srgbClr val="6F6E6F"/>
    </a:custClr>
    <a:custClr name="Dark Blue Tint 1">
      <a:srgbClr val="74748E"/>
    </a:custClr>
    <a:custClr name="Bright Blue Tint 1">
      <a:srgbClr val="0800C3"/>
    </a:custClr>
    <a:custClr name="Light Blue Tint 2">
      <a:srgbClr val="E3F4FF"/>
    </a:custClr>
    <a:custClr name="Yellow Tint 1">
      <a:srgbClr val="FFE692"/>
    </a:custClr>
    <a:custClr name="Blue-Grey Tint 1">
      <a:srgbClr val="ADC2D2"/>
    </a:custClr>
    <a:custClr name="Gold Tint 1">
      <a:srgbClr val="F2E395"/>
    </a:custClr>
    <a:custClr name="Orange Tint 1">
      <a:srgbClr val="FDC16B"/>
    </a:custClr>
    <a:custClr name="Red Tint 1">
      <a:srgbClr val="BD695D"/>
    </a:custClr>
    <a:custClr name="Silver Tint 3">
      <a:srgbClr val="DCDDDE"/>
    </a:custClr>
    <a:custClr name="Slate Tint 1">
      <a:srgbClr val="9D9D9D"/>
    </a:custClr>
    <a:custClr name="Dark Blue Tint 2">
      <a:srgbClr val="BBBAC7"/>
    </a:custClr>
    <a:custClr name="Bright Blue Tint 2">
      <a:srgbClr val="C3E2FA"/>
    </a:custClr>
    <a:custClr name="Grey (table shading)">
      <a:srgbClr val="E6EBF0"/>
    </a:custClr>
    <a:custClr name="Yellow Tint 2">
      <a:srgbClr val="FFF3D5"/>
    </a:custClr>
    <a:custClr name="Blue-Grey Tint 2">
      <a:srgbClr val="D3DDE5"/>
    </a:custClr>
    <a:custClr name="Gold Tint 2">
      <a:srgbClr val="FBF7E6"/>
    </a:custClr>
    <a:custClr name="Orange Tint 2">
      <a:srgbClr val="FFE2BA"/>
    </a:custClr>
    <a:custClr name="Red Tint 2">
      <a:srgbClr val="DFB4AA"/>
    </a:custClr>
    <a:custClr name="Silver tint 4">
      <a:srgbClr val="F2F1F0"/>
    </a:custClr>
    <a:custClr name="Slate Tint 2">
      <a:srgbClr val="D7D7D7"/>
    </a:custClr>
    <a:custClr name="Light Grey">
      <a:srgbClr val="C1B5A5"/>
    </a:custClr>
    <a:custClr name="Beige">
      <a:srgbClr val="B8A970"/>
    </a:custClr>
    <a:custClr name="Brown">
      <a:srgbClr val="906646"/>
    </a:custClr>
    <a:custClr name="Apple">
      <a:srgbClr val="AABA0A"/>
    </a:custClr>
    <a:custClr name="Green">
      <a:srgbClr val="6B702B"/>
    </a:custClr>
    <a:custClr name="Warm red">
      <a:srgbClr val="F93F26"/>
    </a:custClr>
    <a:custClr name="Light Grey Tint 4">
      <a:srgbClr val="F4F2E8"/>
    </a:custClr>
    <a:custClr name="Beige Tint 4">
      <a:srgbClr val="F3F0E8"/>
    </a:custClr>
    <a:custClr name="Grey (map fill)">
      <a:srgbClr val="CDD1D0"/>
    </a:custClr>
    <a:custClr name="Warm red Tint 3">
      <a:srgbClr val="F4CEBB"/>
    </a:custClr>
    <a:custClr name="Light Grey Tint 2">
      <a:srgbClr val="E1DDD5"/>
    </a:custClr>
    <a:custClr name="Beige Tint 2">
      <a:srgbClr val="DFD8BF"/>
    </a:custClr>
    <a:custClr name="Brown Tint 2">
      <a:srgbClr val="D7BFAD"/>
    </a:custClr>
    <a:custClr name="Apple Tint 3">
      <a:srgbClr val="F2F3B9"/>
    </a:custClr>
    <a:custClr name="Green Tint 2">
      <a:srgbClr val="C8CE7C"/>
    </a:custClr>
  </a:custClrLst>
  <a:extLst>
    <a:ext uri="{05A4C25C-085E-4340-85A3-A5531E510DB2}">
      <thm15:themeFamily xmlns:thm15="http://schemas.microsoft.com/office/thememl/2012/main" name="NewRBCPresentationToolsThemeFileFromPowerPoint" id="{0F958595-073D-493C-A424-D79133AF84A0}" vid="{E88EAE35-7907-43BD-926C-094921D8B9C9}"/>
    </a:ext>
  </a:extLst>
</a:theme>
</file>

<file path=docProps/app.xml><?xml version="1.0" encoding="utf-8"?>
<Properties xmlns="http://schemas.openxmlformats.org/officeDocument/2006/extended-properties" xmlns:vt="http://schemas.openxmlformats.org/officeDocument/2006/docPropsVTypes">
  <Template>Memo</Template>
  <TotalTime>2</TotalTime>
  <Pages>1</Pages>
  <Words>14</Words>
  <Characters>77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Supporting your Growth &amp; Profitability</vt:lpstr>
    </vt:vector>
  </TitlesOfParts>
  <Manager/>
  <Company>RBC Investor Services</Company>
  <LinksUpToDate>false</LinksUpToDate>
  <CharactersWithSpaces>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your Growth &amp; Profitability</dc:title>
  <dc:subject/>
  <dc:creator>Ian Sinclair</dc:creator>
  <cp:keywords/>
  <dc:description/>
  <cp:lastModifiedBy>Ian Sinclair</cp:lastModifiedBy>
  <cp:revision>3</cp:revision>
  <cp:lastPrinted>2026-02-01T17:46:00Z</cp:lastPrinted>
  <dcterms:created xsi:type="dcterms:W3CDTF">2026-03-09T12:37:00Z</dcterms:created>
  <dcterms:modified xsi:type="dcterms:W3CDTF">2026-03-09T12:38:00Z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Name">
    <vt:lpwstr>Word Template</vt:lpwstr>
  </property>
  <property fmtid="{D5CDD505-2E9C-101B-9397-08002B2CF9AE}" pid="3" name="Version">
    <vt:lpwstr>1.00</vt:lpwstr>
  </property>
  <property fmtid="{D5CDD505-2E9C-101B-9397-08002B2CF9AE}" pid="4" name="Developer">
    <vt:lpwstr>Dylan Curry, Creative Design Manager</vt:lpwstr>
  </property>
  <property fmtid="{D5CDD505-2E9C-101B-9397-08002B2CF9AE}" pid="5" name="Client">
    <vt:lpwstr>RBC Investor Services</vt:lpwstr>
  </property>
  <property fmtid="{D5CDD505-2E9C-101B-9397-08002B2CF9AE}" pid="6" name="Language">
    <vt:i4>44</vt:i4>
  </property>
  <property fmtid="{D5CDD505-2E9C-101B-9397-08002B2CF9AE}" pid="7" name="ListSeperator">
    <vt:lpwstr/>
  </property>
  <property fmtid="{D5CDD505-2E9C-101B-9397-08002B2CF9AE}" pid="8" name="RBCLogoUsed">
    <vt:lpwstr>RBCCM</vt:lpwstr>
  </property>
  <property fmtid="{D5CDD505-2E9C-101B-9397-08002B2CF9AE}" pid="9" name="RBCGroup">
    <vt:lpwstr>Capital Markets</vt:lpwstr>
  </property>
  <property fmtid="{D5CDD505-2E9C-101B-9397-08002B2CF9AE}" pid="10" name="MSIP_Label_f01692fd-22c0-4d57-8827-ca1b33aa058d_Enabled">
    <vt:lpwstr>true</vt:lpwstr>
  </property>
  <property fmtid="{D5CDD505-2E9C-101B-9397-08002B2CF9AE}" pid="11" name="MSIP_Label_f01692fd-22c0-4d57-8827-ca1b33aa058d_Method">
    <vt:lpwstr>Privileged</vt:lpwstr>
  </property>
  <property fmtid="{D5CDD505-2E9C-101B-9397-08002B2CF9AE}" pid="12" name="MSIP_Label_f01692fd-22c0-4d57-8827-ca1b33aa058d_SiteId">
    <vt:lpwstr>9323b596-236d-4890-bed3-60232a849027</vt:lpwstr>
  </property>
  <property fmtid="{D5CDD505-2E9C-101B-9397-08002B2CF9AE}" pid="13" name="Classification">
    <vt:lpwstr>TT_RBC_Internal</vt:lpwstr>
  </property>
</Properties>
</file>