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2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21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accelerating regulatory push toward shorter settlement cycles globally, with ESMA formally confirming a Q4 2027 target for T+1 migration across European markets, forcing investor services providers to mobilise large-scale programme resources. Equity markets have been broadly constructive in the first half of the month, buoyed by the Federal Reserve signalling a pause in its tightening bias after holding rates steady at its March meeting, although volatility has risen on renewed tariff uncertainty between the US and China. In the competitive landscape, State Street's announced acquisition of a mid-sized European fund administration platform signals continued consolidation pressure in the sector, while tokenisation pilots from major custodians are moving from proof-of-concept toward production. Operationally, a sophisticated cyber incident targeting a SWIFT alliance member in Asia-Pacific has elevated cyber risk awareness across the correspondent banking and securities messaging ecosystem, reinforcing the need for enhanced resilience investment.</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Federal Reserve held the federal funds rate at 4.50-4.75% at its 18-19 March meeting, with the dot plot suggesting one possible cut in H2 2026; the 10-year US Treasury yield has drifted lower toward 4.10%, compressing term premia and increasing duration sensitivity across custody-held fixed income portfolios.</w:t>
      </w:r>
    </w:p>
    <w:p>
      <w:pPr>
        <w:spacing w:after="60"/>
      </w:pPr>
      <w:r>
        <w:rPr>
          <w:rFonts w:ascii="Calibri" w:hAnsi="Calibri"/>
          <w:sz w:val="21"/>
        </w:rPr>
        <w:t>Global equities have posted modest gains month-to-date, with the S&amp;P 500 up approximately 1.5% and EURO STOXX 50 outperforming on improved eurozone PMI data; higher asset valuations translate to incremental AuC/A revenue uplift for asset servicers billing on basis-point schedules.</w:t>
      </w:r>
    </w:p>
    <w:p>
      <w:pPr>
        <w:spacing w:after="60"/>
      </w:pPr>
      <w:r>
        <w:rPr>
          <w:rFonts w:ascii="Calibri" w:hAnsi="Calibri"/>
          <w:sz w:val="21"/>
        </w:rPr>
        <w:t>The US dollar has weakened modestly against the euro (EUR/USD approaching 1.10) and sterling (GBP/USD near 1.29) as relative rate differentials narrow; FX transaction volumes remain elevated, supporting custody-adjacent FX revenue streams but requiring close monitoring of counterparty exposures.</w:t>
      </w:r>
    </w:p>
    <w:p>
      <w:pPr>
        <w:spacing w:after="60"/>
      </w:pPr>
      <w:r>
        <w:rPr>
          <w:rFonts w:ascii="Calibri" w:hAnsi="Calibri"/>
          <w:sz w:val="21"/>
        </w:rPr>
        <w:t>Brent crude has traded in the USD 78-82 range amid mixed demand signals from China and continued OPEC+ supply discipline; commodity-linked fund flows remain volatile, affecting NAV computation workloads for administrators with commodity fund mandates.</w:t>
      </w:r>
    </w:p>
    <w:p>
      <w:pPr>
        <w:spacing w:after="60"/>
      </w:pPr>
      <w:r>
        <w:rPr>
          <w:rFonts w:ascii="Calibri" w:hAnsi="Calibri"/>
          <w:sz w:val="21"/>
        </w:rPr>
        <w:t>Japanese equity markets have been supported by continued corporate governance reforms and a mildly weaker yen (USD/JPY approximately 150), sustaining foreign investor appetite and cross-border settlement volumes in the Tokyo market.</w:t>
      </w:r>
    </w:p>
    <w:p>
      <w:pPr>
        <w:spacing w:after="60"/>
      </w:pPr>
      <w:r>
        <w:rPr>
          <w:rFonts w:ascii="Calibri" w:hAnsi="Calibri"/>
          <w:sz w:val="21"/>
        </w:rPr>
        <w:t>Credit spreads in US investment grade have tightened to approximately 90 basis points over Treasuries, near cyclical lows, signalling benign credit conditions but raising valuation risk for fixed income funds under administration should sentiment reverse quickly.</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ESMA published its final policy roadmap on 7 March confirming that EU and EEA markets will migrate to T+1 settlement no later than Q4 2027, with a detailed consultation on CSD regulation amendments expected in May 2026; this sets a firm clock for investor services operational readiness across matching, funding, and fails management processes.</w:t>
      </w:r>
    </w:p>
    <w:p>
      <w:pPr>
        <w:spacing w:after="60"/>
      </w:pPr>
      <w:r>
        <w:rPr>
          <w:rFonts w:ascii="Calibri" w:hAnsi="Calibri"/>
          <w:sz w:val="21"/>
        </w:rPr>
        <w:t>The SEC has advanced its proposal to expand Form PF reporting requirements for private fund advisers, with a comment deadline of 15 April 2026; the expanded data fields on leverage, liquidity, and counterparty exposure will increase the reporting burden on fund administrators serving US-registered alternative funds.</w:t>
      </w:r>
    </w:p>
    <w:p>
      <w:pPr>
        <w:spacing w:after="60"/>
      </w:pPr>
      <w:r>
        <w:rPr>
          <w:rFonts w:ascii="Calibri" w:hAnsi="Calibri"/>
          <w:sz w:val="21"/>
        </w:rPr>
        <w:t>The UK Financial Conduct Authority issued a consultation paper (CP26/5) on 12 March proposing updated operational resilience rules for critical third parties in financial services, explicitly referencing custodians and fund administrators as in-scope entities; responses are due by June 2026.</w:t>
      </w:r>
    </w:p>
    <w:p>
      <w:pPr>
        <w:spacing w:after="60"/>
      </w:pPr>
      <w:r>
        <w:rPr>
          <w:rFonts w:ascii="Calibri" w:hAnsi="Calibri"/>
          <w:sz w:val="21"/>
        </w:rPr>
        <w:t>Luxembourg's CSSF released updated guidance on substance requirements for ManCo and AIFM delegates, tightening expectations around local staffing, board oversight, and IT infrastructure, with compliance expected by end-2026; this is directly relevant to RBCIS Luxembourg operations.</w:t>
      </w:r>
    </w:p>
    <w:p>
      <w:pPr>
        <w:spacing w:after="60"/>
      </w:pPr>
      <w:r>
        <w:rPr>
          <w:rFonts w:ascii="Calibri" w:hAnsi="Calibri"/>
          <w:sz w:val="21"/>
        </w:rPr>
        <w:t>The Canadian Securities Administrators and the OSC published a joint staff notice reaffirming the expectation that Canadian market participants prepare for potential T+1 alignment with the US (already live since May 2024), now focusing on misalignment risks for cross-listed and dual-settled securities.</w:t>
      </w:r>
    </w:p>
    <w:p>
      <w:pPr>
        <w:spacing w:after="60"/>
      </w:pPr>
      <w:r>
        <w:rPr>
          <w:rFonts w:ascii="Calibri" w:hAnsi="Calibri"/>
          <w:sz w:val="21"/>
        </w:rPr>
        <w:t>The Financial Action Task Force released its updated guidance on virtual asset service provider supervision in early March, with implications for custodians offering digital asset safekeeping services; national regulators are expected to incorporate the guidance into domestic AML/KYC frameworks over the next 12 months.</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State Street announced on 10 March a definitive agreement to acquire Fidelis Fund Services, a Luxembourg and Dublin-based fund administration provider with approximately EUR 120 billion in assets under administration, in a transaction valued at roughly EUR 600 million; the deal accelerates State Street's European alternatives servicing capabilities and intensifies competitive pressure on mid-market administrators.</w:t>
      </w:r>
    </w:p>
    <w:p>
      <w:pPr>
        <w:spacing w:after="60"/>
      </w:pPr>
      <w:r>
        <w:rPr>
          <w:rFonts w:ascii="Calibri" w:hAnsi="Calibri"/>
          <w:sz w:val="21"/>
        </w:rPr>
        <w:t>BNY Mellon expanded its partnership with Chainalysis to enhance on-chain transaction monitoring across its digital custody platform, signalling the continued mainstreaming of digital asset servicing within traditional custodian offerings.</w:t>
      </w:r>
    </w:p>
    <w:p>
      <w:pPr>
        <w:spacing w:after="60"/>
      </w:pPr>
      <w:r>
        <w:rPr>
          <w:rFonts w:ascii="Calibri" w:hAnsi="Calibri"/>
          <w:sz w:val="21"/>
        </w:rPr>
        <w:t>Northern Trust launched a next-generation data analytics suite branded "Insight360" for institutional clients, integrating portfolio analytics, ESG scoring, and regulatory reporting into a single platform; the offering targets asset owners and is positioned to compete with multi-provider data aggregation solutions.</w:t>
      </w:r>
    </w:p>
    <w:p>
      <w:pPr>
        <w:spacing w:after="60"/>
      </w:pPr>
      <w:r>
        <w:rPr>
          <w:rFonts w:ascii="Calibri" w:hAnsi="Calibri"/>
          <w:sz w:val="21"/>
        </w:rPr>
        <w:t>Citi Securities Services announced a strategic alliance with Fnality International to explore the use of tokenised payment legs for securities settlement across multiple currencies, with a pilot expected in the London market by late 2026.</w:t>
      </w:r>
    </w:p>
    <w:p>
      <w:pPr>
        <w:spacing w:after="60"/>
      </w:pPr>
      <w:r>
        <w:rPr>
          <w:rFonts w:ascii="Calibri" w:hAnsi="Calibri"/>
          <w:sz w:val="21"/>
        </w:rPr>
        <w:t>HSBC Securities Services reported a 15% year-over-year increase in APAC custody mandates during its Q4 2025 results briefing held in early March, underscoring the continued shift in institutional asset allocation toward Asian markets and the importance of regional scale.</w:t>
      </w:r>
    </w:p>
    <w:p>
      <w:pPr>
        <w:spacing w:after="60"/>
      </w:pPr>
      <w:r>
        <w:rPr>
          <w:rFonts w:ascii="Calibri" w:hAnsi="Calibri"/>
          <w:sz w:val="21"/>
        </w:rPr>
        <w:t>FinTech challenger Quantexa raised USD 250 million in a Series F round, with plans to expand its AI-driven entity resolution and KYC platform into the fund administration segment, potentially disrupting incumbent AML compliance workflows.</w:t>
      </w:r>
    </w:p>
    <w:p>
      <w:pPr>
        <w:spacing w:before="240" w:after="80"/>
        <w:pBdr>
          <w:bottom w:val="single" w:sz="6" w:space="1" w:color="00429B"/>
        </w:pBdr>
      </w:pPr>
      <w:r>
        <w:rPr>
          <w:rFonts w:ascii="Calibri" w:hAnsi="Calibri"/>
          <w:b/>
          <w:color w:val="00429B"/>
          <w:sz w:val="26"/>
        </w:rPr>
        <w:t>5. RISK DASHBOARD</w:t>
      </w:r>
    </w:p>
    <w:p>
      <w:pPr>
        <w:spacing w:after="60"/>
      </w:pPr>
      <w:r>
        <w:rPr>
          <w:rFonts w:ascii="Calibri" w:hAnsi="Calibri"/>
          <w:sz w:val="21"/>
        </w:rPr>
        <w:t>Risk 1: European T+1 Migration Programme Execution</w:t>
      </w:r>
    </w:p>
    <w:p>
      <w:pPr>
        <w:spacing w:after="60"/>
      </w:pPr>
      <w:r>
        <w:rPr>
          <w:rFonts w:ascii="Calibri" w:hAnsi="Calibri"/>
          <w:sz w:val="21"/>
        </w:rPr>
        <w:t>Category: OPERATIONAL</w:t>
      </w:r>
    </w:p>
    <w:p>
      <w:pPr>
        <w:spacing w:after="60"/>
      </w:pPr>
      <w:r>
        <w:rPr>
          <w:rFonts w:ascii="Calibri" w:hAnsi="Calibri"/>
          <w:sz w:val="21"/>
        </w:rPr>
        <w:t>The confirmed ESMA timeline creates a compressed multi-year programme with dependencies on CSD readiness, market infrastructure upgrades, and client onboarding. Any delay in scoping or resourcing increases the risk of elevated fail rates and client dissatisfaction during and after migration.</w:t>
      </w:r>
    </w:p>
    <w:p>
      <w:pPr>
        <w:spacing w:after="60"/>
      </w:pPr>
      <w:r>
        <w:rPr>
          <w:rFonts w:ascii="Calibri" w:hAnsi="Calibri"/>
          <w:sz w:val="21"/>
        </w:rPr>
        <w:t>Direction: INCREASING</w:t>
      </w:r>
    </w:p>
    <w:p>
      <w:pPr>
        <w:spacing w:after="60"/>
      </w:pPr>
      <w:r>
        <w:rPr>
          <w:rFonts w:ascii="Calibri" w:hAnsi="Calibri"/>
          <w:sz w:val="21"/>
        </w:rPr>
        <w:t>Risk 2: Cyber Attack Propagation via Messaging Networks</w:t>
      </w:r>
    </w:p>
    <w:p>
      <w:pPr>
        <w:spacing w:after="60"/>
      </w:pPr>
      <w:r>
        <w:rPr>
          <w:rFonts w:ascii="Calibri" w:hAnsi="Calibri"/>
          <w:sz w:val="21"/>
        </w:rPr>
        <w:t>Category: CYBER</w:t>
      </w:r>
    </w:p>
    <w:p>
      <w:pPr>
        <w:spacing w:after="60"/>
      </w:pPr>
      <w:r>
        <w:rPr>
          <w:rFonts w:ascii="Calibri" w:hAnsi="Calibri"/>
          <w:sz w:val="21"/>
        </w:rPr>
        <w:t>A sophisticated intrusion targeting a SWIFT-connected institution in Asia-Pacific in early March has raised threat levels across the securities messaging ecosystem. The incident highlights persistent vulnerabilities in correspondent and sub-custodian communication channels.</w:t>
      </w:r>
    </w:p>
    <w:p>
      <w:pPr>
        <w:spacing w:after="60"/>
      </w:pPr>
      <w:r>
        <w:rPr>
          <w:rFonts w:ascii="Calibri" w:hAnsi="Calibri"/>
          <w:sz w:val="21"/>
        </w:rPr>
        <w:t>Direction: INCREASING</w:t>
      </w:r>
    </w:p>
    <w:p>
      <w:pPr>
        <w:spacing w:after="60"/>
      </w:pPr>
      <w:r>
        <w:rPr>
          <w:rFonts w:ascii="Calibri" w:hAnsi="Calibri"/>
          <w:sz w:val="21"/>
        </w:rPr>
        <w:t>Risk 3: US-China Tariff Escalation and EM Fund Flows</w:t>
      </w:r>
    </w:p>
    <w:p>
      <w:pPr>
        <w:spacing w:after="60"/>
      </w:pPr>
      <w:r>
        <w:rPr>
          <w:rFonts w:ascii="Calibri" w:hAnsi="Calibri"/>
          <w:sz w:val="21"/>
        </w:rPr>
        <w:t>Category: MARKET</w:t>
      </w:r>
    </w:p>
    <w:p>
      <w:pPr>
        <w:spacing w:after="60"/>
      </w:pPr>
      <w:r>
        <w:rPr>
          <w:rFonts w:ascii="Calibri" w:hAnsi="Calibri"/>
          <w:sz w:val="21"/>
        </w:rPr>
        <w:t>Renewed rhetoric around expanded US tariffs on Chinese technology imports has unsettled emerging market fund flows and increased FX volatility. Custodians with significant EM AuC face potential valuation swings and redemption-driven liquidity demands.</w:t>
      </w:r>
    </w:p>
    <w:p>
      <w:pPr>
        <w:spacing w:after="60"/>
      </w:pPr>
      <w:r>
        <w:rPr>
          <w:rFonts w:ascii="Calibri" w:hAnsi="Calibri"/>
          <w:sz w:val="21"/>
        </w:rPr>
        <w:t>Direction: INCREASING</w:t>
      </w:r>
    </w:p>
    <w:p>
      <w:pPr>
        <w:spacing w:after="60"/>
      </w:pPr>
      <w:r>
        <w:rPr>
          <w:rFonts w:ascii="Calibri" w:hAnsi="Calibri"/>
          <w:sz w:val="21"/>
        </w:rPr>
        <w:t>Risk 4: Private Fund Regulatory Reporting Burden</w:t>
      </w:r>
    </w:p>
    <w:p>
      <w:pPr>
        <w:spacing w:after="60"/>
      </w:pPr>
      <w:r>
        <w:rPr>
          <w:rFonts w:ascii="Calibri" w:hAnsi="Calibri"/>
          <w:sz w:val="21"/>
        </w:rPr>
        <w:t>Category: REGULATORY</w:t>
      </w:r>
    </w:p>
    <w:p>
      <w:pPr>
        <w:spacing w:after="60"/>
      </w:pPr>
      <w:r>
        <w:rPr>
          <w:rFonts w:ascii="Calibri" w:hAnsi="Calibri"/>
          <w:sz w:val="21"/>
        </w:rPr>
        <w:t>Expanding Form PF and AIFMD Annex IV requirements are increasing the volume and complexity of data that fund administrators must collect, validate, and file. Insufficient automation or data quality controls could lead to late filings and regulatory censure.</w:t>
      </w:r>
    </w:p>
    <w:p>
      <w:pPr>
        <w:spacing w:after="60"/>
      </w:pPr>
      <w:r>
        <w:rPr>
          <w:rFonts w:ascii="Calibri" w:hAnsi="Calibri"/>
          <w:sz w:val="21"/>
        </w:rPr>
        <w:t>Direction: INCREASING</w:t>
      </w:r>
    </w:p>
    <w:p>
      <w:pPr>
        <w:spacing w:after="60"/>
      </w:pPr>
      <w:r>
        <w:rPr>
          <w:rFonts w:ascii="Calibri" w:hAnsi="Calibri"/>
          <w:sz w:val="21"/>
        </w:rPr>
        <w:t>Risk 5: Counterparty Credit Concentration in Cleared Derivatives</w:t>
      </w:r>
    </w:p>
    <w:p>
      <w:pPr>
        <w:spacing w:after="60"/>
      </w:pPr>
      <w:r>
        <w:rPr>
          <w:rFonts w:ascii="Calibri" w:hAnsi="Calibri"/>
          <w:sz w:val="21"/>
        </w:rPr>
        <w:t>Category: CREDIT</w:t>
      </w:r>
    </w:p>
    <w:p>
      <w:pPr>
        <w:spacing w:after="60"/>
      </w:pPr>
      <w:r>
        <w:rPr>
          <w:rFonts w:ascii="Calibri" w:hAnsi="Calibri"/>
          <w:sz w:val="21"/>
        </w:rPr>
        <w:t>With CCP margin requirements remaining elevated and dealer balance sheets constrained at quarter-end, margin call fails and funding squeezes present concentration risk for funds under administration that rely on a narrow set of clearing brokers. Conditions are expected to normalise post quarter-end.</w:t>
      </w:r>
    </w:p>
    <w:p>
      <w:pPr>
        <w:spacing w:after="60"/>
      </w:pPr>
      <w:r>
        <w:rPr>
          <w:rFonts w:ascii="Calibri" w:hAnsi="Calibri"/>
          <w:sz w:val="21"/>
        </w:rPr>
        <w:t>Direction: STABLE</w:t>
      </w:r>
    </w:p>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Adoption of large language model-based automation in fund administration is accelerating, with several Tier 1 administrators (including HSBC and Northern Trust) disclosing in March that they have deployed generative AI tools for prospectus review, NAV commentary drafting, and exception management triage; early reported efficiency gains range from 20-35% in targeted processes.</w:t>
      </w:r>
    </w:p>
    <w:p>
      <w:pPr>
        <w:spacing w:after="60"/>
      </w:pPr>
      <w:r>
        <w:rPr>
          <w:rFonts w:ascii="Calibri" w:hAnsi="Calibri"/>
          <w:sz w:val="21"/>
        </w:rPr>
        <w:t>The European Investment Bank's second digital bond issuance on a DLT platform, completed on 5 March and settled via the Banque de France's wholesale CBDC pilot, demonstrated viable interoperability between tokenised securities and central bank money, a meaningful milestone for digital securities infrastructure.</w:t>
      </w:r>
    </w:p>
    <w:p>
      <w:pPr>
        <w:spacing w:after="60"/>
      </w:pPr>
      <w:r>
        <w:rPr>
          <w:rFonts w:ascii="Calibri" w:hAnsi="Calibri"/>
          <w:sz w:val="21"/>
        </w:rPr>
        <w:t>DTCC reported that US equity market settlement efficiency under the T+1 regime (live since May 2024) reached 97.5% affirmation rates in February 2026, up from 92% at launch; industry attention is now shifting to T+0 feasibility studies, with a DTCC working group expected to publish preliminary findings in Q3 2026.</w:t>
      </w:r>
    </w:p>
    <w:p>
      <w:pPr>
        <w:spacing w:after="60"/>
      </w:pPr>
      <w:r>
        <w:rPr>
          <w:rFonts w:ascii="Calibri" w:hAnsi="Calibri"/>
          <w:sz w:val="21"/>
        </w:rPr>
        <w:t>Franklin Templeton expanded its tokenised money market fund (the Benji platform) to a third blockchain network, reflecting growing investor appetite for on-chain cash management products and posing both an opportunity and a competitive challenge for fund administrators in the tokenised fund ecosystem.</w:t>
      </w:r>
    </w:p>
    <w:p>
      <w:pPr>
        <w:spacing w:after="60"/>
      </w:pPr>
      <w:r>
        <w:rPr>
          <w:rFonts w:ascii="Calibri" w:hAnsi="Calibri"/>
          <w:sz w:val="21"/>
        </w:rPr>
        <w:t>A coordinated ransomware campaign targeting mid-tier European transfer agents was reported by ENISA in its March threat bulletin, with at least two firms experiencing service disruptions; the incident underscores the need for investor services firms to extend cyber resilience assessments deep into outsourced vendor chains.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Start of Q2 2026; quarterly rebalancing activity expected to drive elevated settlement volumes across major equity and fixed income indices.</w:t>
      </w:r>
    </w:p>
    <w:p>
      <w:pPr>
        <w:spacing w:after="60"/>
      </w:pPr>
      <w:r>
        <w:rPr>
          <w:rFonts w:ascii="Calibri" w:hAnsi="Calibri"/>
          <w:sz w:val="21"/>
        </w:rPr>
        <w:t>02 Apr — US non-farm payrolls report (for March 2026); key macro indicator influencing rate expectations and risk asset positioning.</w:t>
      </w:r>
    </w:p>
    <w:p>
      <w:pPr>
        <w:spacing w:after="60"/>
      </w:pPr>
      <w:r>
        <w:rPr>
          <w:rFonts w:ascii="Calibri" w:hAnsi="Calibri"/>
          <w:sz w:val="21"/>
        </w:rPr>
        <w:t>07-08 Apr — ALFI European Asset Management Conference, Luxembourg; major industry gathering with expected focus on T+1 preparation and digital fund distribution.</w:t>
      </w:r>
    </w:p>
    <w:p>
      <w:pPr>
        <w:spacing w:after="60"/>
      </w:pPr>
      <w:r>
        <w:rPr>
          <w:rFonts w:ascii="Calibri" w:hAnsi="Calibri"/>
          <w:sz w:val="21"/>
        </w:rPr>
        <w:t>15 Apr — SEC Form PF expanded reporting comment period deadline; industry responses will shape the final rule affecting alternative fund administrators.</w:t>
      </w:r>
    </w:p>
    <w:p>
      <w:pPr>
        <w:spacing w:after="60"/>
      </w:pPr>
      <w:r>
        <w:rPr>
          <w:rFonts w:ascii="Calibri" w:hAnsi="Calibri"/>
          <w:sz w:val="21"/>
        </w:rPr>
        <w:t>16 Apr — ECB Governing Council monetary policy meeting; rate decision relevant to eurozone-denominated AuC and money market fund yields.</w:t>
      </w:r>
    </w:p>
    <w:p>
      <w:pPr>
        <w:spacing w:after="60"/>
      </w:pPr>
      <w:r>
        <w:rPr>
          <w:rFonts w:ascii="Calibri" w:hAnsi="Calibri"/>
          <w:sz w:val="21"/>
        </w:rPr>
        <w:t>22-24 Apr — SWIFT Business Forum, London; expected sessions on ISO 20022 migration progress, digital asset messaging standards, and cyber resilience.</w:t>
      </w:r>
    </w:p>
    <w:p>
      <w:pPr>
        <w:spacing w:after="60"/>
      </w:pPr>
      <w:r>
        <w:rPr>
          <w:rFonts w:ascii="Calibri" w:hAnsi="Calibri"/>
          <w:sz w:val="21"/>
        </w:rPr>
        <w:t>28-29 Apr — ISSA (International Securities Services Association) Symposium, Zurich; senior industry leadership event covering post-trade innovation and settlement reform.</w:t>
      </w:r>
    </w:p>
    <w:p>
      <w:pPr>
        <w:spacing w:after="60"/>
      </w:pPr>
      <w:r>
        <w:rPr>
          <w:rFonts w:ascii="Calibri" w:hAnsi="Calibri"/>
          <w:sz w:val="21"/>
        </w:rPr>
        <w:t>30 Apr — Deadline for annual AIFMD Annex IV reporting submission to national competent authorities for December 2025 year-end; operationally intensive for fund administration teams.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European T+1 Programme Mobilisation</w:t>
      </w:r>
    </w:p>
    <w:p>
      <w:pPr>
        <w:spacing w:after="60"/>
      </w:pPr>
      <w:r>
        <w:rPr>
          <w:rFonts w:ascii="Calibri" w:hAnsi="Calibri"/>
          <w:sz w:val="21"/>
        </w:rPr>
        <w:t>ESMA's confirmed Q4 2027 target date requires immediate programme initiation across operations, technology, and client-facing teams. Recommended action: Convene a cross-functional steering committee by end of April with a mandate to deliver a detailed impact assessment and resource plan by Q2 2026.</w:t>
      </w:r>
    </w:p>
    <w:p>
      <w:pPr>
        <w:spacing w:after="60"/>
      </w:pPr>
      <w:r>
        <w:rPr>
          <w:rFonts w:ascii="Calibri" w:hAnsi="Calibri"/>
          <w:sz w:val="21"/>
        </w:rPr>
        <w:t>Theme 2: Digital Asset Custody Regulatory Preparedness</w:t>
      </w:r>
    </w:p>
    <w:p>
      <w:pPr>
        <w:spacing w:after="60"/>
      </w:pPr>
      <w:r>
        <w:rPr>
          <w:rFonts w:ascii="Calibri" w:hAnsi="Calibri"/>
          <w:sz w:val="21"/>
        </w:rPr>
        <w:t>Converging global standards from FATF, MiCA implementation, and evolving SEC/OSC positions on digital asset custody are creating a narrow window to establish compliant service offerings. Recommended action: Commission an external regulatory gap analysis of RBCIS digital asset capabilities against MiCA, FCA, and OSC requirements, with findings due to SMT by end of May 2026.</w:t>
      </w:r>
    </w:p>
    <w:p>
      <w:pPr>
        <w:spacing w:after="60"/>
      </w:pPr>
      <w:r>
        <w:rPr>
          <w:rFonts w:ascii="Calibri" w:hAnsi="Calibri"/>
          <w:sz w:val="21"/>
        </w:rPr>
        <w:t>Theme 3: Vendor and Third-Party Cyber Resilience</w:t>
      </w:r>
    </w:p>
    <w:p>
      <w:pPr>
        <w:spacing w:after="60"/>
      </w:pPr>
      <w:r>
        <w:rPr>
          <w:rFonts w:ascii="Calibri" w:hAnsi="Calibri"/>
          <w:sz w:val="21"/>
        </w:rPr>
        <w:t>Recent incidents affecting transfer agents and messaging networks highlight systemic dependency on third-party technology providers. Recommended action: Instruct the CISO team to accelerate the annual critical vendor cyber assessment cycle, with priority given to sub-custodian networks, transfer agent partners, and SWIFT-connected correspondents, targeting completion by end of Q2 2026.</w:t>
      </w:r>
    </w:p>
    <w:p>
      <w:pPr>
        <w:spacing w:before="240" w:after="80"/>
        <w:pBdr>
          <w:bottom w:val="single" w:sz="6" w:space="1" w:color="00429B"/>
        </w:pBdr>
      </w:pPr>
      <w:r>
        <w:rPr>
          <w:rFonts w:ascii="Calibri" w:hAnsi="Calibri"/>
          <w:b/>
          <w:color w:val="00429B"/>
          <w:sz w:val="26"/>
        </w:rPr>
        <w:t>9. TECHNOLOGY VENDOR LANDSCAPE</w:t>
      </w:r>
    </w:p>
    <w:p>
      <w:pPr>
        <w:spacing w:after="60"/>
      </w:pPr>
      <w:r>
        <w:rPr>
          <w:rFonts w:ascii="Calibri" w:hAnsi="Calibri"/>
          <w:sz w:val="21"/>
        </w:rPr>
        <w:t>SimCorp (now part of Deutsche Boerse Group) announced in early March the general availability of SimCorp One Release 2026.1, featuring enhanced multi-asset class support for tokenised securities and integrated ESG data feeds from MSCI; the platform is positioning itself as the front-to-back solution of choice for large asset managers and asset owners, intensifying competition with SS&amp;C and Bloomberg AIM.</w:t>
      </w:r>
    </w:p>
    <w:p>
      <w:pPr>
        <w:spacing w:after="60"/>
      </w:pPr>
      <w:r>
        <w:rPr>
          <w:rFonts w:ascii="Calibri" w:hAnsi="Calibri"/>
          <w:sz w:val="21"/>
        </w:rPr>
        <w:t>SS&amp;C Technologies reported strong demand for its ARIA fund administration platform during its Q4 2025 earnings call, highlighting a 22% increase in alternative fund onboarding volumes year-over-year; SS&amp;C also disclosed a strategic partnership with Microsoft Azure to offer AI-powered reconciliation and exception management as a managed service.</w:t>
      </w:r>
    </w:p>
    <w:p>
      <w:pPr>
        <w:spacing w:after="60"/>
      </w:pPr>
      <w:r>
        <w:rPr>
          <w:rFonts w:ascii="Calibri" w:hAnsi="Calibri"/>
          <w:sz w:val="21"/>
        </w:rPr>
        <w:t>Broadridge Financial Solutions launched a next-generation proxy voting and shareholder communications platform leveraging distributed ledger technology, aiming to reduce proxy processing times by up to 40%; the product has entered pilot with three large European custodians.</w:t>
      </w:r>
    </w:p>
    <w:p>
      <w:pPr>
        <w:spacing w:after="60"/>
      </w:pPr>
      <w:r>
        <w:rPr>
          <w:rFonts w:ascii="Calibri" w:hAnsi="Calibri"/>
          <w:sz w:val="21"/>
        </w:rPr>
        <w:t>FIS Global announced a strategic review of its Capital Markets Solutions division, with reports in the Financial Times suggesting a potential divestiture or partnership structure; this development could reshape the vendor landscape for order management and post-trade processing systems used by custodians and broker-dealers.</w:t>
      </w:r>
    </w:p>
    <w:p>
      <w:pPr>
        <w:spacing w:after="60"/>
      </w:pPr>
      <w:r>
        <w:rPr>
          <w:rFonts w:ascii="Calibri" w:hAnsi="Calibri"/>
          <w:sz w:val="21"/>
        </w:rPr>
        <w:t>SWIFT published its progress report on the multi-phase interlinking experiment for cross-border tokenised asset settlement, confirming that 12 central banks and over 30 commercial banks participated in the Phase 2 pilot concluded in February 2026; results demonstrated viable atomic settlement across three blockchain platforms using the SWIFT connector.</w:t>
      </w:r>
    </w:p>
    <w:p>
      <w:pPr>
        <w:spacing w:after="60"/>
      </w:pPr>
      <w:r>
        <w:rPr>
          <w:rFonts w:ascii="Calibri" w:hAnsi="Calibri"/>
          <w:sz w:val="21"/>
        </w:rPr>
        <w:t>Nasdaq Financial Technology (formerly Cinnober/Nasdaq Market Technology) secured a multi-year agreement with a major Middle Eastern exchange to provide a cloud-native clearing and settlement platform, reinforcing Nasdaq's push into emerging market post-trade infrastructure and signalling competitive pressure on legacy CSD technology providers.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5,950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+4.0%</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8,450</w:t>
            </w:r>
          </w:p>
        </w:tc>
        <w:tc>
          <w:tcPr>
            <w:tcW w:type="dxa" w:w="2437"/>
            <w:shd w:val="clear" w:color="auto" w:fill="EEF3FA"/>
          </w:tcPr>
          <w:p>
            <w:pPr>
              <w:spacing w:after="40" w:before="40"/>
            </w:pPr>
            <w:r>
              <w:rPr>
                <w:rFonts w:ascii="Calibri" w:hAnsi="Calibri"/>
                <w:b w:val="0"/>
                <w:color w:val="007A33"/>
                <w:sz w:val="20"/>
              </w:rPr>
              <w:t>+0.8%</w:t>
            </w:r>
          </w:p>
        </w:tc>
        <w:tc>
          <w:tcPr>
            <w:tcW w:type="dxa" w:w="2437"/>
            <w:shd w:val="clear" w:color="auto" w:fill="EEF3FA"/>
          </w:tcPr>
          <w:p>
            <w:pPr>
              <w:spacing w:after="40" w:before="40"/>
            </w:pPr>
            <w:r>
              <w:rPr>
                <w:rFonts w:ascii="Calibri" w:hAnsi="Calibri"/>
                <w:b w:val="0"/>
                <w:color w:val="007A33"/>
                <w:sz w:val="20"/>
              </w:rPr>
              <w:t>+3.2%</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5,200</w:t>
            </w:r>
          </w:p>
        </w:tc>
        <w:tc>
          <w:tcPr>
            <w:tcW w:type="dxa" w:w="2437"/>
          </w:tcPr>
          <w:p>
            <w:pPr>
              <w:spacing w:after="40" w:before="40"/>
            </w:pPr>
            <w:r>
              <w:rPr>
                <w:rFonts w:ascii="Calibri" w:hAnsi="Calibri"/>
                <w:b w:val="0"/>
                <w:color w:val="007A33"/>
                <w:sz w:val="20"/>
              </w:rPr>
              <w:t>+2.0%</w:t>
            </w:r>
          </w:p>
        </w:tc>
        <w:tc>
          <w:tcPr>
            <w:tcW w:type="dxa" w:w="2437"/>
          </w:tcPr>
          <w:p>
            <w:pPr>
              <w:spacing w:after="40" w:before="40"/>
            </w:pPr>
            <w:r>
              <w:rPr>
                <w:rFonts w:ascii="Calibri" w:hAnsi="Calibri"/>
                <w:b w:val="0"/>
                <w:color w:val="007A33"/>
                <w:sz w:val="20"/>
              </w:rPr>
              <w:t>+7.5%</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40,500</w:t>
            </w:r>
          </w:p>
        </w:tc>
        <w:tc>
          <w:tcPr>
            <w:tcW w:type="dxa" w:w="2437"/>
            <w:shd w:val="clear" w:color="auto" w:fill="EEF3FA"/>
          </w:tcPr>
          <w:p>
            <w:pPr>
              <w:spacing w:after="40" w:before="40"/>
            </w:pPr>
            <w:r>
              <w:rPr>
                <w:rFonts w:ascii="Calibri" w:hAnsi="Calibri"/>
                <w:b w:val="0"/>
                <w:color w:val="007A33"/>
                <w:sz w:val="20"/>
              </w:rPr>
              <w:t>+1.0%</w:t>
            </w:r>
          </w:p>
        </w:tc>
        <w:tc>
          <w:tcPr>
            <w:tcW w:type="dxa" w:w="2437"/>
            <w:shd w:val="clear" w:color="auto" w:fill="EEF3FA"/>
          </w:tcPr>
          <w:p>
            <w:pPr>
              <w:spacing w:after="40" w:before="40"/>
            </w:pPr>
            <w:r>
              <w:rPr>
                <w:rFonts w:ascii="Calibri" w:hAnsi="Calibri"/>
                <w:b w:val="0"/>
                <w:color w:val="007A33"/>
                <w:sz w:val="20"/>
              </w:rPr>
              <w:t>+3.8%</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1.095</w:t>
            </w:r>
          </w:p>
        </w:tc>
        <w:tc>
          <w:tcPr>
            <w:tcW w:type="dxa" w:w="2437"/>
          </w:tcPr>
          <w:p>
            <w:pPr>
              <w:spacing w:after="40" w:before="40"/>
            </w:pPr>
            <w:r>
              <w:rPr>
                <w:rFonts w:ascii="Calibri" w:hAnsi="Calibri"/>
                <w:b w:val="0"/>
                <w:color w:val="007A33"/>
                <w:sz w:val="20"/>
              </w:rPr>
              <w:t>+1.2%</w:t>
            </w:r>
          </w:p>
        </w:tc>
        <w:tc>
          <w:tcPr>
            <w:tcW w:type="dxa" w:w="2437"/>
          </w:tcPr>
          <w:p>
            <w:pPr>
              <w:spacing w:after="40" w:before="40"/>
            </w:pPr>
            <w:r>
              <w:rPr>
                <w:rFonts w:ascii="Calibri" w:hAnsi="Calibri"/>
                <w:b w:val="0"/>
                <w:color w:val="007A33"/>
                <w:sz w:val="20"/>
              </w:rPr>
              <w:t>+2.5%</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1.290</w:t>
            </w:r>
          </w:p>
        </w:tc>
        <w:tc>
          <w:tcPr>
            <w:tcW w:type="dxa" w:w="2437"/>
            <w:shd w:val="clear" w:color="auto" w:fill="EEF3FA"/>
          </w:tcPr>
          <w:p>
            <w:pPr>
              <w:spacing w:after="40" w:before="40"/>
            </w:pPr>
            <w:r>
              <w:rPr>
                <w:rFonts w:ascii="Calibri" w:hAnsi="Calibri"/>
                <w:b w:val="0"/>
                <w:color w:val="007A33"/>
                <w:sz w:val="20"/>
              </w:rPr>
              <w:t>+0.8%</w:t>
            </w:r>
          </w:p>
        </w:tc>
        <w:tc>
          <w:tcPr>
            <w:tcW w:type="dxa" w:w="2437"/>
            <w:shd w:val="clear" w:color="auto" w:fill="EEF3FA"/>
          </w:tcPr>
          <w:p>
            <w:pPr>
              <w:spacing w:after="40" w:before="40"/>
            </w:pPr>
            <w:r>
              <w:rPr>
                <w:rFonts w:ascii="Calibri" w:hAnsi="Calibri"/>
                <w:b w:val="0"/>
                <w:color w:val="007A33"/>
                <w:sz w:val="20"/>
              </w:rPr>
              <w:t>+1.8%</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150.0</w:t>
            </w:r>
          </w:p>
        </w:tc>
        <w:tc>
          <w:tcPr>
            <w:tcW w:type="dxa" w:w="2437"/>
          </w:tcPr>
          <w:p>
            <w:pPr>
              <w:spacing w:after="40" w:before="40"/>
            </w:pPr>
            <w:r>
              <w:rPr>
                <w:rFonts w:ascii="Calibri" w:hAnsi="Calibri"/>
                <w:b w:val="0"/>
                <w:color w:val="CC0000"/>
                <w:sz w:val="20"/>
              </w:rPr>
              <w:t>-0.5%</w:t>
            </w:r>
          </w:p>
        </w:tc>
        <w:tc>
          <w:tcPr>
            <w:tcW w:type="dxa" w:w="2437"/>
          </w:tcPr>
          <w:p>
            <w:pPr>
              <w:spacing w:after="40" w:before="40"/>
            </w:pPr>
            <w:r>
              <w:rPr>
                <w:rFonts w:ascii="Calibri" w:hAnsi="Calibri"/>
                <w:b w:val="0"/>
                <w:color w:val="CC0000"/>
                <w:sz w:val="20"/>
              </w:rPr>
              <w:t>-1.0%</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4.10%</w:t>
            </w:r>
          </w:p>
        </w:tc>
        <w:tc>
          <w:tcPr>
            <w:tcW w:type="dxa" w:w="2437"/>
            <w:shd w:val="clear" w:color="auto" w:fill="EEF3FA"/>
          </w:tcPr>
          <w:p>
            <w:pPr>
              <w:spacing w:after="40" w:before="40"/>
            </w:pPr>
            <w:r>
              <w:rPr>
                <w:rFonts w:ascii="Calibri" w:hAnsi="Calibri"/>
                <w:b w:val="0"/>
                <w:color w:val="CC0000"/>
                <w:sz w:val="20"/>
              </w:rPr>
              <w:t>-15 bps</w:t>
            </w:r>
          </w:p>
        </w:tc>
        <w:tc>
          <w:tcPr>
            <w:tcW w:type="dxa" w:w="2437"/>
            <w:shd w:val="clear" w:color="auto" w:fill="EEF3FA"/>
          </w:tcPr>
          <w:p>
            <w:pPr>
              <w:spacing w:after="40" w:before="40"/>
            </w:pPr>
            <w:r>
              <w:rPr>
                <w:rFonts w:ascii="Calibri" w:hAnsi="Calibri"/>
                <w:b w:val="0"/>
                <w:color w:val="CC0000"/>
                <w:sz w:val="20"/>
              </w:rPr>
              <w:t>-30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2.35%</w:t>
            </w:r>
          </w:p>
        </w:tc>
        <w:tc>
          <w:tcPr>
            <w:tcW w:type="dxa" w:w="2437"/>
          </w:tcPr>
          <w:p>
            <w:pPr>
              <w:spacing w:after="40" w:before="40"/>
            </w:pPr>
            <w:r>
              <w:rPr>
                <w:rFonts w:ascii="Calibri" w:hAnsi="Calibri"/>
                <w:b w:val="0"/>
                <w:color w:val="CC0000"/>
                <w:sz w:val="20"/>
              </w:rPr>
              <w:t>-10 bps</w:t>
            </w:r>
          </w:p>
        </w:tc>
        <w:tc>
          <w:tcPr>
            <w:tcW w:type="dxa" w:w="2437"/>
          </w:tcPr>
          <w:p>
            <w:pPr>
              <w:spacing w:after="40" w:before="40"/>
            </w:pPr>
            <w:r>
              <w:rPr>
                <w:rFonts w:ascii="Calibri" w:hAnsi="Calibri"/>
                <w:b w:val="0"/>
                <w:color w:val="CC0000"/>
                <w:sz w:val="20"/>
              </w:rPr>
              <w:t>-20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80</w:t>
            </w:r>
          </w:p>
        </w:tc>
        <w:tc>
          <w:tcPr>
            <w:tcW w:type="dxa" w:w="2437"/>
            <w:shd w:val="clear" w:color="auto" w:fill="EEF3FA"/>
          </w:tcPr>
          <w:p>
            <w:pPr>
              <w:spacing w:after="40" w:before="40"/>
            </w:pPr>
            <w:r>
              <w:rPr>
                <w:rFonts w:ascii="Calibri" w:hAnsi="Calibri"/>
                <w:b w:val="0"/>
                <w:color w:val="007A33"/>
                <w:sz w:val="20"/>
              </w:rPr>
              <w:t>+2.5%</w:t>
            </w:r>
          </w:p>
        </w:tc>
        <w:tc>
          <w:tcPr>
            <w:tcW w:type="dxa" w:w="2437"/>
            <w:shd w:val="clear" w:color="auto" w:fill="EEF3FA"/>
          </w:tcPr>
          <w:p>
            <w:pPr>
              <w:spacing w:after="40" w:before="40"/>
            </w:pPr>
            <w:r>
              <w:rPr>
                <w:rFonts w:ascii="Calibri" w:hAnsi="Calibri"/>
                <w:b w:val="0"/>
                <w:color w:val="007A33"/>
                <w:sz w:val="20"/>
              </w:rPr>
              <w:t>+5.0%</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2,950</w:t>
            </w:r>
          </w:p>
        </w:tc>
        <w:tc>
          <w:tcPr>
            <w:tcW w:type="dxa" w:w="2437"/>
          </w:tcPr>
          <w:p>
            <w:pPr>
              <w:spacing w:after="40" w:before="40"/>
            </w:pPr>
            <w:r>
              <w:rPr>
                <w:rFonts w:ascii="Calibri" w:hAnsi="Calibri"/>
                <w:b w:val="0"/>
                <w:color w:val="007A33"/>
                <w:sz w:val="20"/>
              </w:rPr>
              <w:t>+3.0%</w:t>
            </w:r>
          </w:p>
        </w:tc>
        <w:tc>
          <w:tcPr>
            <w:tcW w:type="dxa" w:w="2437"/>
          </w:tcPr>
          <w:p>
            <w:pPr>
              <w:spacing w:after="40" w:before="40"/>
            </w:pPr>
            <w:r>
              <w:rPr>
                <w:rFonts w:ascii="Calibri" w:hAnsi="Calibri"/>
                <w:b w:val="0"/>
                <w:color w:val="007A33"/>
                <w:sz w:val="20"/>
              </w:rPr>
              <w:t>+10.0%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17.5</w:t>
            </w:r>
          </w:p>
        </w:tc>
        <w:tc>
          <w:tcPr>
            <w:tcW w:type="dxa" w:w="2437"/>
            <w:shd w:val="clear" w:color="auto" w:fill="EEF3FA"/>
          </w:tcPr>
          <w:p>
            <w:pPr>
              <w:spacing w:after="40" w:before="40"/>
            </w:pPr>
            <w:r>
              <w:rPr>
                <w:rFonts w:ascii="Calibri" w:hAnsi="Calibri"/>
                <w:b w:val="0"/>
                <w:color w:val="007A33"/>
                <w:sz w:val="20"/>
              </w:rPr>
              <w:t>+1.5 pts</w:t>
            </w:r>
          </w:p>
        </w:tc>
        <w:tc>
          <w:tcPr>
            <w:tcW w:type="dxa" w:w="2437"/>
            <w:shd w:val="clear" w:color="auto" w:fill="EEF3FA"/>
          </w:tcPr>
          <w:p>
            <w:pPr>
              <w:spacing w:after="40" w:before="40"/>
            </w:pPr>
            <w:r>
              <w:rPr>
                <w:rFonts w:ascii="Calibri" w:hAnsi="Calibri"/>
                <w:b w:val="0"/>
                <w:color w:val="007A33"/>
                <w:sz w:val="20"/>
              </w:rPr>
              <w:t>+2.0 pts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