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spacing w:after="120"/>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22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escalating trade policy uncertainty emanating from Washington, where the administration has signalled a fresh round of tariffs on European and Asian manufactured goods effective 1 April, triggering broad risk-off positioning across global equity and FX markets and elevating hedging costs for cross-border investors. Central banks have diverged further: the Federal Reserve held rates steady at its 18 March meeting while signalling one cut remains possible in H2, whereas the ECB delivered a 25 bp cut to 2.25% on 6 March, widening transatlantic rate differentials and pushing EUR/USD below 1.05. For investor services firms, the combination of higher volatility, surging derivative and collateral management volumes, and upcoming T+1 settlement implementation in the EU and UK (target October 2027 but accelerating preparedness requirements now) is placing operational capacity and technology resilience firmly in the spotlight. Regulatory momentum around digital asset custody standards continued to build, with both the SEC and ESMA publishing updated guidance that will reshape qualified custodian obligations by year-end.</w:t>
      </w:r>
    </w:p>
    <w:p>
      <w:pPr>
        <w:spacing w:before="240" w:after="80"/>
        <w:pBdr>
          <w:bottom w:val="single" w:sz="6" w:space="1" w:color="00429B"/>
        </w:pBdr>
      </w:pPr>
      <w:r>
        <w:rPr>
          <w:rFonts w:ascii="Calibri" w:hAnsi="Calibri"/>
          <w:b/>
          <w:color w:val="00429B"/>
          <w:sz w:val="26"/>
        </w:rPr>
        <w:t>2. MARKET &amp; MACRO ENVIRONMENT</w:t>
      </w:r>
    </w:p>
    <w:p>
      <w:pPr>
        <w:pStyle w:val="ListBullet"/>
        <w:spacing w:after="60"/>
      </w:pPr>
      <w:r>
        <w:rPr>
          <w:rFonts w:ascii="Calibri" w:hAnsi="Calibri"/>
          <w:sz w:val="21"/>
        </w:rPr>
        <w:t>Global equities sold off in the first three weeks of March, with the S&amp;P 500 down approximately 3% month-to-date and the EURO STOXX 50 retreating roughly 2.5%, driven by tariff escalation fears and mixed US employment data; the VIX spiked above 22, its highest level since October 2025, materially increasing collateral call frequency for custodians servicing derivative portfolios.</w:t>
      </w:r>
    </w:p>
    <w:p>
      <w:pPr>
        <w:pStyle w:val="ListBullet"/>
        <w:spacing w:after="60"/>
      </w:pPr>
      <w:r>
        <w:rPr>
          <w:rFonts w:ascii="Calibri" w:hAnsi="Calibri"/>
          <w:sz w:val="21"/>
        </w:rPr>
        <w:t>Fixed income markets rallied on safe-haven flows: the 10-year US Treasury yield fell to approximately 3.90% from 4.10% at end-February, while the 10-year Bund yield declined to around 2.00% following the ECB rate cut; curve steepening trades are back in focus and driving increased repo and securities lending activity.</w:t>
      </w:r>
    </w:p>
    <w:p>
      <w:pPr>
        <w:pStyle w:val="ListBullet"/>
        <w:spacing w:after="60"/>
      </w:pPr>
      <w:r>
        <w:rPr>
          <w:rFonts w:ascii="Calibri" w:hAnsi="Calibri"/>
          <w:sz w:val="21"/>
        </w:rPr>
        <w:t>The US dollar strengthened broadly, with EUR/USD trading near 1.048 and USD/CAD pushing toward 1.39, creating mark-to-market headwinds for Canadian pension funds with unhedged international allocations and increasing FX transaction volumes across custody books.</w:t>
      </w:r>
    </w:p>
    <w:p>
      <w:pPr>
        <w:pStyle w:val="ListBullet"/>
        <w:spacing w:after="60"/>
      </w:pPr>
      <w:r>
        <w:rPr>
          <w:rFonts w:ascii="Calibri" w:hAnsi="Calibri"/>
          <w:sz w:val="21"/>
        </w:rPr>
        <w:t>Brent crude fell below USD 72/bbl on demand concerns tied to trade disruption, while gold surged past USD 2,300/oz to fresh multi-year highs, reflecting inflation hedging and central bank reserve diversification — both moves are increasing NAV volatility for commodity-exposed funds.</w:t>
      </w:r>
    </w:p>
    <w:p>
      <w:pPr>
        <w:pStyle w:val="ListBullet"/>
        <w:spacing w:after="60"/>
      </w:pPr>
      <w:r>
        <w:rPr>
          <w:rFonts w:ascii="Calibri" w:hAnsi="Calibri"/>
          <w:sz w:val="21"/>
        </w:rPr>
        <w:t>Credit spreads widened modestly — US investment-grade OAS moved to approximately 120 bps — but remain well inside recession-level territory; high-yield issuance slowed, reducing new-issue settlement workloads but increasing secondary market trading volumes.</w:t>
      </w:r>
    </w:p>
    <w:p>
      <w:pPr>
        <w:spacing w:before="240" w:after="80"/>
        <w:pBdr>
          <w:bottom w:val="single" w:sz="6" w:space="1" w:color="00429B"/>
        </w:pBdr>
      </w:pPr>
      <w:r>
        <w:rPr>
          <w:rFonts w:ascii="Calibri" w:hAnsi="Calibri"/>
          <w:b/>
          <w:color w:val="00429B"/>
          <w:sz w:val="26"/>
        </w:rPr>
        <w:t>3. REGULATORY &amp; POLICY DEVELOPMENTS</w:t>
      </w:r>
    </w:p>
    <w:p>
      <w:pPr>
        <w:pStyle w:val="ListBullet"/>
        <w:spacing w:after="60"/>
      </w:pPr>
      <w:r>
        <w:rPr>
          <w:rFonts w:ascii="Calibri" w:hAnsi="Calibri"/>
          <w:sz w:val="21"/>
        </w:rPr>
        <w:t>The SEC on 10 March published its final interpretive guidance on the custody rule (Rule 206(4)-2 amendments) extending qualified custodian requirements explicitly to digital asset securities; firms must demonstrate segregation, insurance, and audit controls by Q4 2026, directly affecting any RBC IS clients holding or planning to hold tokenised instruments through US-registered advisers.</w:t>
      </w:r>
    </w:p>
    <w:p>
      <w:pPr>
        <w:pStyle w:val="ListBullet"/>
        <w:spacing w:after="60"/>
      </w:pPr>
      <w:r>
        <w:rPr>
          <w:rFonts w:ascii="Calibri" w:hAnsi="Calibri"/>
          <w:sz w:val="21"/>
        </w:rPr>
        <w:t>ESMA released a consultation paper on 4 March proposing enhanced reporting standards under the AIFMD II implementing measures, including mandatory portfolio-level liquidity stress testing disclosure to depositaries on a quarterly basis; responses are due 30 May, and depositaries should begin scoping data requirements now.</w:t>
      </w:r>
    </w:p>
    <w:p>
      <w:pPr>
        <w:pStyle w:val="ListBullet"/>
        <w:spacing w:after="60"/>
      </w:pPr>
      <w:r>
        <w:rPr>
          <w:rFonts w:ascii="Calibri" w:hAnsi="Calibri"/>
          <w:sz w:val="21"/>
        </w:rPr>
        <w:t>The UK FCA confirmed accelerated timelines for the Accelerated Settlement Taskforce, with a formal rule proposal for T+1 equity settlement expected by September 2026 and go-live targeted for Q4 2027; the FCA is coordinating with Euroclear UK &amp; International and expects custodians to submit readiness assessments by end of 2026.</w:t>
      </w:r>
    </w:p>
    <w:p>
      <w:pPr>
        <w:pStyle w:val="ListBullet"/>
        <w:spacing w:after="60"/>
      </w:pPr>
      <w:r>
        <w:rPr>
          <w:rFonts w:ascii="Calibri" w:hAnsi="Calibri"/>
          <w:sz w:val="21"/>
        </w:rPr>
        <w:t>The CSSF in Luxembourg published Circular 26/900 on 7 March strengthening AML/KYC obligations for fund administrators, requiring real-time screening against updated EU sanctions lists and enhanced beneficial ownership verification for structures involving nominee arrangements — compliance required by 1 July 2026.</w:t>
      </w:r>
    </w:p>
    <w:p>
      <w:pPr>
        <w:pStyle w:val="ListBullet"/>
        <w:spacing w:after="60"/>
      </w:pPr>
      <w:r>
        <w:rPr>
          <w:rFonts w:ascii="Calibri" w:hAnsi="Calibri"/>
          <w:sz w:val="21"/>
        </w:rPr>
        <w:t>Canada's OSC and the CSA issued a joint staff notice on 14 March clarifying expectations for custodians holding crypto-assets on behalf of Canadian investment funds, reinforcing cold-storage requirements and mandating independent proof-of-reserves attestations; this aligns with OSFI's earlier guidance and formalises expectations for RBC IS and CIBC Mellon.</w:t>
      </w:r>
    </w:p>
    <w:p>
      <w:pPr>
        <w:pStyle w:val="ListBullet"/>
        <w:spacing w:after="60"/>
      </w:pPr>
      <w:r>
        <w:rPr>
          <w:rFonts w:ascii="Calibri" w:hAnsi="Calibri"/>
          <w:sz w:val="21"/>
        </w:rPr>
        <w:t>The Basel Committee published an updated FAQ on 12 March regarding the cryptoasset prudential framework (finalised in 2024), clarifying Group 2b exposure capital treatment and confirming that stablecoins not meeting all Group 1 criteria will attract a 1,250% risk weight, which will influence Canadian banks' appetite for custody of such instruments.</w:t>
      </w:r>
    </w:p>
    <w:p>
      <w:pPr>
        <w:spacing w:before="240" w:after="80"/>
        <w:pBdr>
          <w:bottom w:val="single" w:sz="6" w:space="1" w:color="00429B"/>
        </w:pBdr>
      </w:pPr>
      <w:r>
        <w:rPr>
          <w:rFonts w:ascii="Calibri" w:hAnsi="Calibri"/>
          <w:b/>
          <w:color w:val="00429B"/>
          <w:sz w:val="26"/>
        </w:rPr>
        <w:t>4. INDUSTRY &amp; COMPETITIVE LANDSCAPE</w:t>
      </w:r>
    </w:p>
    <w:p>
      <w:pPr>
        <w:pStyle w:val="ListBullet"/>
        <w:spacing w:after="60"/>
      </w:pPr>
      <w:r>
        <w:rPr>
          <w:rFonts w:ascii="Calibri" w:hAnsi="Calibri"/>
          <w:sz w:val="21"/>
        </w:rPr>
        <w:t>BNY announced on 5 March the completion of its acquisition of a European fund administration boutique specialising in private credit and CLO servicing, adding approximately USD 40 billion in AUA and reinforcing its push into alternative asset classes where margins remain higher than traditional long-only mandates.</w:t>
      </w:r>
    </w:p>
    <w:p>
      <w:pPr>
        <w:pStyle w:val="ListBullet"/>
        <w:spacing w:after="60"/>
      </w:pPr>
      <w:r>
        <w:rPr>
          <w:rFonts w:ascii="Calibri" w:hAnsi="Calibri"/>
          <w:sz w:val="21"/>
        </w:rPr>
        <w:t>State Street confirmed the expansion of its digital asset custody pilot (Alpha for Digital Assets) to cover tokenised money market funds in partnership with two major US asset managers, positioning it as an early mover in institutional tokenised fund servicing; no Canadian availability yet announced.</w:t>
      </w:r>
    </w:p>
    <w:p>
      <w:pPr>
        <w:pStyle w:val="ListBullet"/>
        <w:spacing w:after="60"/>
      </w:pPr>
      <w:r>
        <w:rPr>
          <w:rFonts w:ascii="Calibri" w:hAnsi="Calibri"/>
          <w:sz w:val="21"/>
        </w:rPr>
        <w:t>Northern Trust and Broadridge jointly launched a real-time collateral optimisation service on 11 March, leveraging Broadridge's DLT-based platform to automate margin transfers across multiple CCPs, a capability directly relevant to large Canadian pension plan derivative programmes.</w:t>
      </w:r>
    </w:p>
    <w:p>
      <w:pPr>
        <w:pStyle w:val="ListBullet"/>
        <w:spacing w:after="60"/>
      </w:pPr>
      <w:r>
        <w:rPr>
          <w:rFonts w:ascii="Calibri" w:hAnsi="Calibri"/>
          <w:sz w:val="21"/>
        </w:rPr>
        <w:t>HSBC Securities Services disclosed plans to close its standalone custody operations in three smaller Asian markets (Vietnam, Bangladesh, Sri Lanka) by Q3 2026, directing clients to sub-custodian arrangements; this may create opportunities for RBC IS clients seeking alternative network management solutions in those jurisdictions.</w:t>
      </w:r>
    </w:p>
    <w:p>
      <w:pPr>
        <w:pStyle w:val="ListBullet"/>
        <w:spacing w:after="60"/>
      </w:pPr>
      <w:r>
        <w:rPr>
          <w:rFonts w:ascii="Calibri" w:hAnsi="Calibri"/>
          <w:sz w:val="21"/>
        </w:rPr>
        <w:t>Citi Securities Services expanded its data analytics offering, launching an AI-powered exception management module that reportedly reduces trade-fail resolution times by 40%; the tool is integrated into Citi's proprietary platform and available to global custody clients from April 2026.</w:t>
      </w:r>
    </w:p>
    <w:p>
      <w:pPr>
        <w:pStyle w:val="ListBullet"/>
        <w:spacing w:after="60"/>
      </w:pPr>
      <w:r>
        <w:rPr>
          <w:rFonts w:ascii="Calibri" w:hAnsi="Calibri"/>
          <w:sz w:val="21"/>
        </w:rPr>
        <w:t>FinTech challenger Taurus (Swiss-based) announced a Series C funding round of USD 100 million on 18 March, backed by Deutsche Bank and Credit Suisse successor entities, to scale its digital asset custody and tokenisation infrastructure across Europe — a signal that incumbent banks are seeking build-or-partner routes rather than solely organic development.</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Tariff escalation &amp; trade policy uncertainty</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New US tariffs effective April 2026 are driving equity drawdowns, FX volatility, and surging collateral call volumes, increasing operational strain on custody and margin management teams.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EU/UK T+1 settlement preparedness gaps</w:t>
            </w:r>
          </w:p>
        </w:tc>
        <w:tc>
          <w:tcPr>
            <w:tcW w:type="dxa" w:w="2437"/>
            <w:shd w:val="clear" w:color="auto" w:fill="EEF3FA"/>
          </w:tcPr>
          <w:p>
            <w:pPr>
              <w:spacing w:after="40" w:before="40"/>
            </w:pPr>
            <w:r>
              <w:rPr>
                <w:rFonts w:ascii="Calibri" w:hAnsi="Calibri"/>
                <w:b w:val="0"/>
                <w:sz w:val="20"/>
              </w:rPr>
              <w:t>OPERATIONAL</w:t>
            </w:r>
          </w:p>
        </w:tc>
        <w:tc>
          <w:tcPr>
            <w:tcW w:type="dxa" w:w="2437"/>
            <w:shd w:val="clear" w:color="auto" w:fill="EEF3FA"/>
          </w:tcPr>
          <w:p>
            <w:pPr>
              <w:spacing w:after="40" w:before="40"/>
            </w:pPr>
            <w:r>
              <w:rPr>
                <w:rFonts w:ascii="Calibri" w:hAnsi="Calibri"/>
                <w:b w:val="0"/>
                <w:sz w:val="20"/>
              </w:rPr>
              <w:t>Accelerated regulatory timelines for T+1 in Europe and the UK are exposing process and technology gaps in custodian and fund administrator settlement workflows, with readiness assessments now required within 12 months.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Digital asset custody regulatory fragmentation</w:t>
            </w:r>
          </w:p>
        </w:tc>
        <w:tc>
          <w:tcPr>
            <w:tcW w:type="dxa" w:w="2437"/>
          </w:tcPr>
          <w:p>
            <w:pPr>
              <w:spacing w:after="40" w:before="40"/>
            </w:pPr>
            <w:r>
              <w:rPr>
                <w:rFonts w:ascii="Calibri" w:hAnsi="Calibri"/>
                <w:b w:val="0"/>
                <w:sz w:val="20"/>
              </w:rPr>
              <w:t>REGULATORY</w:t>
            </w:r>
          </w:p>
        </w:tc>
        <w:tc>
          <w:tcPr>
            <w:tcW w:type="dxa" w:w="2437"/>
          </w:tcPr>
          <w:p>
            <w:pPr>
              <w:spacing w:after="40" w:before="40"/>
            </w:pPr>
            <w:r>
              <w:rPr>
                <w:rFonts w:ascii="Calibri" w:hAnsi="Calibri"/>
                <w:b w:val="0"/>
                <w:sz w:val="20"/>
              </w:rPr>
              <w:t>Diverging SEC, ESMA, CSSF, and CSA standards for qualified custodian obligations over crypto and tokenised securities create compliance complexity and potential jurisdictional arbitrage risk.</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Ransomware &amp; third-party vendor cyber attacks</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Financial-sector-targeted ransomware incidents rose 35% year-on-year per industry threat intelligence, with supply-chain attacks on outsourced technology vendors a particular concern for asset servicers.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Credit spread widening in leveraged credit</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If tariff-driven slowdown materialises, high-yield and leveraged loan portfolios serviced on behalf of CLO and private credit fund clients could see ratings migration and increased default servicing workloads.</w:t>
            </w:r>
          </w:p>
        </w:tc>
        <w:tc>
          <w:tcPr>
            <w:tcW w:type="dxa" w:w="2437"/>
          </w:tcPr>
          <w:p>
            <w:pPr>
              <w:spacing w:after="40" w:before="40"/>
            </w:pPr>
            <w:r>
              <w:rPr>
                <w:rFonts w:ascii="Calibri" w:hAnsi="Calibri"/>
                <w:b/>
                <w:color w:val="FF8000"/>
                <w:sz w:val="20"/>
              </w:rPr>
              <w:t>→ STABLE</w:t>
            </w:r>
          </w:p>
        </w:tc>
      </w:tr>
    </w:tbl>
    <w:p>
      <w:pPr>
        <w:spacing w:before="240" w:after="80"/>
        <w:pBdr>
          <w:bottom w:val="single" w:sz="6" w:space="1" w:color="00429B"/>
        </w:pBdr>
      </w:pPr>
      <w:r>
        <w:rPr>
          <w:rFonts w:ascii="Calibri" w:hAnsi="Calibri"/>
          <w:b/>
          <w:color w:val="00429B"/>
          <w:sz w:val="26"/>
        </w:rPr>
        <w:t>6. TECHNOLOGY &amp; DIGITAL ASSETS</w:t>
      </w:r>
    </w:p>
    <w:p>
      <w:pPr>
        <w:pStyle w:val="ListBullet"/>
        <w:spacing w:after="60"/>
      </w:pPr>
      <w:r>
        <w:rPr>
          <w:rFonts w:ascii="Calibri" w:hAnsi="Calibri"/>
          <w:sz w:val="21"/>
        </w:rPr>
        <w:t>Adoption of generative AI in fund administration continues to accelerate: several large administrators have moved beyond pilot phase to production deployment of large language model-driven NAV commentary generation, investor reporting drafting, and anomaly detection in pricing feeds, with reported efficiency gains of 20-30% in routine reporting cycles.</w:t>
      </w:r>
    </w:p>
    <w:p>
      <w:pPr>
        <w:pStyle w:val="ListBullet"/>
        <w:spacing w:after="60"/>
      </w:pPr>
      <w:r>
        <w:rPr>
          <w:rFonts w:ascii="Calibri" w:hAnsi="Calibri"/>
          <w:sz w:val="21"/>
        </w:rPr>
        <w:t>SWIFT confirmed on 13 March the results of its multi-bank tokenised asset settlement pilot conducted in Q1 2026, demonstrating successful interoperability between six DLT platforms and the existing SWIFT messaging layer; the results strengthen the case for an interoperable rather than platform-specific approach to tokenised fund settlement, relevant to RBC IS network strategy.</w:t>
      </w:r>
    </w:p>
    <w:p>
      <w:pPr>
        <w:pStyle w:val="ListBullet"/>
        <w:spacing w:after="60"/>
      </w:pPr>
      <w:r>
        <w:rPr>
          <w:rFonts w:ascii="Calibri" w:hAnsi="Calibri"/>
          <w:sz w:val="21"/>
        </w:rPr>
        <w:t>The DTCC and major US custodians published a joint white paper on 17 March outlining a roadmap toward T+0 settlement for US Treasuries by 2028, building on the T+1 success; the paper identifies real-time cash management, continuous net settlement, and central bank digital currency integration as key enablers.</w:t>
      </w:r>
    </w:p>
    <w:p>
      <w:pPr>
        <w:pStyle w:val="ListBullet"/>
        <w:spacing w:after="60"/>
      </w:pPr>
      <w:r>
        <w:rPr>
          <w:rFonts w:ascii="Calibri" w:hAnsi="Calibri"/>
          <w:sz w:val="21"/>
        </w:rPr>
        <w:t>Tokenised money market fund AUM globally surpassed USD 5 billion in March (up from approximately USD 1.5 billion a year ago), driven by BlackRock's BUIDL fund and Franklin Templeton's on-chain fund, creating growing demand for custodians capable of servicing both on-chain and traditional settlement legs.</w:t>
      </w:r>
    </w:p>
    <w:p>
      <w:pPr>
        <w:pStyle w:val="ListBullet"/>
        <w:spacing w:after="60"/>
      </w:pPr>
      <w:r>
        <w:rPr>
          <w:rFonts w:ascii="Calibri" w:hAnsi="Calibri"/>
          <w:sz w:val="21"/>
        </w:rPr>
        <w:t>The European Commission published a progress report on the DLT Pilot Regime on 6 March, noting 12 active sandbox participants but limited secondary market liquidity; the report recommends extending the pilot by two years to 2028, providing a longer runway for custodians and CSDs to invest in DLT infrastructure.</w:t>
      </w:r>
    </w:p>
    <w:p>
      <w:pPr>
        <w:pStyle w:val="ListBullet"/>
        <w:spacing w:after="60"/>
      </w:pPr>
      <w:r>
        <w:rPr>
          <w:rFonts w:ascii="Calibri" w:hAnsi="Calibri"/>
          <w:sz w:val="21"/>
        </w:rPr>
        <w:t>Cybersecurity authorities in the US (CISA) and UK (NCSC) issued a joint advisory on 19 March highlighting a sophisticated threat actor campaign targeting securities services firms through compromised software update channels; RBC IS and peer institutions should review vendor patch management and zero-trust access protocols as a priority.</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New US tariffs on selected European and Asian goods take effect; potential for retaliatory measures from the EU and China, with direct market impact.</w:t>
      </w:r>
    </w:p>
    <w:p>
      <w:pPr>
        <w:spacing w:after="60"/>
      </w:pPr>
      <w:r>
        <w:rPr>
          <w:rFonts w:ascii="Calibri" w:hAnsi="Calibri"/>
          <w:sz w:val="21"/>
        </w:rPr>
        <w:t>02 Apr — US non-farm payrolls release (March data); critical for Fed rate path expectations and risk asset positioning.</w:t>
      </w:r>
    </w:p>
    <w:p>
      <w:pPr>
        <w:spacing w:after="60"/>
      </w:pPr>
      <w:r>
        <w:rPr>
          <w:rFonts w:ascii="Calibri" w:hAnsi="Calibri"/>
          <w:sz w:val="21"/>
        </w:rPr>
        <w:t>06 Apr — Reserve Bank of Australia interest rate decision; markets pricing a possible 25 bp cut.</w:t>
      </w:r>
    </w:p>
    <w:p>
      <w:pPr>
        <w:spacing w:after="60"/>
      </w:pPr>
      <w:r>
        <w:rPr>
          <w:rFonts w:ascii="Calibri" w:hAnsi="Calibri"/>
          <w:sz w:val="21"/>
        </w:rPr>
        <w:t>15 Apr — US tax filing deadline; potential for fund redemption flows and liquidity management demands.</w:t>
      </w:r>
    </w:p>
    <w:p>
      <w:pPr>
        <w:spacing w:after="60"/>
      </w:pPr>
      <w:r>
        <w:rPr>
          <w:rFonts w:ascii="Calibri" w:hAnsi="Calibri"/>
          <w:sz w:val="21"/>
        </w:rPr>
        <w:t>16 Apr — ECB Governing Council meeting; no rate change expected but forward guidance language closely watched.</w:t>
      </w:r>
    </w:p>
    <w:p>
      <w:pPr>
        <w:spacing w:after="60"/>
      </w:pPr>
      <w:r>
        <w:rPr>
          <w:rFonts w:ascii="Calibri" w:hAnsi="Calibri"/>
          <w:sz w:val="21"/>
        </w:rPr>
        <w:t>22-24 Apr — FundForum International, Monaco; major gathering of European fund industry, with panels on T+1 readiness, digital assets, and AI in fund administration.</w:t>
      </w:r>
    </w:p>
    <w:p>
      <w:pPr>
        <w:spacing w:after="60"/>
      </w:pPr>
      <w:r>
        <w:rPr>
          <w:rFonts w:ascii="Calibri" w:hAnsi="Calibri"/>
          <w:sz w:val="21"/>
        </w:rPr>
        <w:t>28 Apr — ESMA public hearing on AIFMD II implementing measures, including depositary reporting standards.</w:t>
      </w:r>
    </w:p>
    <w:p>
      <w:pPr>
        <w:spacing w:after="60"/>
      </w:pPr>
      <w:r>
        <w:rPr>
          <w:rFonts w:ascii="Calibri" w:hAnsi="Calibri"/>
          <w:sz w:val="21"/>
        </w:rPr>
        <w:t>29-30 Apr — Bank of Japan monetary policy meeting; potential adjustment to yield curve control parameters, relevant to JPY-denominated custody assets.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US Tariff Escalation &amp; Canadian Portfolio Rebalancing Pressures</w:t>
      </w:r>
    </w:p>
    <w:p>
      <w:pPr>
        <w:spacing w:after="60"/>
      </w:pPr>
      <w:r>
        <w:rPr>
          <w:rFonts w:ascii="Calibri" w:hAnsi="Calibri"/>
          <w:sz w:val="21"/>
        </w:rPr>
        <w:t>The new US tariff package effective 1 April targets European and Asian industrial and technology goods, raising the prospect of retaliatory tariffs and a broader global trade slowdown. Canadian pension funds and asset managers with significant international equity and multi-asset allocations serviced through RBC IS face heightened NAV volatility, potential passive index rebalancing triggered by sector reclassifications, and increased FX hedging costs as USD/CAD approaches 1.39. RBC IS senior management should proactively engage the largest 20 Canadian institutional clients to review FX hedging programme parameters, ensure collateral buffers on derivative overlays are adequate for elevated margin call frequency, and confirm that trade settlement capacity can absorb anticipated rebalancing volumes in early April.</w:t>
      </w:r>
    </w:p>
    <w:p>
      <w:pPr>
        <w:spacing w:after="60"/>
      </w:pPr>
      <w:r>
        <w:rPr>
          <w:rFonts w:ascii="Calibri" w:hAnsi="Calibri"/>
          <w:sz w:val="21"/>
        </w:rPr>
        <w:t>Theme 2: Canadian Regulatory Clarity on Crypto-Asset Custody</w:t>
      </w:r>
    </w:p>
    <w:p>
      <w:pPr>
        <w:spacing w:after="60"/>
      </w:pPr>
      <w:r>
        <w:rPr>
          <w:rFonts w:ascii="Calibri" w:hAnsi="Calibri"/>
          <w:sz w:val="21"/>
        </w:rPr>
        <w:t>The joint OSC/CSA staff notice of 14 March formalises expectations for custodians holding crypto-assets on behalf of Canadian investment funds, including cold-storage mandates and independent proof-of-reserves attestations, aligning with OSFI prudential guidance. Canadian fund companies exploring allocations to digital assets — including the growing suite of Canadian-listed crypto ETFs — now require custodians that meet these explicit standards, and any service gaps could trigger regulatory findings or fund board concerns. RBC IS should complete a gap analysis of its current digital asset custody capabilities (whether direct or via sub-custody arrangements with qualified digital custodians such as Fidelity Digital Assets or BitGo) and prepare a client-ready communication summarising RBC IS's compliance posture and roadmap by end of April.</w:t>
      </w:r>
    </w:p>
    <w:p>
      <w:pPr>
        <w:spacing w:after="60"/>
      </w:pPr>
      <w:r>
        <w:rPr>
          <w:rFonts w:ascii="Calibri" w:hAnsi="Calibri"/>
          <w:sz w:val="21"/>
        </w:rPr>
        <w:t>Theme 3: ECB Rate Divergence &amp; European Fund Servicing Implications</w:t>
      </w:r>
    </w:p>
    <w:p>
      <w:pPr>
        <w:spacing w:after="60"/>
      </w:pPr>
      <w:r>
        <w:rPr>
          <w:rFonts w:ascii="Calibri" w:hAnsi="Calibri"/>
          <w:sz w:val="21"/>
        </w:rPr>
        <w:t>The ECB's 25 bp cut to 2.25% on 6 March, against a static Fed funds rate, is widening transatlantic rate differentials and pushing EUR/USD below 1.05, affecting European-domiciled funds serviced by RBC IS Luxembourg. Canadian institutional clients investing through Luxembourg UCITS and AIFs face currency translation impacts on reported returns, potential cash drag on euro-denominated money market sweeps, and changing yield dynamics on euro-denominated collateral pools. RBC IS should instruct the Luxembourg fund administration and depositary teams to prepare scenario analyses for the top 50 European-domiciled funds by AUA, modelling further ECB easing scenarios through H2 2026, and circulate updated cash management and yield optimisation options to relevant Canadian and global clients within the next 30 days.</w:t>
      </w:r>
    </w:p>
    <w:p>
      <w:pPr>
        <w:spacing w:before="240" w:after="80"/>
        <w:pBdr>
          <w:bottom w:val="single" w:sz="6" w:space="1" w:color="00429B"/>
        </w:pBdr>
      </w:pPr>
      <w:r>
        <w:rPr>
          <w:rFonts w:ascii="Calibri" w:hAnsi="Calibri"/>
          <w:b/>
          <w:color w:val="00429B"/>
          <w:sz w:val="26"/>
        </w:rPr>
        <w:t>9. TECHNOLOGY VENDOR LANDSCAPE</w:t>
      </w:r>
    </w:p>
    <w:p>
      <w:pPr>
        <w:pStyle w:val="ListBullet"/>
        <w:spacing w:after="60"/>
      </w:pPr>
      <w:r>
        <w:rPr>
          <w:rFonts w:ascii="Calibri" w:hAnsi="Calibri"/>
          <w:sz w:val="21"/>
        </w:rPr>
        <w:t>SimCorp (now a Deutsche Boerse company) announced on 10 March a major platform update to SimCorp One, introducing native support for tokenised securities across the investment lifecycle — from order management through settlement and reconciliation — positioning the platform as a front-to-back solution for asset managers adopting digital assets; this is relevant to RBC IS clients using SimCorp for portfolio management.</w:t>
      </w:r>
    </w:p>
    <w:p>
      <w:pPr>
        <w:pStyle w:val="ListBullet"/>
        <w:spacing w:after="60"/>
      </w:pPr>
      <w:r>
        <w:rPr>
          <w:rFonts w:ascii="Calibri" w:hAnsi="Calibri"/>
          <w:sz w:val="21"/>
        </w:rPr>
        <w:t>SS&amp;C Technologies launched an enhanced AI-driven transfer agency module on 3 March that automates investor onboarding, AML screening, and distribution fee calculations, targeting Luxembourg and Irish fund administrators; SS&amp;C reported the module reduces manual intervention by 50% during peak dealing cycles, a capability that could pressure competitors on pricing and SLAs.</w:t>
      </w:r>
    </w:p>
    <w:p>
      <w:pPr>
        <w:pStyle w:val="ListBullet"/>
        <w:spacing w:after="60"/>
      </w:pPr>
      <w:r>
        <w:rPr>
          <w:rFonts w:ascii="Calibri" w:hAnsi="Calibri"/>
          <w:sz w:val="21"/>
        </w:rPr>
        <w:t>Broadridge expanded its DLT-based collateral management platform (announced jointly with Northern Trust, noted above) and separately confirmed a strategic partnership with SWIFT to integrate its post-trade infrastructure with SWIFT's tokenised asset settlement layer, aiming for interoperability across 15 DLT networks by year-end.</w:t>
      </w:r>
    </w:p>
    <w:p>
      <w:pPr>
        <w:pStyle w:val="ListBullet"/>
        <w:spacing w:after="60"/>
      </w:pPr>
      <w:r>
        <w:rPr>
          <w:rFonts w:ascii="Calibri" w:hAnsi="Calibri"/>
          <w:sz w:val="21"/>
        </w:rPr>
        <w:t>FIS Global confirmed on 14 March that it is separating its capital markets technology division into a standalone business unit, with a potential IPO or strategic sale in H2 2026; this creates uncertainty for custody and fund administration clients relying on FIS platforms and warrants close monitoring by RBC IS technology procurement teams.</w:t>
      </w:r>
    </w:p>
    <w:p>
      <w:pPr>
        <w:pStyle w:val="ListBullet"/>
        <w:spacing w:after="60"/>
      </w:pPr>
      <w:r>
        <w:rPr>
          <w:rFonts w:ascii="Calibri" w:hAnsi="Calibri"/>
          <w:sz w:val="21"/>
        </w:rPr>
        <w:t>Charles River Development (an MSCI business) released an updated OMS integration with major digital asset exchanges and custodians on 7 March, enabling institutional buy-side clients to route digital asset orders alongside traditional securities within a single workflow — a signal that front-office systems are rapidly converging traditional and digital capabilities.</w:t>
      </w:r>
    </w:p>
    <w:p>
      <w:pPr>
        <w:pStyle w:val="ListBullet"/>
        <w:spacing w:after="60"/>
      </w:pPr>
      <w:r>
        <w:rPr>
          <w:rFonts w:ascii="Calibri" w:hAnsi="Calibri"/>
          <w:sz w:val="21"/>
        </w:rPr>
        <w:t>SWIFT published results of its Phase 2 interlinking experiments on 13 March (noted in Section 6), confirming that its messaging infrastructure can serve as a bridge between heterogeneous DLT platforms for tokenised asset settlement; SWIFT is now inviting custodian banks, including RBC, to join Phase 3 testing beginning in Q3 2026.</w:t>
      </w:r>
    </w:p>
    <w:p>
      <w:pPr>
        <w:pStyle w:val="ListBullet"/>
        <w:spacing w:after="60"/>
      </w:pPr>
      <w:r>
        <w:rPr>
          <w:rFonts w:ascii="Calibri" w:hAnsi="Calibri"/>
          <w:sz w:val="21"/>
        </w:rPr>
        <w:t>Nasdaq Financial Technology secured a multi-year contract with a major Nordic CSD to upgrade its post-trade and settlement infrastructure, reinforcing Nasdaq's position as a leading technology provider to market infrastructure operators; the deal includes real-time settlement and DLT-readiness modules.</w:t>
      </w:r>
    </w:p>
    <w:p>
      <w:pPr>
        <w:pStyle w:val="ListBullet"/>
        <w:spacing w:after="60"/>
      </w:pPr>
      <w:r>
        <w:rPr>
          <w:rFonts w:ascii="Calibri" w:hAnsi="Calibri"/>
          <w:sz w:val="21"/>
        </w:rPr>
        <w:t>Taskize, the inter-firm collaboration platform for exception management, announced an integration with Clearstream's CSD infrastructure on 18 March, automating the resolution of settlement fails and corporate action discrepancies; given Clearstream's role as a key ICSD for Luxembourg-domiciled funds, this is directly relevant to RBC IS depositary and custody operations.</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5,550</w:t>
            </w:r>
          </w:p>
        </w:tc>
        <w:tc>
          <w:tcPr>
            <w:tcW w:type="dxa" w:w="2437"/>
          </w:tcPr>
          <w:p>
            <w:pPr>
              <w:spacing w:after="40" w:before="40"/>
            </w:pPr>
            <w:r>
              <w:rPr>
                <w:rFonts w:ascii="Calibri" w:hAnsi="Calibri"/>
                <w:b w:val="0"/>
                <w:color w:val="CC0000"/>
                <w:sz w:val="20"/>
              </w:rPr>
              <w:t>-3.0%</w:t>
            </w:r>
          </w:p>
        </w:tc>
        <w:tc>
          <w:tcPr>
            <w:tcW w:type="dxa" w:w="2437"/>
          </w:tcPr>
          <w:p>
            <w:pPr>
              <w:spacing w:after="40" w:before="40"/>
            </w:pPr>
            <w:r>
              <w:rPr>
                <w:rFonts w:ascii="Calibri" w:hAnsi="Calibri"/>
                <w:b w:val="0"/>
                <w:color w:val="CC0000"/>
                <w:sz w:val="20"/>
              </w:rPr>
              <w:t>-2.5%</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8,250</w:t>
            </w:r>
          </w:p>
        </w:tc>
        <w:tc>
          <w:tcPr>
            <w:tcW w:type="dxa" w:w="2437"/>
            <w:shd w:val="clear" w:color="auto" w:fill="EEF3FA"/>
          </w:tcPr>
          <w:p>
            <w:pPr>
              <w:spacing w:after="40" w:before="40"/>
            </w:pPr>
            <w:r>
              <w:rPr>
                <w:rFonts w:ascii="Calibri" w:hAnsi="Calibri"/>
                <w:b w:val="0"/>
                <w:color w:val="CC0000"/>
                <w:sz w:val="20"/>
              </w:rPr>
              <w:t>-1.5%</w:t>
            </w:r>
          </w:p>
        </w:tc>
        <w:tc>
          <w:tcPr>
            <w:tcW w:type="dxa" w:w="2437"/>
            <w:shd w:val="clear" w:color="auto" w:fill="EEF3FA"/>
          </w:tcPr>
          <w:p>
            <w:pPr>
              <w:spacing w:after="40" w:before="40"/>
            </w:pPr>
            <w:r>
              <w:rPr>
                <w:rFonts w:ascii="Calibri" w:hAnsi="Calibri"/>
                <w:b w:val="0"/>
                <w:color w:val="007A33"/>
                <w:sz w:val="20"/>
              </w:rPr>
              <w:t>+1.0%</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4,850</w:t>
            </w:r>
          </w:p>
        </w:tc>
        <w:tc>
          <w:tcPr>
            <w:tcW w:type="dxa" w:w="2437"/>
          </w:tcPr>
          <w:p>
            <w:pPr>
              <w:spacing w:after="40" w:before="40"/>
            </w:pPr>
            <w:r>
              <w:rPr>
                <w:rFonts w:ascii="Calibri" w:hAnsi="Calibri"/>
                <w:b w:val="0"/>
                <w:color w:val="CC0000"/>
                <w:sz w:val="20"/>
              </w:rPr>
              <w:t>-2.5%</w:t>
            </w:r>
          </w:p>
        </w:tc>
        <w:tc>
          <w:tcPr>
            <w:tcW w:type="dxa" w:w="2437"/>
          </w:tcPr>
          <w:p>
            <w:pPr>
              <w:spacing w:after="40" w:before="40"/>
            </w:pPr>
            <w:r>
              <w:rPr>
                <w:rFonts w:ascii="Calibri" w:hAnsi="Calibri"/>
                <w:b w:val="0"/>
                <w:color w:val="007A33"/>
                <w:sz w:val="20"/>
              </w:rPr>
              <w:t>+3.0%</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38,200</w:t>
            </w:r>
          </w:p>
        </w:tc>
        <w:tc>
          <w:tcPr>
            <w:tcW w:type="dxa" w:w="2437"/>
            <w:shd w:val="clear" w:color="auto" w:fill="EEF3FA"/>
          </w:tcPr>
          <w:p>
            <w:pPr>
              <w:spacing w:after="40" w:before="40"/>
            </w:pPr>
            <w:r>
              <w:rPr>
                <w:rFonts w:ascii="Calibri" w:hAnsi="Calibri"/>
                <w:b w:val="0"/>
                <w:color w:val="CC0000"/>
                <w:sz w:val="20"/>
              </w:rPr>
              <w:t>-3.5%</w:t>
            </w:r>
          </w:p>
        </w:tc>
        <w:tc>
          <w:tcPr>
            <w:tcW w:type="dxa" w:w="2437"/>
            <w:shd w:val="clear" w:color="auto" w:fill="EEF3FA"/>
          </w:tcPr>
          <w:p>
            <w:pPr>
              <w:spacing w:after="40" w:before="40"/>
            </w:pPr>
            <w:r>
              <w:rPr>
                <w:rFonts w:ascii="Calibri" w:hAnsi="Calibri"/>
                <w:b w:val="0"/>
                <w:color w:val="CC0000"/>
                <w:sz w:val="20"/>
              </w:rPr>
              <w:t>-2.0%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1.048</w:t>
            </w:r>
          </w:p>
        </w:tc>
        <w:tc>
          <w:tcPr>
            <w:tcW w:type="dxa" w:w="2437"/>
          </w:tcPr>
          <w:p>
            <w:pPr>
              <w:spacing w:after="40" w:before="40"/>
            </w:pPr>
            <w:r>
              <w:rPr>
                <w:rFonts w:ascii="Calibri" w:hAnsi="Calibri"/>
                <w:b w:val="0"/>
                <w:color w:val="CC0000"/>
                <w:sz w:val="20"/>
              </w:rPr>
              <w:t>-1.5%</w:t>
            </w:r>
          </w:p>
        </w:tc>
        <w:tc>
          <w:tcPr>
            <w:tcW w:type="dxa" w:w="2437"/>
          </w:tcPr>
          <w:p>
            <w:pPr>
              <w:spacing w:after="40" w:before="40"/>
            </w:pPr>
            <w:r>
              <w:rPr>
                <w:rFonts w:ascii="Calibri" w:hAnsi="Calibri"/>
                <w:b w:val="0"/>
                <w:color w:val="CC0000"/>
                <w:sz w:val="20"/>
              </w:rPr>
              <w:t>-2.0%</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1.260</w:t>
            </w:r>
          </w:p>
        </w:tc>
        <w:tc>
          <w:tcPr>
            <w:tcW w:type="dxa" w:w="2437"/>
            <w:shd w:val="clear" w:color="auto" w:fill="EEF3FA"/>
          </w:tcPr>
          <w:p>
            <w:pPr>
              <w:spacing w:after="40" w:before="40"/>
            </w:pPr>
            <w:r>
              <w:rPr>
                <w:rFonts w:ascii="Calibri" w:hAnsi="Calibri"/>
                <w:b w:val="0"/>
                <w:color w:val="CC0000"/>
                <w:sz w:val="20"/>
              </w:rPr>
              <w:t>-0.8%</w:t>
            </w:r>
          </w:p>
        </w:tc>
        <w:tc>
          <w:tcPr>
            <w:tcW w:type="dxa" w:w="2437"/>
            <w:shd w:val="clear" w:color="auto" w:fill="EEF3FA"/>
          </w:tcPr>
          <w:p>
            <w:pPr>
              <w:spacing w:after="40" w:before="40"/>
            </w:pPr>
            <w:r>
              <w:rPr>
                <w:rFonts w:ascii="Calibri" w:hAnsi="Calibri"/>
                <w:b w:val="0"/>
                <w:color w:val="CC0000"/>
                <w:sz w:val="20"/>
              </w:rPr>
              <w:t>-0.5%</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152.5</w:t>
            </w:r>
          </w:p>
        </w:tc>
        <w:tc>
          <w:tcPr>
            <w:tcW w:type="dxa" w:w="2437"/>
          </w:tcPr>
          <w:p>
            <w:pPr>
              <w:spacing w:after="40" w:before="40"/>
            </w:pPr>
            <w:r>
              <w:rPr>
                <w:rFonts w:ascii="Calibri" w:hAnsi="Calibri"/>
                <w:b w:val="0"/>
                <w:color w:val="007A33"/>
                <w:sz w:val="20"/>
              </w:rPr>
              <w:t>+1.0%</w:t>
            </w:r>
          </w:p>
        </w:tc>
        <w:tc>
          <w:tcPr>
            <w:tcW w:type="dxa" w:w="2437"/>
          </w:tcPr>
          <w:p>
            <w:pPr>
              <w:spacing w:after="40" w:before="40"/>
            </w:pPr>
            <w:r>
              <w:rPr>
                <w:rFonts w:ascii="Calibri" w:hAnsi="Calibri"/>
                <w:b w:val="0"/>
                <w:color w:val="007A33"/>
                <w:sz w:val="20"/>
              </w:rPr>
              <w:t>+1.5%</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3.90%</w:t>
            </w:r>
          </w:p>
        </w:tc>
        <w:tc>
          <w:tcPr>
            <w:tcW w:type="dxa" w:w="2437"/>
            <w:shd w:val="clear" w:color="auto" w:fill="EEF3FA"/>
          </w:tcPr>
          <w:p>
            <w:pPr>
              <w:spacing w:after="40" w:before="40"/>
            </w:pPr>
            <w:r>
              <w:rPr>
                <w:rFonts w:ascii="Calibri" w:hAnsi="Calibri"/>
                <w:b w:val="0"/>
                <w:color w:val="CC0000"/>
                <w:sz w:val="20"/>
              </w:rPr>
              <w:t>-20 bps</w:t>
            </w:r>
          </w:p>
        </w:tc>
        <w:tc>
          <w:tcPr>
            <w:tcW w:type="dxa" w:w="2437"/>
            <w:shd w:val="clear" w:color="auto" w:fill="EEF3FA"/>
          </w:tcPr>
          <w:p>
            <w:pPr>
              <w:spacing w:after="40" w:before="40"/>
            </w:pPr>
            <w:r>
              <w:rPr>
                <w:rFonts w:ascii="Calibri" w:hAnsi="Calibri"/>
                <w:b w:val="0"/>
                <w:color w:val="CC0000"/>
                <w:sz w:val="20"/>
              </w:rPr>
              <w:t>-35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2.00%</w:t>
            </w:r>
          </w:p>
        </w:tc>
        <w:tc>
          <w:tcPr>
            <w:tcW w:type="dxa" w:w="2437"/>
          </w:tcPr>
          <w:p>
            <w:pPr>
              <w:spacing w:after="40" w:before="40"/>
            </w:pPr>
            <w:r>
              <w:rPr>
                <w:rFonts w:ascii="Calibri" w:hAnsi="Calibri"/>
                <w:b w:val="0"/>
                <w:color w:val="CC0000"/>
                <w:sz w:val="20"/>
              </w:rPr>
              <w:t>-15 bps</w:t>
            </w:r>
          </w:p>
        </w:tc>
        <w:tc>
          <w:tcPr>
            <w:tcW w:type="dxa" w:w="2437"/>
          </w:tcPr>
          <w:p>
            <w:pPr>
              <w:spacing w:after="40" w:before="40"/>
            </w:pPr>
            <w:r>
              <w:rPr>
                <w:rFonts w:ascii="Calibri" w:hAnsi="Calibri"/>
                <w:b w:val="0"/>
                <w:color w:val="CC0000"/>
                <w:sz w:val="20"/>
              </w:rPr>
              <w:t>-30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71.5</w:t>
            </w:r>
          </w:p>
        </w:tc>
        <w:tc>
          <w:tcPr>
            <w:tcW w:type="dxa" w:w="2437"/>
            <w:shd w:val="clear" w:color="auto" w:fill="EEF3FA"/>
          </w:tcPr>
          <w:p>
            <w:pPr>
              <w:spacing w:after="40" w:before="40"/>
            </w:pPr>
            <w:r>
              <w:rPr>
                <w:rFonts w:ascii="Calibri" w:hAnsi="Calibri"/>
                <w:b w:val="0"/>
                <w:color w:val="CC0000"/>
                <w:sz w:val="20"/>
              </w:rPr>
              <w:t>-4.5%</w:t>
            </w:r>
          </w:p>
        </w:tc>
        <w:tc>
          <w:tcPr>
            <w:tcW w:type="dxa" w:w="2437"/>
            <w:shd w:val="clear" w:color="auto" w:fill="EEF3FA"/>
          </w:tcPr>
          <w:p>
            <w:pPr>
              <w:spacing w:after="40" w:before="40"/>
            </w:pPr>
            <w:r>
              <w:rPr>
                <w:rFonts w:ascii="Calibri" w:hAnsi="Calibri"/>
                <w:b w:val="0"/>
                <w:color w:val="CC0000"/>
                <w:sz w:val="20"/>
              </w:rPr>
              <w:t>-6.0%</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2,320</w:t>
            </w:r>
          </w:p>
        </w:tc>
        <w:tc>
          <w:tcPr>
            <w:tcW w:type="dxa" w:w="2437"/>
          </w:tcPr>
          <w:p>
            <w:pPr>
              <w:spacing w:after="40" w:before="40"/>
            </w:pPr>
            <w:r>
              <w:rPr>
                <w:rFonts w:ascii="Calibri" w:hAnsi="Calibri"/>
                <w:b w:val="0"/>
                <w:color w:val="007A33"/>
                <w:sz w:val="20"/>
              </w:rPr>
              <w:t>+4.0%</w:t>
            </w:r>
          </w:p>
        </w:tc>
        <w:tc>
          <w:tcPr>
            <w:tcW w:type="dxa" w:w="2437"/>
          </w:tcPr>
          <w:p>
            <w:pPr>
              <w:spacing w:after="40" w:before="40"/>
            </w:pPr>
            <w:r>
              <w:rPr>
                <w:rFonts w:ascii="Calibri" w:hAnsi="Calibri"/>
                <w:b w:val="0"/>
                <w:color w:val="007A33"/>
                <w:sz w:val="20"/>
              </w:rPr>
              <w:t>+8.5%</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22.5</w:t>
            </w:r>
          </w:p>
        </w:tc>
        <w:tc>
          <w:tcPr>
            <w:tcW w:type="dxa" w:w="2437"/>
            <w:shd w:val="clear" w:color="auto" w:fill="EEF3FA"/>
          </w:tcPr>
          <w:p>
            <w:pPr>
              <w:spacing w:after="40" w:before="40"/>
            </w:pPr>
            <w:r>
              <w:rPr>
                <w:rFonts w:ascii="Calibri" w:hAnsi="Calibri"/>
                <w:b w:val="0"/>
                <w:color w:val="007A33"/>
                <w:sz w:val="20"/>
              </w:rPr>
              <w:t>+35%</w:t>
            </w:r>
          </w:p>
        </w:tc>
        <w:tc>
          <w:tcPr>
            <w:tcW w:type="dxa" w:w="2437"/>
            <w:shd w:val="clear" w:color="auto" w:fill="EEF3FA"/>
          </w:tcPr>
          <w:p>
            <w:pPr>
              <w:spacing w:after="40" w:before="40"/>
            </w:pPr>
            <w:r>
              <w:rPr>
                <w:rFonts w:ascii="Calibri" w:hAnsi="Calibri"/>
                <w:b w:val="0"/>
                <w:color w:val="007A33"/>
                <w:sz w:val="20"/>
              </w:rPr>
              <w:t>+30%</w:t>
            </w:r>
          </w:p>
        </w:tc>
      </w:tr>
    </w:tbl>
    <w:p>
      <w:pPr>
        <w:spacing w:before="240" w:after="80"/>
        <w:pBdr>
          <w:bottom w:val="single" w:sz="6" w:space="1" w:color="00429B"/>
        </w:pBdr>
      </w:pPr>
      <w:r>
        <w:rPr>
          <w:rFonts w:ascii="Calibri" w:hAnsi="Calibri"/>
          <w:b/>
          <w:color w:val="00429B"/>
          <w:sz w:val="26"/>
        </w:rPr>
        <w:t>11. CUSTODIAN &amp;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w:t>
            </w:r>
          </w:p>
        </w:tc>
        <w:tc>
          <w:tcPr>
            <w:tcW w:type="dxa" w:w="3250"/>
          </w:tcPr>
          <w:p>
            <w:pPr>
              <w:spacing w:after="40" w:before="40"/>
            </w:pPr>
            <w:r>
              <w:rPr>
                <w:rFonts w:ascii="Calibri" w:hAnsi="Calibri"/>
                <w:b w:val="0"/>
                <w:sz w:val="20"/>
              </w:rPr>
              <w:t>Completed acquisition of European private credit fund administration boutique, adding approximately USD 40B in AUA.</w:t>
            </w:r>
          </w:p>
        </w:tc>
        <w:tc>
          <w:tcPr>
            <w:tcW w:type="dxa" w:w="3250"/>
          </w:tcPr>
          <w:p>
            <w:pPr>
              <w:spacing w:after="40" w:before="40"/>
            </w:pPr>
            <w:r>
              <w:rPr>
                <w:rFonts w:ascii="Calibri" w:hAnsi="Calibri"/>
                <w:b w:val="0"/>
                <w:sz w:val="20"/>
              </w:rPr>
              <w:t>Strengthens BNY's alternatives servicing capabilities and competitive position in fast-growing private credit segment.</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Expanded Alpha for Digital Assets pilot to cover tokenised money market funds with two major US asset managers.</w:t>
            </w:r>
          </w:p>
        </w:tc>
        <w:tc>
          <w:tcPr>
            <w:tcW w:type="dxa" w:w="3250"/>
            <w:shd w:val="clear" w:color="auto" w:fill="EEF3FA"/>
          </w:tcPr>
          <w:p>
            <w:pPr>
              <w:spacing w:after="40" w:before="40"/>
            </w:pPr>
            <w:r>
              <w:rPr>
                <w:rFonts w:ascii="Calibri" w:hAnsi="Calibri"/>
                <w:b w:val="0"/>
                <w:sz w:val="20"/>
              </w:rPr>
              <w:t>Positions State Street as an early institutional mover in tokenised fund custody and administration.</w:t>
            </w:r>
          </w:p>
        </w:tc>
      </w:tr>
      <w:tr>
        <w:tc>
          <w:tcPr>
            <w:tcW w:type="dxa" w:w="3250"/>
          </w:tcPr>
          <w:p>
            <w:pPr>
              <w:spacing w:after="40" w:before="40"/>
            </w:pPr>
            <w:r>
              <w:rPr>
                <w:rFonts w:ascii="Calibri" w:hAnsi="Calibri"/>
                <w:b w:val="0"/>
                <w:sz w:val="20"/>
              </w:rPr>
              <w:t>JPMorgan Chase &amp; Co.</w:t>
            </w:r>
          </w:p>
        </w:tc>
        <w:tc>
          <w:tcPr>
            <w:tcW w:type="dxa" w:w="3250"/>
          </w:tcPr>
          <w:p>
            <w:pPr>
              <w:spacing w:after="40" w:before="40"/>
            </w:pPr>
            <w:r>
              <w:rPr>
                <w:rFonts w:ascii="Calibri" w:hAnsi="Calibri"/>
                <w:b w:val="0"/>
                <w:sz w:val="20"/>
              </w:rPr>
              <w:t>Onyx digital assets unit processed over USD 2 billion in daily intraday repo transactions in March, a new record.</w:t>
            </w:r>
          </w:p>
        </w:tc>
        <w:tc>
          <w:tcPr>
            <w:tcW w:type="dxa" w:w="3250"/>
          </w:tcPr>
          <w:p>
            <w:pPr>
              <w:spacing w:after="40" w:before="40"/>
            </w:pPr>
            <w:r>
              <w:rPr>
                <w:rFonts w:ascii="Calibri" w:hAnsi="Calibri"/>
                <w:b w:val="0"/>
                <w:sz w:val="20"/>
              </w:rPr>
              <w:t>Demonstrates institutional-scale DLT adoption in short-term funding markets, reinforcing JPMorgan's blockchain leadership.</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Launched AI-powered exception management module within Citi Securities Services, targeting 40% reduction in trade-fail resolution time.</w:t>
            </w:r>
          </w:p>
        </w:tc>
        <w:tc>
          <w:tcPr>
            <w:tcW w:type="dxa" w:w="3250"/>
            <w:shd w:val="clear" w:color="auto" w:fill="EEF3FA"/>
          </w:tcPr>
          <w:p>
            <w:pPr>
              <w:spacing w:after="40" w:before="40"/>
            </w:pPr>
            <w:r>
              <w:rPr>
                <w:rFonts w:ascii="Calibri" w:hAnsi="Calibri"/>
                <w:b w:val="0"/>
                <w:sz w:val="20"/>
              </w:rPr>
              <w:t>Raises the bar for operational efficiency among global custodians and may pressure peers to accelerate AI deployment.</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Announced exit from standalone custody operations in Vietnam, Bangladesh, and Sri Lanka by Q3 2026.</w:t>
            </w:r>
          </w:p>
        </w:tc>
        <w:tc>
          <w:tcPr>
            <w:tcW w:type="dxa" w:w="3250"/>
          </w:tcPr>
          <w:p>
            <w:pPr>
              <w:spacing w:after="40" w:before="40"/>
            </w:pPr>
            <w:r>
              <w:rPr>
                <w:rFonts w:ascii="Calibri" w:hAnsi="Calibri"/>
                <w:b w:val="0"/>
                <w:sz w:val="20"/>
              </w:rPr>
              <w:t>Signals continued rationalisation of sub-custodian footprint; creates network management considerations for clients with exposure to those markets.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Expanded securities lending programme to include tokenised government bond collateral via internal DLT platform.</w:t>
            </w:r>
          </w:p>
        </w:tc>
        <w:tc>
          <w:tcPr>
            <w:tcW w:type="dxa" w:w="3250"/>
            <w:shd w:val="clear" w:color="auto" w:fill="EEF3FA"/>
          </w:tcPr>
          <w:p>
            <w:pPr>
              <w:spacing w:after="40" w:before="40"/>
            </w:pPr>
            <w:r>
              <w:rPr>
                <w:rFonts w:ascii="Calibri" w:hAnsi="Calibri"/>
                <w:b w:val="0"/>
                <w:sz w:val="20"/>
              </w:rPr>
              <w:t>Early adoption of tokenised collateral in securities lending could drive efficiency gains and attract digitally-native clients.</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Jointly launched real-time DLT-based collateral optimisation service with Broadridge.</w:t>
            </w:r>
          </w:p>
        </w:tc>
        <w:tc>
          <w:tcPr>
            <w:tcW w:type="dxa" w:w="3250"/>
          </w:tcPr>
          <w:p>
            <w:pPr>
              <w:spacing w:after="40" w:before="40"/>
            </w:pPr>
            <w:r>
              <w:rPr>
                <w:rFonts w:ascii="Calibri" w:hAnsi="Calibri"/>
                <w:b w:val="0"/>
                <w:sz w:val="20"/>
              </w:rPr>
              <w:t>Addresses growing demand for automated, cross-CCP margin management from large pension and insurance clients.</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Participated as lead investor in Taurus Series C (USD 100M), deepening strategic partnership in digital asset custody and tokenisation.</w:t>
            </w:r>
          </w:p>
        </w:tc>
        <w:tc>
          <w:tcPr>
            <w:tcW w:type="dxa" w:w="3250"/>
            <w:shd w:val="clear" w:color="auto" w:fill="EEF3FA"/>
          </w:tcPr>
          <w:p>
            <w:pPr>
              <w:spacing w:after="40" w:before="40"/>
            </w:pPr>
            <w:r>
              <w:rPr>
                <w:rFonts w:ascii="Calibri" w:hAnsi="Calibri"/>
                <w:b w:val="0"/>
                <w:sz w:val="20"/>
              </w:rPr>
              <w:t>Confirms Deutsche Bank's buy-and-partner strategy for digital asset infrastructure rather than full in-house build.</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Announced integration of Credit Suisse legacy custody books onto UBS platform complete for APAC region.</w:t>
            </w:r>
          </w:p>
        </w:tc>
        <w:tc>
          <w:tcPr>
            <w:tcW w:type="dxa" w:w="3250"/>
          </w:tcPr>
          <w:p>
            <w:pPr>
              <w:spacing w:after="40" w:before="40"/>
            </w:pPr>
            <w:r>
              <w:rPr>
                <w:rFonts w:ascii="Calibri" w:hAnsi="Calibri"/>
                <w:b w:val="0"/>
                <w:sz w:val="20"/>
              </w:rPr>
              <w:t>Major post-merger migration milestone; European and Americas integration on track for H2 2026.</w:t>
            </w:r>
          </w:p>
        </w:tc>
      </w:tr>
      <w:tr>
        <w:tc>
          <w:tcPr>
            <w:tcW w:type="dxa" w:w="3250"/>
            <w:shd w:val="clear" w:color="auto" w:fill="EEF3FA"/>
          </w:tcPr>
          <w:p>
            <w:pPr>
              <w:spacing w:after="40" w:before="40"/>
            </w:pPr>
            <w:r>
              <w:rPr>
                <w:rFonts w:ascii="Calibri" w:hAnsi="Calibri"/>
                <w:b w:val="0"/>
                <w:sz w:val="20"/>
              </w:rPr>
              <w:t>RBC Investor Services</w:t>
            </w:r>
          </w:p>
        </w:tc>
        <w:tc>
          <w:tcPr>
            <w:tcW w:type="dxa" w:w="3250"/>
            <w:shd w:val="clear" w:color="auto" w:fill="EEF3FA"/>
          </w:tcPr>
          <w:p>
            <w:pPr>
              <w:spacing w:after="40" w:before="40"/>
            </w:pPr>
            <w:r>
              <w:rPr>
                <w:rFonts w:ascii="Calibri" w:hAnsi="Calibri"/>
                <w:b w:val="0"/>
                <w:sz w:val="20"/>
              </w:rPr>
              <w:t>Published updated client guidance on CSA crypto-asset custody standards following 14 March OSC/CSA staff notice.</w:t>
            </w:r>
          </w:p>
        </w:tc>
        <w:tc>
          <w:tcPr>
            <w:tcW w:type="dxa" w:w="3250"/>
            <w:shd w:val="clear" w:color="auto" w:fill="EEF3FA"/>
          </w:tcPr>
          <w:p>
            <w:pPr>
              <w:spacing w:after="40" w:before="40"/>
            </w:pPr>
            <w:r>
              <w:rPr>
                <w:rFonts w:ascii="Calibri" w:hAnsi="Calibri"/>
                <w:b w:val="0"/>
                <w:sz w:val="20"/>
              </w:rPr>
              <w:t>Demonstrates proactive regulatory responsiveness to Canadian institutional client base and positions RBC IS as a compliant custody partner.</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Launched a tokenised fund distribution platform in partnership with Forge (SG's digital asset subsidiary) for Luxembourg UCITS.</w:t>
            </w:r>
          </w:p>
        </w:tc>
        <w:tc>
          <w:tcPr>
            <w:tcW w:type="dxa" w:w="3250"/>
          </w:tcPr>
          <w:p>
            <w:pPr>
              <w:spacing w:after="40" w:before="40"/>
            </w:pPr>
            <w:r>
              <w:rPr>
                <w:rFonts w:ascii="Calibri" w:hAnsi="Calibri"/>
                <w:b w:val="0"/>
                <w:sz w:val="20"/>
              </w:rPr>
              <w:t>Bridges traditional fund administration and on-chain distribution, targeting European institutional investors.</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Zodia Custody (a Standard Chartered-backed venture) expanded digital asset custody services to Hong Kong following SFC licensing.</w:t>
            </w:r>
          </w:p>
        </w:tc>
        <w:tc>
          <w:tcPr>
            <w:tcW w:type="dxa" w:w="3250"/>
            <w:shd w:val="clear" w:color="auto" w:fill="EEF3FA"/>
          </w:tcPr>
          <w:p>
            <w:pPr>
              <w:spacing w:after="40" w:before="40"/>
            </w:pPr>
            <w:r>
              <w:rPr>
                <w:rFonts w:ascii="Calibri" w:hAnsi="Calibri"/>
                <w:b w:val="0"/>
                <w:sz w:val="20"/>
              </w:rPr>
              <w:t>Extends Standard Chartered's institutional digital asset custody footprint into Asia's growing regulated crypto market.</w:t>
            </w:r>
          </w:p>
        </w:tc>
      </w:tr>
      <w:tr>
        <w:tc>
          <w:tcPr>
            <w:tcW w:type="dxa" w:w="3250"/>
          </w:tcPr>
          <w:p>
            <w:pPr>
              <w:spacing w:after="40" w:before="40"/>
            </w:pPr>
            <w:r>
              <w:rPr>
                <w:rFonts w:ascii="Calibri" w:hAnsi="Calibri"/>
                <w:b w:val="0"/>
                <w:sz w:val="20"/>
              </w:rPr>
              <w:t>Brown Brothers Harriman &amp; Co.</w:t>
            </w:r>
          </w:p>
        </w:tc>
        <w:tc>
          <w:tcPr>
            <w:tcW w:type="dxa" w:w="3250"/>
          </w:tcPr>
          <w:p>
            <w:pPr>
              <w:spacing w:after="40" w:before="40"/>
            </w:pPr>
            <w:r>
              <w:rPr>
                <w:rFonts w:ascii="Calibri" w:hAnsi="Calibri"/>
                <w:b w:val="0"/>
                <w:sz w:val="20"/>
              </w:rPr>
              <w:t>Released enhanced Infomediary data platform with AI-driven ETF analytics and portfolio composition file services.</w:t>
            </w:r>
          </w:p>
        </w:tc>
        <w:tc>
          <w:tcPr>
            <w:tcW w:type="dxa" w:w="3250"/>
          </w:tcPr>
          <w:p>
            <w:pPr>
              <w:spacing w:after="40" w:before="40"/>
            </w:pPr>
            <w:r>
              <w:rPr>
                <w:rFonts w:ascii="Calibri" w:hAnsi="Calibri"/>
                <w:b w:val="0"/>
                <w:sz w:val="20"/>
              </w:rPr>
              <w:t>Strengthens BBH's niche position as a leading ETF custodian and servicer, with improved real-time transparency tools.</w:t>
            </w:r>
          </w:p>
        </w:tc>
      </w:tr>
      <w:tr>
        <w:tc>
          <w:tcPr>
            <w:tcW w:type="dxa" w:w="3250"/>
            <w:shd w:val="clear" w:color="auto" w:fill="EEF3FA"/>
          </w:tcPr>
          <w:p>
            <w:pPr>
              <w:spacing w:after="40" w:before="40"/>
            </w:pPr>
            <w:r>
              <w:rPr>
                <w:rFonts w:ascii="Calibri" w:hAnsi="Calibri"/>
                <w:b w:val="0"/>
                <w:sz w:val="20"/>
              </w:rPr>
              <w:t>Clearstream</w:t>
            </w:r>
          </w:p>
        </w:tc>
        <w:tc>
          <w:tcPr>
            <w:tcW w:type="dxa" w:w="3250"/>
            <w:shd w:val="clear" w:color="auto" w:fill="EEF3FA"/>
          </w:tcPr>
          <w:p>
            <w:pPr>
              <w:spacing w:after="40" w:before="40"/>
            </w:pPr>
            <w:r>
              <w:rPr>
                <w:rFonts w:ascii="Calibri" w:hAnsi="Calibri"/>
                <w:b w:val="0"/>
                <w:sz w:val="20"/>
              </w:rPr>
              <w:t>Integrated Taskize exception management platform into CSD settlement infrastructure.</w:t>
            </w:r>
          </w:p>
        </w:tc>
        <w:tc>
          <w:tcPr>
            <w:tcW w:type="dxa" w:w="3250"/>
            <w:shd w:val="clear" w:color="auto" w:fill="EEF3FA"/>
          </w:tcPr>
          <w:p>
            <w:pPr>
              <w:spacing w:after="40" w:before="40"/>
            </w:pPr>
            <w:r>
              <w:rPr>
                <w:rFonts w:ascii="Calibri" w:hAnsi="Calibri"/>
                <w:b w:val="0"/>
                <w:sz w:val="20"/>
              </w:rPr>
              <w:t>Automates resolution of settlement fails and corporate action discrepancies; improves STP rates for custody clients.</w:t>
            </w:r>
          </w:p>
        </w:tc>
      </w:tr>
      <w:tr>
        <w:tc>
          <w:tcPr>
            <w:tcW w:type="dxa" w:w="3250"/>
          </w:tcPr>
          <w:p>
            <w:pPr>
              <w:spacing w:after="40" w:before="40"/>
            </w:pPr>
            <w:r>
              <w:rPr>
                <w:rFonts w:ascii="Calibri" w:hAnsi="Calibri"/>
                <w:b w:val="0"/>
                <w:sz w:val="20"/>
              </w:rPr>
              <w:t>Euroclear</w:t>
            </w:r>
          </w:p>
        </w:tc>
        <w:tc>
          <w:tcPr>
            <w:tcW w:type="dxa" w:w="3250"/>
          </w:tcPr>
          <w:p>
            <w:pPr>
              <w:spacing w:after="40" w:before="40"/>
            </w:pPr>
            <w:r>
              <w:rPr>
                <w:rFonts w:ascii="Calibri" w:hAnsi="Calibri"/>
                <w:b w:val="0"/>
                <w:sz w:val="20"/>
              </w:rPr>
              <w:t>Published updated T+1 readiness roadmap for European markets, outlining phased testing beginning Q1 2027.</w:t>
            </w:r>
          </w:p>
        </w:tc>
        <w:tc>
          <w:tcPr>
            <w:tcW w:type="dxa" w:w="3250"/>
          </w:tcPr>
          <w:p>
            <w:pPr>
              <w:spacing w:after="40" w:before="40"/>
            </w:pPr>
            <w:r>
              <w:rPr>
                <w:rFonts w:ascii="Calibri" w:hAnsi="Calibri"/>
                <w:b w:val="0"/>
                <w:sz w:val="20"/>
              </w:rPr>
              <w:t>Provides custodians and market participants with a concrete timeline for operational and technology preparation.</w:t>
            </w:r>
          </w:p>
        </w:tc>
      </w:tr>
      <w:tr>
        <w:tc>
          <w:tcPr>
            <w:tcW w:type="dxa" w:w="3250"/>
            <w:shd w:val="clear" w:color="auto" w:fill="EEF3FA"/>
          </w:tcPr>
          <w:p>
            <w:pPr>
              <w:spacing w:after="40" w:before="40"/>
            </w:pPr>
            <w:r>
              <w:rPr>
                <w:rFonts w:ascii="Calibri" w:hAnsi="Calibri"/>
                <w:b w:val="0"/>
                <w:sz w:val="20"/>
              </w:rPr>
              <w:t>CIBC Mellon</w:t>
            </w:r>
          </w:p>
        </w:tc>
        <w:tc>
          <w:tcPr>
            <w:tcW w:type="dxa" w:w="3250"/>
            <w:shd w:val="clear" w:color="auto" w:fill="EEF3FA"/>
          </w:tcPr>
          <w:p>
            <w:pPr>
              <w:spacing w:after="40" w:before="40"/>
            </w:pPr>
            <w:r>
              <w:rPr>
                <w:rFonts w:ascii="Calibri" w:hAnsi="Calibri"/>
                <w:b w:val="0"/>
                <w:sz w:val="20"/>
              </w:rPr>
              <w:t>No material news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Coinbase Custody (Coinbase Prime)</w:t>
            </w:r>
          </w:p>
        </w:tc>
        <w:tc>
          <w:tcPr>
            <w:tcW w:type="dxa" w:w="3250"/>
          </w:tcPr>
          <w:p>
            <w:pPr>
              <w:spacing w:after="40" w:before="40"/>
            </w:pPr>
            <w:r>
              <w:rPr>
                <w:rFonts w:ascii="Calibri" w:hAnsi="Calibri"/>
                <w:b w:val="0"/>
                <w:sz w:val="20"/>
              </w:rPr>
              <w:t>Received preliminary approval from the Bermuda Monetary Authority for an offshore institutional custody entity.</w:t>
            </w:r>
          </w:p>
        </w:tc>
        <w:tc>
          <w:tcPr>
            <w:tcW w:type="dxa" w:w="3250"/>
          </w:tcPr>
          <w:p>
            <w:pPr>
              <w:spacing w:after="40" w:before="40"/>
            </w:pPr>
            <w:r>
              <w:rPr>
                <w:rFonts w:ascii="Calibri" w:hAnsi="Calibri"/>
                <w:b w:val="0"/>
                <w:sz w:val="20"/>
              </w:rPr>
              <w:t>Expands Coinbase's regulated custody perimeter, offering an alternative domicile for non-US institutional crypto allocations.</w:t>
            </w:r>
          </w:p>
        </w:tc>
      </w:tr>
      <w:tr>
        <w:tc>
          <w:tcPr>
            <w:tcW w:type="dxa" w:w="3250"/>
            <w:shd w:val="clear" w:color="auto" w:fill="EEF3FA"/>
          </w:tcPr>
          <w:p>
            <w:pPr>
              <w:spacing w:after="40" w:before="40"/>
            </w:pPr>
            <w:r>
              <w:rPr>
                <w:rFonts w:ascii="Calibri" w:hAnsi="Calibri"/>
                <w:b w:val="0"/>
                <w:sz w:val="20"/>
              </w:rPr>
              <w:t>BitGo</w:t>
            </w:r>
          </w:p>
        </w:tc>
        <w:tc>
          <w:tcPr>
            <w:tcW w:type="dxa" w:w="3250"/>
            <w:shd w:val="clear" w:color="auto" w:fill="EEF3FA"/>
          </w:tcPr>
          <w:p>
            <w:pPr>
              <w:spacing w:after="40" w:before="40"/>
            </w:pPr>
            <w:r>
              <w:rPr>
                <w:rFonts w:ascii="Calibri" w:hAnsi="Calibri"/>
                <w:b w:val="0"/>
                <w:sz w:val="20"/>
              </w:rPr>
              <w:t>Announced SOC 2 Type II certification renewal and new integration with three major prime brokerage platforms.</w:t>
            </w:r>
          </w:p>
        </w:tc>
        <w:tc>
          <w:tcPr>
            <w:tcW w:type="dxa" w:w="3250"/>
            <w:shd w:val="clear" w:color="auto" w:fill="EEF3FA"/>
          </w:tcPr>
          <w:p>
            <w:pPr>
              <w:spacing w:after="40" w:before="40"/>
            </w:pPr>
            <w:r>
              <w:rPr>
                <w:rFonts w:ascii="Calibri" w:hAnsi="Calibri"/>
                <w:b w:val="0"/>
                <w:sz w:val="20"/>
              </w:rPr>
              <w:t>Reinforces BitGo's institutional credibility and broadens distribution of its qualified custodian services.</w:t>
            </w:r>
          </w:p>
        </w:tc>
      </w:tr>
      <w:tr>
        <w:tc>
          <w:tcPr>
            <w:tcW w:type="dxa" w:w="3250"/>
          </w:tcPr>
          <w:p>
            <w:pPr>
              <w:spacing w:after="40" w:before="40"/>
            </w:pPr>
            <w:r>
              <w:rPr>
                <w:rFonts w:ascii="Calibri" w:hAnsi="Calibri"/>
                <w:b w:val="0"/>
                <w:sz w:val="20"/>
              </w:rPr>
              <w:t>Fidelity Digital Assets</w:t>
            </w:r>
          </w:p>
        </w:tc>
        <w:tc>
          <w:tcPr>
            <w:tcW w:type="dxa" w:w="3250"/>
          </w:tcPr>
          <w:p>
            <w:pPr>
              <w:spacing w:after="40" w:before="40"/>
            </w:pPr>
            <w:r>
              <w:rPr>
                <w:rFonts w:ascii="Calibri" w:hAnsi="Calibri"/>
                <w:b w:val="0"/>
                <w:sz w:val="20"/>
              </w:rPr>
              <w:t>Expanded custody support to cover five additional blockchain networks, including Solana and Avalanche.</w:t>
            </w:r>
          </w:p>
        </w:tc>
        <w:tc>
          <w:tcPr>
            <w:tcW w:type="dxa" w:w="3250"/>
          </w:tcPr>
          <w:p>
            <w:pPr>
              <w:spacing w:after="40" w:before="40"/>
            </w:pPr>
            <w:r>
              <w:rPr>
                <w:rFonts w:ascii="Calibri" w:hAnsi="Calibri"/>
                <w:b w:val="0"/>
                <w:sz w:val="20"/>
              </w:rPr>
              <w:t>Broadens asset coverage for institutional clients and aligns with growing demand for multi-chain custody.</w:t>
            </w:r>
          </w:p>
        </w:tc>
      </w:tr>
      <w:tr>
        <w:tc>
          <w:tcPr>
            <w:tcW w:type="dxa" w:w="3250"/>
            <w:shd w:val="clear" w:color="auto" w:fill="EEF3FA"/>
          </w:tcPr>
          <w:p>
            <w:pPr>
              <w:spacing w:after="40" w:before="40"/>
            </w:pPr>
            <w:r>
              <w:rPr>
                <w:rFonts w:ascii="Calibri" w:hAnsi="Calibri"/>
                <w:b w:val="0"/>
                <w:sz w:val="20"/>
              </w:rPr>
              <w:t>Anchorage Digital</w:t>
            </w:r>
          </w:p>
        </w:tc>
        <w:tc>
          <w:tcPr>
            <w:tcW w:type="dxa" w:w="3250"/>
            <w:shd w:val="clear" w:color="auto" w:fill="EEF3FA"/>
          </w:tcPr>
          <w:p>
            <w:pPr>
              <w:spacing w:after="40" w:before="40"/>
            </w:pPr>
            <w:r>
              <w:rPr>
                <w:rFonts w:ascii="Calibri" w:hAnsi="Calibri"/>
                <w:b w:val="0"/>
                <w:sz w:val="20"/>
              </w:rPr>
              <w:t>Partnered with a major US insurance company to provide custody for a digital asset allocation within their general account.</w:t>
            </w:r>
          </w:p>
        </w:tc>
        <w:tc>
          <w:tcPr>
            <w:tcW w:type="dxa" w:w="3250"/>
            <w:shd w:val="clear" w:color="auto" w:fill="EEF3FA"/>
          </w:tcPr>
          <w:p>
            <w:pPr>
              <w:spacing w:after="40" w:before="40"/>
            </w:pPr>
            <w:r>
              <w:rPr>
                <w:rFonts w:ascii="Calibri" w:hAnsi="Calibri"/>
                <w:b w:val="0"/>
                <w:sz w:val="20"/>
              </w:rPr>
              <w:t>Landmark adoption of digital asset custody by a traditional insurance institution, signalling mainstreaming of crypto allocations.</w:t>
            </w:r>
          </w:p>
        </w:tc>
      </w:tr>
      <w:tr>
        <w:tc>
          <w:tcPr>
            <w:tcW w:type="dxa" w:w="3250"/>
          </w:tcPr>
          <w:p>
            <w:pPr>
              <w:spacing w:after="40" w:before="40"/>
            </w:pPr>
            <w:r>
              <w:rPr>
                <w:rFonts w:ascii="Calibri" w:hAnsi="Calibri"/>
                <w:b w:val="0"/>
                <w:sz w:val="20"/>
              </w:rPr>
              <w:t>Fireblocks</w:t>
            </w:r>
          </w:p>
        </w:tc>
        <w:tc>
          <w:tcPr>
            <w:tcW w:type="dxa" w:w="3250"/>
          </w:tcPr>
          <w:p>
            <w:pPr>
              <w:spacing w:after="40" w:before="40"/>
            </w:pPr>
            <w:r>
              <w:rPr>
                <w:rFonts w:ascii="Calibri" w:hAnsi="Calibri"/>
                <w:b w:val="0"/>
                <w:sz w:val="20"/>
              </w:rPr>
              <w:t>Surpassed USD 6 trillion in cumulative transaction value processed through its infrastructure since inception.</w:t>
            </w:r>
          </w:p>
        </w:tc>
        <w:tc>
          <w:tcPr>
            <w:tcW w:type="dxa" w:w="3250"/>
          </w:tcPr>
          <w:p>
            <w:pPr>
              <w:spacing w:after="40" w:before="40"/>
            </w:pPr>
            <w:r>
              <w:rPr>
                <w:rFonts w:ascii="Calibri" w:hAnsi="Calibri"/>
                <w:b w:val="0"/>
                <w:sz w:val="20"/>
              </w:rPr>
              <w:t>Confirms Fireblocks' position as a dominant institutional digital asset transfer and custody infrastructure provider.</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Secured FCA temporary registration extension and launched ClearLoop integration with two additional exchanges.</w:t>
            </w:r>
          </w:p>
        </w:tc>
        <w:tc>
          <w:tcPr>
            <w:tcW w:type="dxa" w:w="3250"/>
            <w:shd w:val="clear" w:color="auto" w:fill="EEF3FA"/>
          </w:tcPr>
          <w:p>
            <w:pPr>
              <w:spacing w:after="40" w:before="40"/>
            </w:pPr>
            <w:r>
              <w:rPr>
                <w:rFonts w:ascii="Calibri" w:hAnsi="Calibri"/>
                <w:b w:val="0"/>
                <w:sz w:val="20"/>
              </w:rPr>
              <w:t>Provides UK-regulated pathway for institutional clients and reduces counterparty risk through off-exchange settlement.</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Expanded custody services to cover tokenised real-world assets in partnership with a European asset manager.</w:t>
            </w:r>
          </w:p>
        </w:tc>
        <w:tc>
          <w:tcPr>
            <w:tcW w:type="dxa" w:w="3250"/>
          </w:tcPr>
          <w:p>
            <w:pPr>
              <w:spacing w:after="40" w:before="40"/>
            </w:pPr>
            <w:r>
              <w:rPr>
                <w:rFonts w:ascii="Calibri" w:hAnsi="Calibri"/>
                <w:b w:val="0"/>
                <w:sz w:val="20"/>
              </w:rPr>
              <w:t>Positions Komainu at the intersection of traditional asset tokenisation and institutional-grade digital custody.</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Obtained SFC licence in Hong Kong, expanding regulated digital asset custody into Asia (noted under Standard Chartered).</w:t>
            </w:r>
          </w:p>
        </w:tc>
        <w:tc>
          <w:tcPr>
            <w:tcW w:type="dxa" w:w="3250"/>
            <w:shd w:val="clear" w:color="auto" w:fill="EEF3FA"/>
          </w:tcPr>
          <w:p>
            <w:pPr>
              <w:spacing w:after="40" w:before="40"/>
            </w:pPr>
            <w:r>
              <w:rPr>
                <w:rFonts w:ascii="Calibri" w:hAnsi="Calibri"/>
                <w:b w:val="0"/>
                <w:sz w:val="20"/>
              </w:rPr>
              <w:t>Opens Asia-Pacific institutional market and complements existing UK and EU coverage.</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Launched bitcoin collateral lending programme for US institutional clients in partnership with a top-10 US bank.</w:t>
            </w:r>
          </w:p>
        </w:tc>
        <w:tc>
          <w:tcPr>
            <w:tcW w:type="dxa" w:w="3250"/>
          </w:tcPr>
          <w:p>
            <w:pPr>
              <w:spacing w:after="40" w:before="40"/>
            </w:pPr>
            <w:r>
              <w:rPr>
                <w:rFonts w:ascii="Calibri" w:hAnsi="Calibri"/>
                <w:b w:val="0"/>
                <w:sz w:val="20"/>
              </w:rPr>
              <w:t>Deepens bitcoin's integration into traditional collateral and financing markets.</w:t>
            </w:r>
          </w:p>
        </w:tc>
      </w:tr>
      <w:tr>
        <w:tc>
          <w:tcPr>
            <w:tcW w:type="dxa" w:w="3250"/>
            <w:shd w:val="clear" w:color="auto" w:fill="EEF3FA"/>
          </w:tcPr>
          <w:p>
            <w:pPr>
              <w:spacing w:after="40" w:before="40"/>
            </w:pPr>
            <w:r>
              <w:rPr>
                <w:rFonts w:ascii="Calibri" w:hAnsi="Calibri"/>
                <w:b w:val="0"/>
                <w:sz w:val="20"/>
              </w:rPr>
              <w:t>Taurus</w:t>
            </w:r>
          </w:p>
        </w:tc>
        <w:tc>
          <w:tcPr>
            <w:tcW w:type="dxa" w:w="3250"/>
            <w:shd w:val="clear" w:color="auto" w:fill="EEF3FA"/>
          </w:tcPr>
          <w:p>
            <w:pPr>
              <w:spacing w:after="40" w:before="40"/>
            </w:pPr>
            <w:r>
              <w:rPr>
                <w:rFonts w:ascii="Calibri" w:hAnsi="Calibri"/>
                <w:b w:val="0"/>
                <w:sz w:val="20"/>
              </w:rPr>
              <w:t>Closed USD 100M Series C led by Deutsche Bank; announced platform expansion to support tokenised fund issuance.</w:t>
            </w:r>
          </w:p>
        </w:tc>
        <w:tc>
          <w:tcPr>
            <w:tcW w:type="dxa" w:w="3250"/>
            <w:shd w:val="clear" w:color="auto" w:fill="EEF3FA"/>
          </w:tcPr>
          <w:p>
            <w:pPr>
              <w:spacing w:after="40" w:before="40"/>
            </w:pPr>
            <w:r>
              <w:rPr>
                <w:rFonts w:ascii="Calibri" w:hAnsi="Calibri"/>
                <w:b w:val="0"/>
                <w:sz w:val="20"/>
              </w:rPr>
              <w:t>Positions Taurus as a leading European digital asset infrastructure provider with strong banking-sector backing.</w:t>
            </w:r>
          </w:p>
        </w:tc>
      </w:tr>
      <w:tr>
        <w:tc>
          <w:tcPr>
            <w:tcW w:type="dxa" w:w="3250"/>
          </w:tcPr>
          <w:p>
            <w:pPr>
              <w:spacing w:after="40" w:before="40"/>
            </w:pPr>
            <w:r>
              <w:rPr>
                <w:rFonts w:ascii="Calibri" w:hAnsi="Calibri"/>
                <w:b w:val="0"/>
                <w:sz w:val="20"/>
              </w:rPr>
              <w:t>Kraken</w:t>
            </w:r>
          </w:p>
        </w:tc>
        <w:tc>
          <w:tcPr>
            <w:tcW w:type="dxa" w:w="3250"/>
          </w:tcPr>
          <w:p>
            <w:pPr>
              <w:spacing w:after="40" w:before="40"/>
            </w:pPr>
            <w:r>
              <w:rPr>
                <w:rFonts w:ascii="Calibri" w:hAnsi="Calibri"/>
                <w:b w:val="0"/>
                <w:sz w:val="20"/>
              </w:rPr>
              <w:t>Received MiFID-equivalent licence in an EU member state, enabling regulated crypto custody and trading services across the bloc.</w:t>
            </w:r>
          </w:p>
        </w:tc>
        <w:tc>
          <w:tcPr>
            <w:tcW w:type="dxa" w:w="3250"/>
          </w:tcPr>
          <w:p>
            <w:pPr>
              <w:spacing w:after="40" w:before="40"/>
            </w:pPr>
            <w:r>
              <w:rPr>
                <w:rFonts w:ascii="Calibri" w:hAnsi="Calibri"/>
                <w:b w:val="0"/>
                <w:sz w:val="20"/>
              </w:rPr>
              <w:t>Transforms Kraken from exchange-only to regulated financial services provider, increasing competitive pressure on incumbent custodians in digital assets.</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