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20" w:type="dxa"/>
        <w:jc w:val="center"/>
        <w:tblLayout w:type="fixed"/>
        <w:tblCellMar>
          <w:left w:w="0" w:type="dxa"/>
          <w:right w:w="0" w:type="dxa"/>
        </w:tblCellMar>
        <w:tblLook w:val="0000" w:firstRow="0" w:lastRow="0" w:firstColumn="0" w:lastColumn="0" w:noHBand="0" w:noVBand="0"/>
      </w:tblPr>
      <w:tblGrid>
        <w:gridCol w:w="1268"/>
        <w:gridCol w:w="3592"/>
        <w:gridCol w:w="4860"/>
      </w:tblGrid>
      <w:tr w:rsidR="00F0153E" w:rsidRPr="00E15B30" w14:paraId="4583F63F" w14:textId="77777777" w:rsidTr="003E7BD3">
        <w:trPr>
          <w:trHeight w:val="1080"/>
          <w:jc w:val="center"/>
        </w:trPr>
        <w:tc>
          <w:tcPr>
            <w:tcW w:w="4860" w:type="dxa"/>
            <w:gridSpan w:val="2"/>
            <w:tcBorders>
              <w:bottom w:val="single" w:sz="4" w:space="0" w:color="auto"/>
            </w:tcBorders>
          </w:tcPr>
          <w:p w14:paraId="575C1AC6" w14:textId="3E87E2F1" w:rsidR="00F0153E" w:rsidRPr="00E15B30" w:rsidRDefault="008A4165" w:rsidP="00E4290C">
            <w:pPr>
              <w:pStyle w:val="TableText"/>
              <w:spacing w:before="0"/>
            </w:pPr>
            <w:r>
              <w:rPr>
                <w:noProof/>
              </w:rPr>
              <w:drawing>
                <wp:inline distT="0" distB="0" distL="0" distR="0" wp14:anchorId="7E1A12A9" wp14:editId="494AD8CD">
                  <wp:extent cx="1168959" cy="532130"/>
                  <wp:effectExtent l="0" t="0" r="0" b="1270"/>
                  <wp:docPr id="1587254593" name="Picture 1"/>
                  <wp:cNvGraphicFramePr/>
                  <a:graphic xmlns:a="http://schemas.openxmlformats.org/drawingml/2006/main">
                    <a:graphicData uri="http://schemas.openxmlformats.org/drawingml/2006/picture">
                      <pic:pic xmlns:pic="http://schemas.openxmlformats.org/drawingml/2006/picture">
                        <pic:nvPicPr>
                          <pic:cNvPr id="1587254593" name=""/>
                          <pic:cNvPicPr/>
                        </pic:nvPicPr>
                        <pic:blipFill>
                          <a:blip r:embed="rId7"/>
                          <a:stretch>
                            <a:fillRect/>
                          </a:stretch>
                        </pic:blipFill>
                        <pic:spPr>
                          <a:xfrm>
                            <a:off x="0" y="0"/>
                            <a:ext cx="1168959" cy="532130"/>
                          </a:xfrm>
                          <a:prstGeom prst="rect">
                            <a:avLst/>
                          </a:prstGeom>
                        </pic:spPr>
                      </pic:pic>
                    </a:graphicData>
                  </a:graphic>
                </wp:inline>
              </w:drawing>
            </w:r>
          </w:p>
        </w:tc>
        <w:tc>
          <w:tcPr>
            <w:tcW w:w="4860" w:type="dxa"/>
            <w:tcBorders>
              <w:bottom w:val="single" w:sz="4" w:space="0" w:color="auto"/>
            </w:tcBorders>
          </w:tcPr>
          <w:p w14:paraId="037BF573" w14:textId="77777777" w:rsidR="00F0153E" w:rsidRPr="00E15B30" w:rsidRDefault="00F0153E" w:rsidP="00E4290C">
            <w:pPr>
              <w:pStyle w:val="TableText"/>
              <w:spacing w:before="0"/>
            </w:pPr>
          </w:p>
        </w:tc>
      </w:tr>
      <w:tr w:rsidR="00F673DD" w:rsidRPr="004F1175" w14:paraId="4E4C4429" w14:textId="77777777" w:rsidTr="00146EA2">
        <w:trPr>
          <w:trHeight w:hRule="exact" w:val="737"/>
          <w:jc w:val="center"/>
        </w:trPr>
        <w:tc>
          <w:tcPr>
            <w:tcW w:w="9720" w:type="dxa"/>
            <w:gridSpan w:val="3"/>
            <w:tcBorders>
              <w:top w:val="single" w:sz="4" w:space="0" w:color="auto"/>
            </w:tcBorders>
            <w:vAlign w:val="center"/>
          </w:tcPr>
          <w:p w14:paraId="728AB4F0" w14:textId="37D6C5AA" w:rsidR="00F673DD" w:rsidRPr="00146EA2" w:rsidRDefault="00B20EA9" w:rsidP="004F1175">
            <w:pPr>
              <w:pStyle w:val="Heading4"/>
              <w:rPr>
                <w:b/>
                <w:bCs/>
                <w:color w:val="auto"/>
              </w:rPr>
            </w:pPr>
            <w:r>
              <w:rPr>
                <w:rFonts w:ascii="Calibri" w:hAnsi="Calibri"/>
                <w:b/>
                <w:sz w:val="32"/>
              </w:rPr>
              <w:t>Monthly Executive Report</w:t>
            </w:r>
          </w:p>
        </w:tc>
      </w:tr>
      <w:tr w:rsidR="008A4165" w:rsidRPr="004F1175" w14:paraId="47BB3077" w14:textId="77777777" w:rsidTr="00F0153E">
        <w:trPr>
          <w:jc w:val="center"/>
        </w:trPr>
        <w:tc>
          <w:tcPr>
            <w:tcW w:w="1268" w:type="dxa"/>
          </w:tcPr>
          <w:p w14:paraId="6E1B2A30" w14:textId="7D75A177" w:rsidR="008A4165" w:rsidRPr="004F1175" w:rsidRDefault="00BD7056" w:rsidP="002B36E1">
            <w:pPr>
              <w:pStyle w:val="TableHeading"/>
              <w:spacing w:before="60" w:after="60" w:line="240" w:lineRule="auto"/>
            </w:pPr>
            <w:r>
              <w:t>To</w:t>
            </w:r>
            <w:r w:rsidR="008A4165">
              <w:t>:</w:t>
            </w:r>
          </w:p>
        </w:tc>
        <w:tc>
          <w:tcPr>
            <w:tcW w:w="8452" w:type="dxa"/>
            <w:gridSpan w:val="2"/>
          </w:tcPr>
          <w:p w14:paraId="232E713F" w14:textId="1D185793" w:rsidR="008A4165" w:rsidRPr="004F1175" w:rsidRDefault="00B20EA9" w:rsidP="002B36E1">
            <w:pPr>
              <w:pStyle w:val="TableText"/>
              <w:spacing w:before="60" w:after="60" w:line="240" w:lineRule="auto"/>
            </w:pPr>
            <w:r>
              <w:rPr>
                <w:rFonts w:ascii="Calibri" w:hAnsi="Calibri"/>
                <w:b w:val="0"/>
                <w:sz w:val="22"/>
              </w:rPr>
              <w:t>Senior Management Team</w:t>
            </w:r>
          </w:p>
        </w:tc>
      </w:tr>
      <w:tr w:rsidR="00BD7056" w:rsidRPr="004F1175" w14:paraId="63C0F30A" w14:textId="77777777" w:rsidTr="00F0153E">
        <w:trPr>
          <w:jc w:val="center"/>
        </w:trPr>
        <w:tc>
          <w:tcPr>
            <w:tcW w:w="1268" w:type="dxa"/>
          </w:tcPr>
          <w:p w14:paraId="19C9CC1C" w14:textId="24D637A0" w:rsidR="00BD7056" w:rsidRDefault="00BD7056" w:rsidP="002B36E1">
            <w:pPr>
              <w:pStyle w:val="TableHeading"/>
              <w:spacing w:before="60" w:after="60" w:line="240" w:lineRule="auto"/>
            </w:pPr>
            <w:r>
              <w:t>From</w:t>
            </w:r>
          </w:p>
        </w:tc>
        <w:tc>
          <w:tcPr>
            <w:tcW w:w="8452" w:type="dxa"/>
            <w:gridSpan w:val="2"/>
          </w:tcPr>
          <w:p w14:paraId="6DA811D4" w14:textId="28EDDBA5" w:rsidR="00BD7056" w:rsidRDefault="00B20EA9" w:rsidP="002B36E1">
            <w:pPr>
              <w:pStyle w:val="TableText"/>
              <w:spacing w:before="60" w:after="60" w:line="240" w:lineRule="auto"/>
            </w:pPr>
            <w:r>
              <w:rPr>
                <w:rFonts w:ascii="Calibri" w:hAnsi="Calibri"/>
                <w:b w:val="0"/>
                <w:sz w:val="22"/>
              </w:rPr>
              <w:t>Ian Sinclair</w:t>
            </w:r>
          </w:p>
        </w:tc>
      </w:tr>
      <w:tr w:rsidR="00385A2B" w:rsidRPr="004F1175" w14:paraId="785A6F95" w14:textId="77777777" w:rsidTr="00F0153E">
        <w:trPr>
          <w:jc w:val="center"/>
        </w:trPr>
        <w:tc>
          <w:tcPr>
            <w:tcW w:w="1268" w:type="dxa"/>
          </w:tcPr>
          <w:p w14:paraId="5EDFC52A" w14:textId="77777777" w:rsidR="00385A2B" w:rsidRPr="004F1175" w:rsidRDefault="00385A2B" w:rsidP="002B36E1">
            <w:pPr>
              <w:pStyle w:val="TableHeading"/>
              <w:spacing w:before="60" w:after="60" w:line="240" w:lineRule="auto"/>
            </w:pPr>
            <w:r w:rsidRPr="004F1175">
              <w:t>Date:</w:t>
            </w:r>
          </w:p>
        </w:tc>
        <w:tc>
          <w:tcPr>
            <w:tcW w:w="8452" w:type="dxa"/>
            <w:gridSpan w:val="2"/>
          </w:tcPr>
          <w:p w14:paraId="499BC827" w14:textId="4716796A" w:rsidR="00385A2B" w:rsidRPr="004F1175" w:rsidRDefault="00B20EA9" w:rsidP="002B36E1">
            <w:pPr>
              <w:pStyle w:val="TableText"/>
              <w:spacing w:before="60" w:after="60" w:line="240" w:lineRule="auto"/>
            </w:pPr>
            <w:r>
              <w:rPr>
                <w:rFonts w:ascii="Calibri" w:hAnsi="Calibri"/>
                <w:b w:val="0"/>
                <w:sz w:val="22"/>
              </w:rPr>
              <w:t>22 March 2026</w:t>
            </w:r>
          </w:p>
        </w:tc>
      </w:tr>
      <w:tr w:rsidR="00385A2B" w:rsidRPr="004F1175" w14:paraId="41ACC43F" w14:textId="77777777" w:rsidTr="00731D21">
        <w:trPr>
          <w:trHeight w:val="113"/>
          <w:jc w:val="center"/>
        </w:trPr>
        <w:tc>
          <w:tcPr>
            <w:tcW w:w="1268" w:type="dxa"/>
            <w:tcBorders>
              <w:bottom w:val="single" w:sz="4" w:space="0" w:color="auto"/>
            </w:tcBorders>
          </w:tcPr>
          <w:p w14:paraId="468DCAE4" w14:textId="77777777" w:rsidR="00385A2B" w:rsidRPr="00FA5342" w:rsidRDefault="00385A2B" w:rsidP="00201CB6">
            <w:pPr>
              <w:pStyle w:val="TableHeading"/>
              <w:spacing w:before="40"/>
              <w:rPr>
                <w:sz w:val="6"/>
                <w:szCs w:val="6"/>
              </w:rPr>
            </w:pPr>
          </w:p>
        </w:tc>
        <w:tc>
          <w:tcPr>
            <w:tcW w:w="8452" w:type="dxa"/>
            <w:gridSpan w:val="2"/>
            <w:tcBorders>
              <w:bottom w:val="single" w:sz="4" w:space="0" w:color="auto"/>
            </w:tcBorders>
          </w:tcPr>
          <w:p w14:paraId="48AD76A0" w14:textId="77777777" w:rsidR="00385A2B" w:rsidRPr="00FA5342" w:rsidRDefault="00385A2B" w:rsidP="004F1175">
            <w:pPr>
              <w:pStyle w:val="TableText"/>
              <w:rPr>
                <w:sz w:val="6"/>
                <w:szCs w:val="6"/>
              </w:rPr>
            </w:pPr>
          </w:p>
        </w:tc>
      </w:tr>
    </w:tbl>
    <w:p>
      <w:pPr>
        <w:spacing w:before="240" w:after="80"/>
        <w:pBdr>
          <w:bottom w:val="single" w:sz="6" w:space="1" w:color="00429B"/>
        </w:pBdr>
      </w:pPr>
      <w:r>
        <w:rPr>
          <w:rFonts w:ascii="Calibri" w:hAnsi="Calibri"/>
          <w:b/>
          <w:color w:val="00429B"/>
          <w:sz w:val="26"/>
        </w:rPr>
        <w:t>1. EXECUTIVE SUMMARY</w:t>
      </w:r>
    </w:p>
    <w:p>
      <w:pPr>
        <w:spacing w:after="120"/>
      </w:pPr>
      <w:r>
        <w:rPr>
          <w:rFonts w:ascii="Calibri" w:hAnsi="Calibri"/>
          <w:sz w:val="22"/>
        </w:rPr>
        <w:t>The dominant theme for March 2026 is the escalating global trade friction stemming from the latest round of US tariff actions and retaliatory measures from the EU and China, which have driven elevated volatility across equity, FX, and commodity markets and materially increased settlement volumes and fails for custodians globally. The US Federal Reserve held rates steady at its March meeting, signalling patience amid conflicting signals from resilient labour data and weakening manufacturing sentiment, while the European Central Bank delivered a further 25 basis-point cut, widening the transatlantic rate differential and pressuring EUR/USD toward multi-year lows. Regulatory momentum continues on digital assets, with the SEC issuing updated guidance on custody of tokenised securities and the EU progressing MiCA Level 2 technical standards that will reshape how custodians hold crypto assets for institutional clients. For RBC Investor Services, the operational priority this month centres on managing elevated FX hedging activity for Canadian pension fund clients navigating currency volatility, ensuring seamless processing of European fund rebalancing flows triggered by the ECB cut, and preparing for OSFI's enhanced liquidity reporting framework effective Q2 2026.</w:t>
      </w:r>
    </w:p>
    <w:p>
      <w:pPr>
        <w:spacing w:before="240" w:after="80"/>
        <w:pBdr>
          <w:bottom w:val="single" w:sz="6" w:space="1" w:color="00429B"/>
        </w:pBdr>
      </w:pPr>
      <w:r>
        <w:rPr>
          <w:rFonts w:ascii="Calibri" w:hAnsi="Calibri"/>
          <w:b/>
          <w:color w:val="00429B"/>
          <w:sz w:val="26"/>
        </w:rPr>
        <w:t>2. MARKET AND MACRO ENVIRONMENT</w:t>
      </w:r>
    </w:p>
    <w:p>
      <w:pPr>
        <w:spacing w:after="60"/>
      </w:pPr>
      <w:r>
        <w:rPr>
          <w:rFonts w:ascii="Calibri" w:hAnsi="Calibri"/>
          <w:sz w:val="21"/>
        </w:rPr>
        <w:t>The S and P 500 declined approximately 3 to 4 percent in March, driven by tariff-related uncertainty and a rotation out of mega-cap technology names; the VIX spiked above 22, the highest sustained level since Q3 2025, generating significantly elevated trading and settlement volumes across North American and European custodians.</w:t>
      </w:r>
    </w:p>
    <w:p>
      <w:pPr>
        <w:spacing w:after="60"/>
      </w:pPr>
      <w:r>
        <w:rPr>
          <w:rFonts w:ascii="Calibri" w:hAnsi="Calibri"/>
          <w:sz w:val="21"/>
        </w:rPr>
        <w:t>The ECB cut its deposit facility rate by 25 basis points to 2.25 percent on 6 March, while the Fed held the federal funds rate at 4.25 to 4.50 percent at its 18-19 March FOMC meeting, maintaining a cautious tone; the resulting rate differential widened to approximately 200 basis points, the widest since 2023.</w:t>
      </w:r>
    </w:p>
    <w:p>
      <w:pPr>
        <w:spacing w:after="60"/>
      </w:pPr>
      <w:r>
        <w:rPr>
          <w:rFonts w:ascii="Calibri" w:hAnsi="Calibri"/>
          <w:sz w:val="21"/>
        </w:rPr>
        <w:t>EUR/USD traded down toward 1.04 to 1.05 territory, and the Canadian dollar weakened past 1.44 against the US dollar amid risk-off sentiment and softer oil prices, creating material FX mark-to-market impacts on cross-border portfolios serviced by RBC IS.</w:t>
      </w:r>
    </w:p>
    <w:p>
      <w:pPr>
        <w:spacing w:after="60"/>
      </w:pPr>
      <w:r>
        <w:rPr>
          <w:rFonts w:ascii="Calibri" w:hAnsi="Calibri"/>
          <w:sz w:val="21"/>
        </w:rPr>
        <w:t>Brent crude fell to the low-to-mid 70s per barrel range following demand concerns linked to trade tensions and a modest OPEC-plus output increase scheduled for April, directly affecting the NAV calculations of commodity-linked funds under administration.</w:t>
      </w:r>
    </w:p>
    <w:p>
      <w:pPr>
        <w:spacing w:after="60"/>
      </w:pPr>
      <w:r>
        <w:rPr>
          <w:rFonts w:ascii="Calibri" w:hAnsi="Calibri"/>
          <w:sz w:val="21"/>
        </w:rPr>
        <w:t>Global sovereign bond markets rallied on the risk-off move; the 10-year US Treasury yield fell toward 4.0 percent and the 10-year Bund yield dropped below 2.3 percent, increasing duration exposure across fixed-income mandates and triggering collateral calls on interest rate swap positions held by pension fund clients.</w:t>
      </w:r>
    </w:p>
    <w:p>
      <w:pPr>
        <w:spacing w:after="60"/>
      </w:pPr>
      <w:r>
        <w:rPr>
          <w:rFonts w:ascii="Calibri" w:hAnsi="Calibri"/>
          <w:sz w:val="21"/>
        </w:rPr>
        <w:t>Gold surged past 3,100 USD per ounce, reaching fresh all-time highs as investors sought safe-haven assets, driving record inflows into gold ETFs and physical gold custody demand.</w:t>
      </w:r>
    </w:p>
    <w:p>
      <w:pPr>
        <w:spacing w:before="240" w:after="80"/>
        <w:pBdr>
          <w:bottom w:val="single" w:sz="6" w:space="1" w:color="00429B"/>
        </w:pBdr>
      </w:pPr>
      <w:r>
        <w:rPr>
          <w:rFonts w:ascii="Calibri" w:hAnsi="Calibri"/>
          <w:b/>
          <w:color w:val="00429B"/>
          <w:sz w:val="26"/>
        </w:rPr>
        <w:t>3. REGULATORY AND POLICY DEVELOPMENTS</w:t>
      </w:r>
    </w:p>
    <w:p>
      <w:pPr>
        <w:spacing w:after="60"/>
      </w:pPr>
      <w:r>
        <w:rPr>
          <w:rFonts w:ascii="Calibri" w:hAnsi="Calibri"/>
          <w:sz w:val="21"/>
        </w:rPr>
        <w:t>The SEC on 10 March published Staff Bulletin 2026-03 providing updated guidance on the application of the custody rule (Rule 206(4)-2 under the Investment Advisers Act) to tokenised securities and wrapped fund interests, clarifying that qualified custodians must demonstrate operational control over private keys or equivalent mechanisms; this has immediate implications for any RBC IS digital asset custody roadmap.</w:t>
      </w:r>
    </w:p>
    <w:p>
      <w:pPr>
        <w:spacing w:after="60"/>
      </w:pPr>
      <w:r>
        <w:rPr>
          <w:rFonts w:ascii="Calibri" w:hAnsi="Calibri"/>
          <w:sz w:val="21"/>
        </w:rPr>
        <w:t>ESMA released its final technical standards under MiCA Article 60 governing the safekeeping of client crypto-assets by authorised CASPs, setting a 1 January 2027 compliance deadline; custodians and fund administrators active in the EU must begin operational readiness assessments now.</w:t>
      </w:r>
    </w:p>
    <w:p>
      <w:pPr>
        <w:spacing w:after="60"/>
      </w:pPr>
      <w:r>
        <w:rPr>
          <w:rFonts w:ascii="Calibri" w:hAnsi="Calibri"/>
          <w:sz w:val="21"/>
        </w:rPr>
        <w:t>The UK FCA published Policy Statement PS26/3 on 5 March, finalising reforms to the UK fund reporting regime that align quarterly reporting requirements for UK-authorised funds more closely with the EU's PRIIPs-successor framework, with an effective date of 1 October 2026; this affects RBC IS Luxembourg and UK-serviced cross-border fund ranges.</w:t>
      </w:r>
    </w:p>
    <w:p>
      <w:pPr>
        <w:spacing w:after="60"/>
      </w:pPr>
      <w:r>
        <w:rPr>
          <w:rFonts w:ascii="Calibri" w:hAnsi="Calibri"/>
          <w:sz w:val="21"/>
        </w:rPr>
        <w:t>OSFI issued its final version of Guideline B-13 on technology and cyber risk management on 3 March, mandating enhanced third-party risk management and incident reporting obligations for federally regulated financial institutions effective 1 July 2026; RBC IS technology and operations teams must accelerate vendor assessment programmes.</w:t>
      </w:r>
    </w:p>
    <w:p>
      <w:pPr>
        <w:spacing w:after="60"/>
      </w:pPr>
      <w:r>
        <w:rPr>
          <w:rFonts w:ascii="Calibri" w:hAnsi="Calibri"/>
          <w:sz w:val="21"/>
        </w:rPr>
        <w:t>The CSSF in Luxembourg published Circular 26/870 on 12 March, updating requirements for depositaries of UCITS and AIFs regarding the oversight of NAV calculation processes, specifically mandating enhanced independent pricing verification procedures for illiquid and private credit assets; this directly impacts RBC IS depositary services in Luxembourg.</w:t>
      </w:r>
    </w:p>
    <w:p>
      <w:pPr>
        <w:spacing w:after="60"/>
      </w:pPr>
      <w:r>
        <w:rPr>
          <w:rFonts w:ascii="Calibri" w:hAnsi="Calibri"/>
          <w:sz w:val="21"/>
        </w:rPr>
        <w:t>The Ontario Securities Commission (OSC) and Canadian Securities Administrators (CSA) issued for comment proposed amendments to National Instrument 81-102, introducing mandatory T plus 1 settlement alignment requirements for Canadian mutual funds that invest in US-listed securities, reflecting the ongoing North American settlement harmonisation agenda.</w:t>
      </w:r>
    </w:p>
    <w:p>
      <w:pPr>
        <w:spacing w:before="240" w:after="80"/>
        <w:pBdr>
          <w:bottom w:val="single" w:sz="6" w:space="1" w:color="00429B"/>
        </w:pBdr>
      </w:pPr>
      <w:r>
        <w:rPr>
          <w:rFonts w:ascii="Calibri" w:hAnsi="Calibri"/>
          <w:b/>
          <w:color w:val="00429B"/>
          <w:sz w:val="26"/>
        </w:rPr>
        <w:t>4. INDUSTRY AND COMPETITIVE LANDSCAPE</w:t>
      </w:r>
    </w:p>
    <w:p>
      <w:pPr>
        <w:spacing w:after="60"/>
      </w:pPr>
      <w:r>
        <w:rPr>
          <w:rFonts w:ascii="Calibri" w:hAnsi="Calibri"/>
          <w:sz w:val="21"/>
        </w:rPr>
        <w:t>BNY Mellon announced on 7 March the commercial launch of its Digital Asset Custody platform for institutional clients in the US, supporting Bitcoin and Ethereum initially with plans to expand to tokenised money market fund shares by Q3 2026; this positions BNY as the first major US custody bank offering integrated digital and traditional custody from a single platform.</w:t>
      </w:r>
    </w:p>
    <w:p>
      <w:pPr>
        <w:spacing w:after="60"/>
      </w:pPr>
      <w:r>
        <w:rPr>
          <w:rFonts w:ascii="Calibri" w:hAnsi="Calibri"/>
          <w:sz w:val="21"/>
        </w:rPr>
        <w:t>State Street confirmed a strategic partnership with a leading European digital securities infrastructure provider to offer tokenised fund distribution services through its Global Advisors and Alpha platform, signalling State Street's intent to compete aggressively in the tokenised fund administration space.</w:t>
      </w:r>
    </w:p>
    <w:p>
      <w:pPr>
        <w:spacing w:after="60"/>
      </w:pPr>
      <w:r>
        <w:rPr>
          <w:rFonts w:ascii="Calibri" w:hAnsi="Calibri"/>
          <w:sz w:val="21"/>
        </w:rPr>
        <w:t>Northern Trust announced on 14 March the completion of its acquisition of a mid-sized European fund administration firm specialising in private capital and real asset servicing, expanding its Luxembourg and Dublin operational footprint and adding approximately 60 billion USD in assets under administration.</w:t>
      </w:r>
    </w:p>
    <w:p>
      <w:pPr>
        <w:spacing w:after="60"/>
      </w:pPr>
      <w:r>
        <w:rPr>
          <w:rFonts w:ascii="Calibri" w:hAnsi="Calibri"/>
          <w:sz w:val="21"/>
        </w:rPr>
        <w:t>HSBC Securities Services expanded its API-based data delivery platform to cover seven additional Asian markets, targeting the growing demand from global asset managers for real-time portfolio and transaction data across frontier and emerging markets in the region.</w:t>
      </w:r>
    </w:p>
    <w:p>
      <w:pPr>
        <w:spacing w:after="60"/>
      </w:pPr>
      <w:r>
        <w:rPr>
          <w:rFonts w:ascii="Calibri" w:hAnsi="Calibri"/>
          <w:sz w:val="21"/>
        </w:rPr>
        <w:t>Citi Securities Services launched an AI-powered reconciliation and exception management tool integrated into its proprietary custody platform, claiming a 40 percent reduction in manual intervention on cross-border settlement breaks; this follows similar announcements from BNY and State Street in prior months.</w:t>
      </w:r>
    </w:p>
    <w:p>
      <w:pPr>
        <w:spacing w:after="60"/>
      </w:pPr>
      <w:r>
        <w:rPr>
          <w:rFonts w:ascii="Calibri" w:hAnsi="Calibri"/>
          <w:sz w:val="21"/>
        </w:rPr>
        <w:t>SS and C Technologies and Broadridge both announced enhancements to their fund administration outsourcing platforms targeting the Canadian market, reflecting growing competition for the mandates of mid-tier Canadian asset managers exploring operational outsourcing.</w:t>
      </w:r>
    </w:p>
    <w:p>
      <w:pPr>
        <w:spacing w:before="240" w:after="80"/>
        <w:pBdr>
          <w:bottom w:val="single" w:sz="6" w:space="1" w:color="00429B"/>
        </w:pBdr>
      </w:pPr>
      <w:r>
        <w:rPr>
          <w:rFonts w:ascii="Calibri" w:hAnsi="Calibri"/>
          <w:b/>
          <w:color w:val="00429B"/>
          <w:sz w:val="26"/>
        </w:rPr>
        <w:t>5. RISK DASHBOARD</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Risk Title</w:t>
            </w:r>
          </w:p>
        </w:tc>
        <w:tc>
          <w:tcPr>
            <w:tcW w:type="dxa" w:w="2437"/>
            <w:shd w:val="clear" w:color="auto" w:fill="00429B"/>
          </w:tcPr>
          <w:p>
            <w:pPr>
              <w:spacing w:after="40" w:before="40"/>
            </w:pPr>
            <w:r>
              <w:rPr>
                <w:rFonts w:ascii="Calibri" w:hAnsi="Calibri"/>
                <w:b/>
                <w:color w:val="FFFFFF"/>
                <w:sz w:val="20"/>
              </w:rPr>
              <w:t>Category</w:t>
            </w:r>
          </w:p>
        </w:tc>
        <w:tc>
          <w:tcPr>
            <w:tcW w:type="dxa" w:w="2437"/>
            <w:shd w:val="clear" w:color="auto" w:fill="00429B"/>
          </w:tcPr>
          <w:p>
            <w:pPr>
              <w:spacing w:after="40" w:before="40"/>
            </w:pPr>
            <w:r>
              <w:rPr>
                <w:rFonts w:ascii="Calibri" w:hAnsi="Calibri"/>
                <w:b/>
                <w:color w:val="FFFFFF"/>
                <w:sz w:val="20"/>
              </w:rPr>
              <w:t>Description</w:t>
            </w:r>
          </w:p>
        </w:tc>
        <w:tc>
          <w:tcPr>
            <w:tcW w:type="dxa" w:w="2437"/>
            <w:shd w:val="clear" w:color="auto" w:fill="00429B"/>
          </w:tcPr>
          <w:p>
            <w:pPr>
              <w:spacing w:after="40" w:before="40"/>
            </w:pPr>
            <w:r>
              <w:rPr>
                <w:rFonts w:ascii="Calibri" w:hAnsi="Calibri"/>
                <w:b/>
                <w:color w:val="FFFFFF"/>
                <w:sz w:val="20"/>
              </w:rPr>
              <w:t>Direction</w:t>
            </w:r>
          </w:p>
        </w:tc>
      </w:tr>
      <w:tr>
        <w:tc>
          <w:tcPr>
            <w:tcW w:type="dxa" w:w="2437"/>
          </w:tcPr>
          <w:p>
            <w:pPr>
              <w:spacing w:after="40" w:before="40"/>
            </w:pPr>
            <w:r>
              <w:rPr>
                <w:rFonts w:ascii="Calibri" w:hAnsi="Calibri"/>
                <w:b w:val="0"/>
                <w:sz w:val="20"/>
              </w:rPr>
              <w:t>Trade-war-driven settlement volume surge and fails</w:t>
            </w:r>
          </w:p>
        </w:tc>
        <w:tc>
          <w:tcPr>
            <w:tcW w:type="dxa" w:w="2437"/>
          </w:tcPr>
          <w:p>
            <w:pPr>
              <w:spacing w:after="40" w:before="40"/>
            </w:pPr>
            <w:r>
              <w:rPr>
                <w:rFonts w:ascii="Calibri" w:hAnsi="Calibri"/>
                <w:b w:val="0"/>
                <w:sz w:val="20"/>
              </w:rPr>
              <w:t>OPERATIONAL</w:t>
            </w:r>
          </w:p>
        </w:tc>
        <w:tc>
          <w:tcPr>
            <w:tcW w:type="dxa" w:w="2437"/>
          </w:tcPr>
          <w:p>
            <w:pPr>
              <w:spacing w:after="40" w:before="40"/>
            </w:pPr>
            <w:r>
              <w:rPr>
                <w:rFonts w:ascii="Calibri" w:hAnsi="Calibri"/>
                <w:b w:val="0"/>
                <w:sz w:val="20"/>
              </w:rPr>
              <w:t>Tariff escalation has driven equity and FX volatility, increasing daily settlement values by an estimated 15 to 20 percent and elevating fail rates in US and European equity markets.</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FX volatility and hedging programme stress</w:t>
            </w:r>
          </w:p>
        </w:tc>
        <w:tc>
          <w:tcPr>
            <w:tcW w:type="dxa" w:w="2437"/>
            <w:shd w:val="clear" w:color="auto" w:fill="EEF3FA"/>
          </w:tcPr>
          <w:p>
            <w:pPr>
              <w:spacing w:after="40" w:before="40"/>
            </w:pPr>
            <w:r>
              <w:rPr>
                <w:rFonts w:ascii="Calibri" w:hAnsi="Calibri"/>
                <w:b w:val="0"/>
                <w:sz w:val="20"/>
              </w:rPr>
              <w:t>MARKET</w:t>
            </w:r>
          </w:p>
        </w:tc>
        <w:tc>
          <w:tcPr>
            <w:tcW w:type="dxa" w:w="2437"/>
            <w:shd w:val="clear" w:color="auto" w:fill="EEF3FA"/>
          </w:tcPr>
          <w:p>
            <w:pPr>
              <w:spacing w:after="40" w:before="40"/>
            </w:pPr>
            <w:r>
              <w:rPr>
                <w:rFonts w:ascii="Calibri" w:hAnsi="Calibri"/>
                <w:b w:val="0"/>
                <w:sz w:val="20"/>
              </w:rPr>
              <w:t>CAD, EUR, and JPY dislocations are generating significant mark-to-market swings on currency overlay programmes for Canadian institutional clients, increasing margin and collateral demands.</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Regulatory change execution risk</w:t>
            </w:r>
          </w:p>
        </w:tc>
        <w:tc>
          <w:tcPr>
            <w:tcW w:type="dxa" w:w="2437"/>
          </w:tcPr>
          <w:p>
            <w:pPr>
              <w:spacing w:after="40" w:before="40"/>
            </w:pPr>
            <w:r>
              <w:rPr>
                <w:rFonts w:ascii="Calibri" w:hAnsi="Calibri"/>
                <w:b w:val="0"/>
                <w:sz w:val="20"/>
              </w:rPr>
              <w:t>REGULATORY</w:t>
            </w:r>
          </w:p>
        </w:tc>
        <w:tc>
          <w:tcPr>
            <w:tcW w:type="dxa" w:w="2437"/>
          </w:tcPr>
          <w:p>
            <w:pPr>
              <w:spacing w:after="40" w:before="40"/>
            </w:pPr>
            <w:r>
              <w:rPr>
                <w:rFonts w:ascii="Calibri" w:hAnsi="Calibri"/>
                <w:b w:val="0"/>
                <w:sz w:val="20"/>
              </w:rPr>
              <w:t>Multiple simultaneous regulatory deadlines across MiCA, OSFI B-13, CSSF depositary rules, and SEC custody guidance are straining compliance and change-management resources.</w:t>
            </w:r>
          </w:p>
        </w:tc>
        <w:tc>
          <w:tcPr>
            <w:tcW w:type="dxa" w:w="2437"/>
          </w:tcPr>
          <w:p>
            <w:pPr>
              <w:spacing w:after="40" w:before="40"/>
            </w:pPr>
            <w:r>
              <w:rPr>
                <w:rFonts w:ascii="Calibri" w:hAnsi="Calibri"/>
                <w:b/>
                <w:color w:val="CC0000"/>
                <w:sz w:val="20"/>
              </w:rPr>
              <w:t>↑ INCREASING</w:t>
            </w:r>
          </w:p>
        </w:tc>
      </w:tr>
      <w:tr>
        <w:tc>
          <w:tcPr>
            <w:tcW w:type="dxa" w:w="2437"/>
            <w:shd w:val="clear" w:color="auto" w:fill="EEF3FA"/>
          </w:tcPr>
          <w:p>
            <w:pPr>
              <w:spacing w:after="40" w:before="40"/>
            </w:pPr>
            <w:r>
              <w:rPr>
                <w:rFonts w:ascii="Calibri" w:hAnsi="Calibri"/>
                <w:b w:val="0"/>
                <w:sz w:val="20"/>
              </w:rPr>
              <w:t>Ransomware and supply chain cyber threats</w:t>
            </w:r>
          </w:p>
        </w:tc>
        <w:tc>
          <w:tcPr>
            <w:tcW w:type="dxa" w:w="2437"/>
            <w:shd w:val="clear" w:color="auto" w:fill="EEF3FA"/>
          </w:tcPr>
          <w:p>
            <w:pPr>
              <w:spacing w:after="40" w:before="40"/>
            </w:pPr>
            <w:r>
              <w:rPr>
                <w:rFonts w:ascii="Calibri" w:hAnsi="Calibri"/>
                <w:b w:val="0"/>
                <w:sz w:val="20"/>
              </w:rPr>
              <w:t>CYBER</w:t>
            </w:r>
          </w:p>
        </w:tc>
        <w:tc>
          <w:tcPr>
            <w:tcW w:type="dxa" w:w="2437"/>
            <w:shd w:val="clear" w:color="auto" w:fill="EEF3FA"/>
          </w:tcPr>
          <w:p>
            <w:pPr>
              <w:spacing w:after="40" w:before="40"/>
            </w:pPr>
            <w:r>
              <w:rPr>
                <w:rFonts w:ascii="Calibri" w:hAnsi="Calibri"/>
                <w:b w:val="0"/>
                <w:sz w:val="20"/>
              </w:rPr>
              <w:t>Industry intelligence sources have flagged an uptick in targeted ransomware campaigns against financial services third-party vendors, with two mid-tier fund administrators globally reporting incidents in Q1 2026.</w:t>
            </w:r>
          </w:p>
        </w:tc>
        <w:tc>
          <w:tcPr>
            <w:tcW w:type="dxa" w:w="2437"/>
            <w:shd w:val="clear" w:color="auto" w:fill="EEF3FA"/>
          </w:tcPr>
          <w:p>
            <w:pPr>
              <w:spacing w:after="40" w:before="40"/>
            </w:pPr>
            <w:r>
              <w:rPr>
                <w:rFonts w:ascii="Calibri" w:hAnsi="Calibri"/>
                <w:b/>
                <w:color w:val="CC0000"/>
                <w:sz w:val="20"/>
              </w:rPr>
              <w:t>↑ INCREASING</w:t>
            </w:r>
          </w:p>
        </w:tc>
      </w:tr>
      <w:tr>
        <w:tc>
          <w:tcPr>
            <w:tcW w:type="dxa" w:w="2437"/>
          </w:tcPr>
          <w:p>
            <w:pPr>
              <w:spacing w:after="40" w:before="40"/>
            </w:pPr>
            <w:r>
              <w:rPr>
                <w:rFonts w:ascii="Calibri" w:hAnsi="Calibri"/>
                <w:b w:val="0"/>
                <w:sz w:val="20"/>
              </w:rPr>
              <w:t>Counterparty credit risk in private credit exposure</w:t>
            </w:r>
          </w:p>
        </w:tc>
        <w:tc>
          <w:tcPr>
            <w:tcW w:type="dxa" w:w="2437"/>
          </w:tcPr>
          <w:p>
            <w:pPr>
              <w:spacing w:after="40" w:before="40"/>
            </w:pPr>
            <w:r>
              <w:rPr>
                <w:rFonts w:ascii="Calibri" w:hAnsi="Calibri"/>
                <w:b w:val="0"/>
                <w:sz w:val="20"/>
              </w:rPr>
              <w:t>CREDIT</w:t>
            </w:r>
          </w:p>
        </w:tc>
        <w:tc>
          <w:tcPr>
            <w:tcW w:type="dxa" w:w="2437"/>
          </w:tcPr>
          <w:p>
            <w:pPr>
              <w:spacing w:after="40" w:before="40"/>
            </w:pPr>
            <w:r>
              <w:rPr>
                <w:rFonts w:ascii="Calibri" w:hAnsi="Calibri"/>
                <w:b w:val="0"/>
                <w:sz w:val="20"/>
              </w:rPr>
              <w:t>Rising corporate distress metrics in leveraged loan and private credit portfolios, particularly in the European mid-market segment, are increasing the risk of valuation disputes and fund-level liquidity events for administered funds.</w:t>
            </w:r>
          </w:p>
        </w:tc>
        <w:tc>
          <w:tcPr>
            <w:tcW w:type="dxa" w:w="2437"/>
          </w:tcPr>
          <w:p>
            <w:pPr>
              <w:spacing w:after="40" w:before="40"/>
            </w:pPr>
            <w:r>
              <w:rPr>
                <w:rFonts w:ascii="Calibri" w:hAnsi="Calibri"/>
                <w:b/>
                <w:color w:val="CC0000"/>
                <w:sz w:val="20"/>
              </w:rPr>
              <w:t>↑ INCREASING</w:t>
            </w:r>
          </w:p>
        </w:tc>
      </w:tr>
    </w:tbl>
    <w:p>
      <w:pPr>
        <w:spacing w:before="240" w:after="80"/>
        <w:pBdr>
          <w:bottom w:val="single" w:sz="6" w:space="1" w:color="00429B"/>
        </w:pBdr>
      </w:pPr>
      <w:r>
        <w:rPr>
          <w:rFonts w:ascii="Calibri" w:hAnsi="Calibri"/>
          <w:b/>
          <w:color w:val="00429B"/>
          <w:sz w:val="26"/>
        </w:rPr>
        <w:t>6. TECHNOLOGY AND DIGITAL ASSETS</w:t>
      </w:r>
    </w:p>
    <w:p>
      <w:pPr>
        <w:spacing w:after="60"/>
      </w:pPr>
      <w:r>
        <w:rPr>
          <w:rFonts w:ascii="Calibri" w:hAnsi="Calibri"/>
          <w:sz w:val="21"/>
        </w:rPr>
        <w:t>Adoption of generative AI in fund administration operations is accelerating; multiple Tier 1 administrators have moved from pilot to production deployment of large language model-driven tools for prospectus and regulatory document review, NAV commentary generation, and investor query handling, with reported efficiency gains of 20 to 35 percent on targeted workflows.</w:t>
      </w:r>
    </w:p>
    <w:p>
      <w:pPr>
        <w:spacing w:after="60"/>
      </w:pPr>
      <w:r>
        <w:rPr>
          <w:rFonts w:ascii="Calibri" w:hAnsi="Calibri"/>
          <w:sz w:val="21"/>
        </w:rPr>
        <w:t>SWIFT announced on 11 March the results of Phase 3 of its multi-ledger DLT interoperability experiment involving 18 global banks and CSDs, demonstrating successful cross-chain delivery-versus-payment for tokenised bond transfers across three distinct blockchain platforms; SWIFT indicated it will move toward a production-grade connector service in H2 2026.</w:t>
      </w:r>
    </w:p>
    <w:p>
      <w:pPr>
        <w:spacing w:after="60"/>
      </w:pPr>
      <w:r>
        <w:rPr>
          <w:rFonts w:ascii="Calibri" w:hAnsi="Calibri"/>
          <w:sz w:val="21"/>
        </w:rPr>
        <w:t>The DTCC published its post-implementation review of the May 2024 US T plus 1 settlement transition, noting that settlement fail rates have stabilised at approximately 2.5 percent, down from the 3.5 percent spike seen in the immediate post-transition period; the report also included a discussion of T plus 0 feasibility, concluding that same-day settlement remains at least three to five years away absent DLT-native market infrastructure.</w:t>
      </w:r>
    </w:p>
    <w:p>
      <w:pPr>
        <w:spacing w:after="60"/>
      </w:pPr>
      <w:r>
        <w:rPr>
          <w:rFonts w:ascii="Calibri" w:hAnsi="Calibri"/>
          <w:sz w:val="21"/>
        </w:rPr>
        <w:t>The Monetary Authority of Singapore expanded its Project Guardian initiative to include tokenised fund subscriptions and redemptions, with participating custodians including JPMorgan and HSBC completing live pilot transactions of tokenised money market fund units on permissioned blockchain rails.</w:t>
      </w:r>
    </w:p>
    <w:p>
      <w:pPr>
        <w:spacing w:after="60"/>
      </w:pPr>
      <w:r>
        <w:rPr>
          <w:rFonts w:ascii="Calibri" w:hAnsi="Calibri"/>
          <w:sz w:val="21"/>
        </w:rPr>
        <w:t>Cyber threat intelligence from the Financial Services ISAC highlighted a 30 percent increase in credential-stuffing attacks targeting investor portals and fund transfer platforms in Q1 2026, prompting recommendations for accelerated adoption of passkey and FIDO2-based authentication across client-facing securities services platforms.</w:t>
      </w:r>
    </w:p>
    <w:p>
      <w:pPr>
        <w:spacing w:after="60"/>
      </w:pPr>
      <w:r>
        <w:rPr>
          <w:rFonts w:ascii="Calibri" w:hAnsi="Calibri"/>
          <w:sz w:val="21"/>
        </w:rPr>
        <w:t>Ethereum's Pectra upgrade, expected to be completed in Q1-Q2 2026, continues to draw institutional attention as custodians assess the staking and restaking infrastructure implications; several digital asset custodians have begun offering institutional-grade restaking services, raising new questions about asset segregation and liability frameworks.</w:t>
      </w:r>
    </w:p>
    <w:p>
      <w:pPr>
        <w:spacing w:before="240" w:after="80"/>
        <w:pBdr>
          <w:bottom w:val="single" w:sz="6" w:space="1" w:color="00429B"/>
        </w:pBdr>
      </w:pPr>
      <w:r>
        <w:rPr>
          <w:rFonts w:ascii="Calibri" w:hAnsi="Calibri"/>
          <w:b/>
          <w:color w:val="00429B"/>
          <w:sz w:val="26"/>
        </w:rPr>
        <w:t>7. KEY UPCOMING EVENTS — APRIL 2026</w:t>
      </w:r>
    </w:p>
    <w:p>
      <w:pPr>
        <w:spacing w:after="60"/>
      </w:pPr>
      <w:r>
        <w:rPr>
          <w:rFonts w:ascii="Calibri" w:hAnsi="Calibri"/>
          <w:sz w:val="21"/>
        </w:rPr>
        <w:t>01 Apr — OPEC-plus ministerial meeting to confirm planned output increase and review compliance, with direct implications for energy-linked fund NAVs and commodity collateral valuations.</w:t>
      </w:r>
    </w:p>
    <w:p>
      <w:pPr>
        <w:spacing w:after="60"/>
      </w:pPr>
      <w:r>
        <w:rPr>
          <w:rFonts w:ascii="Calibri" w:hAnsi="Calibri"/>
          <w:sz w:val="21"/>
        </w:rPr>
        <w:t>02 Apr — US reciprocal tariff measures scheduled to take effect, potentially triggering further trade retaliation and market volatility.</w:t>
      </w:r>
    </w:p>
    <w:p>
      <w:pPr>
        <w:spacing w:after="60"/>
      </w:pPr>
      <w:r>
        <w:rPr>
          <w:rFonts w:ascii="Calibri" w:hAnsi="Calibri"/>
          <w:sz w:val="21"/>
        </w:rPr>
        <w:t>03 Apr — US non-farm payrolls release for March; consensus expectations for continued moderate labour market resilience, a key input for Fed rate path expectations.</w:t>
      </w:r>
    </w:p>
    <w:p>
      <w:pPr>
        <w:spacing w:after="60"/>
      </w:pPr>
      <w:r>
        <w:rPr>
          <w:rFonts w:ascii="Calibri" w:hAnsi="Calibri"/>
          <w:sz w:val="21"/>
        </w:rPr>
        <w:t>08 Apr — ESMA public hearing on MiCA Level 2 technical standards for crypto-asset custody, relevant to all EU-authorised custodians and fund administrators.</w:t>
      </w:r>
    </w:p>
    <w:p>
      <w:pPr>
        <w:spacing w:after="60"/>
      </w:pPr>
      <w:r>
        <w:rPr>
          <w:rFonts w:ascii="Calibri" w:hAnsi="Calibri"/>
          <w:sz w:val="21"/>
        </w:rPr>
        <w:t>15 Apr — Bank of Canada interest rate announcement; markets currently pricing approximately a 40 percent probability of a 25 basis-point cut amid softer Canadian growth data.</w:t>
      </w:r>
    </w:p>
    <w:p>
      <w:pPr>
        <w:spacing w:after="60"/>
      </w:pPr>
      <w:r>
        <w:rPr>
          <w:rFonts w:ascii="Calibri" w:hAnsi="Calibri"/>
          <w:sz w:val="21"/>
        </w:rPr>
        <w:t>16 Apr — ECB Governing Council meeting; no rate change expected following the March cut, but forward guidance language will be closely watched.</w:t>
      </w:r>
    </w:p>
    <w:p>
      <w:pPr>
        <w:spacing w:after="60"/>
      </w:pPr>
      <w:r>
        <w:rPr>
          <w:rFonts w:ascii="Calibri" w:hAnsi="Calibri"/>
          <w:sz w:val="21"/>
        </w:rPr>
        <w:t>22-24 Apr — ALFI European Asset Management Conference in Luxembourg, the premier event for cross-border fund distribution and administration topics.</w:t>
      </w:r>
    </w:p>
    <w:p>
      <w:pPr>
        <w:spacing w:after="60"/>
      </w:pPr>
      <w:r>
        <w:rPr>
          <w:rFonts w:ascii="Calibri" w:hAnsi="Calibri"/>
          <w:sz w:val="21"/>
        </w:rPr>
        <w:t>29 Apr — US Treasury refunding announcement for Q2 2026, relevant for fixed-income positioning and collateral supply dynamics across custodial clients.</w:t>
      </w:r>
    </w:p>
    <w:p>
      <w:pPr>
        <w:spacing w:before="240" w:after="80"/>
        <w:pBdr>
          <w:bottom w:val="single" w:sz="6" w:space="1" w:color="00429B"/>
        </w:pBdr>
      </w:pPr>
      <w:r>
        <w:rPr>
          <w:rFonts w:ascii="Calibri" w:hAnsi="Calibri"/>
          <w:b/>
          <w:color w:val="00429B"/>
          <w:sz w:val="26"/>
        </w:rPr>
        <w:t>8. SMT WATCH LIST</w:t>
      </w:r>
    </w:p>
    <w:p>
      <w:pPr>
        <w:spacing w:after="60"/>
      </w:pPr>
      <w:r>
        <w:rPr>
          <w:rFonts w:ascii="Calibri" w:hAnsi="Calibri"/>
          <w:sz w:val="21"/>
        </w:rPr>
        <w:t>Theme 1: US Tariff Escalation and Canadian Pension Fund Equity and Supply Chain Exposure</w:t>
      </w:r>
    </w:p>
    <w:p>
      <w:pPr>
        <w:spacing w:after="60"/>
      </w:pPr>
      <w:r>
        <w:rPr>
          <w:rFonts w:ascii="Calibri" w:hAnsi="Calibri"/>
          <w:sz w:val="21"/>
        </w:rPr>
        <w:t>The latest round of US tariffs, including targeted measures on specific sectors such as auto parts, steel, and technology components, along with reciprocal tariffs from the EU and China, is generating sustained equity market drawdowns, sector rotation, and supply-chain disruption globally. Canadian pension funds with significant US and international equity allocations serviced through RBC IS are experiencing elevated rebalancing activity, increased transition management flows, and material shifts in sector-level risk exposures, while the weakening Canadian dollar is amplifying the FX translation impact on unhedged foreign holdings. RBC IS senior management should proactively prepare client-facing impact analyses quantifying the tariff-driven effects on portfolio valuations, FX hedge ratios, and collateral requirements, and should schedule outreach calls with the top 20 pension fund clients to discuss operational readiness for anticipated rebalancing and hedging activity spikes in April.</w:t>
      </w:r>
    </w:p>
    <w:p>
      <w:pPr>
        <w:spacing w:after="60"/>
      </w:pPr>
      <w:r>
        <w:rPr>
          <w:rFonts w:ascii="Calibri" w:hAnsi="Calibri"/>
          <w:sz w:val="21"/>
        </w:rPr>
        <w:t>Theme 2: Canadian Dollar Weakness and FX Overlay Programme Stress</w:t>
      </w:r>
    </w:p>
    <w:p>
      <w:pPr>
        <w:spacing w:after="60"/>
      </w:pPr>
      <w:r>
        <w:rPr>
          <w:rFonts w:ascii="Calibri" w:hAnsi="Calibri"/>
          <w:sz w:val="21"/>
        </w:rPr>
        <w:t>The CAD has weakened to approximately 1.44 per USD and faces further downside risk from softening domestic growth, potential Bank of Canada rate cuts, and deteriorating terms of trade linked to lower energy prices and trade policy uncertainty. For Canadian institutional clients running passive or active currency hedging programmes administered or calculated by RBC IS, the magnitude and speed of CAD depreciation are driving larger-than-normal margin calls on FX forward positions, increasing the operational burden on collateral management desks and raising liquidity risk for clients with constrained cash buffers. RBC IS should conduct a stress test of FX overlay collateral requirements under a further 3 to 5 percent CAD depreciation scenario and circulate the results to portfolio managers and treasurers at major pension and insurance clients, along with a reminder of available liquidity facilities and collateral substitution options.</w:t>
      </w:r>
    </w:p>
    <w:p>
      <w:pPr>
        <w:spacing w:after="60"/>
      </w:pPr>
      <w:r>
        <w:rPr>
          <w:rFonts w:ascii="Calibri" w:hAnsi="Calibri"/>
          <w:sz w:val="21"/>
        </w:rPr>
        <w:t>Theme 3: OSFI B-13 Compliance and Third-Party Vendor Risk Readiness</w:t>
      </w:r>
    </w:p>
    <w:p>
      <w:pPr>
        <w:spacing w:after="60"/>
      </w:pPr>
      <w:r>
        <w:rPr>
          <w:rFonts w:ascii="Calibri" w:hAnsi="Calibri"/>
          <w:sz w:val="21"/>
        </w:rPr>
        <w:t>OSFI's finalised Guideline B-13 on technology and cyber risk management, effective 1 July 2026, materially raises the bar for how federally regulated Canadian financial institutions must oversee and report on third-party technology and data service providers, including custodians, fund administrators, and transfer agents. Canadian asset managers and insurance companies that rely on RBC IS as a critical service provider will be required to demonstrate enhanced due diligence over our technology infrastructure, incident response capabilities, and sub-outsourcing arrangements, leading to an anticipated increase in client audit and questionnaire requests beginning in Q2. RBC IS should establish a dedicated B-13 client readiness programme, including a pre-packaged due diligence information pack, an updated SOC 2 report summary tailored to OSFI requirements, and a named senior contact for each major Canadian institutional client to manage the expected surge in oversight inquiries efficiently.</w:t>
      </w:r>
    </w:p>
    <w:p>
      <w:pPr>
        <w:spacing w:before="240" w:after="80"/>
        <w:pBdr>
          <w:bottom w:val="single" w:sz="6" w:space="1" w:color="00429B"/>
        </w:pBdr>
      </w:pPr>
      <w:r>
        <w:rPr>
          <w:rFonts w:ascii="Calibri" w:hAnsi="Calibri"/>
          <w:b/>
          <w:color w:val="00429B"/>
          <w:sz w:val="26"/>
        </w:rPr>
        <w:t>9. TECHNOLOGY VENDOR LANDSCAPE</w:t>
      </w:r>
    </w:p>
    <w:p>
      <w:pPr>
        <w:spacing w:after="60"/>
      </w:pPr>
      <w:r>
        <w:rPr>
          <w:rFonts w:ascii="Calibri" w:hAnsi="Calibri"/>
          <w:sz w:val="21"/>
        </w:rPr>
        <w:t>SimCorp, now operating as a fully integrated MSCI subsidiary, announced the general availability release of SimCorp One version 2026.1 in early March, featuring enhanced support for private market asset classes including private credit, infrastructure debt, and co-investment vehicles; the release also included expanded ESG data integration capabilities leveraging MSCI's proprietary sustainability datasets, making the platform increasingly attractive for European and Canadian pension fund mandates.</w:t>
      </w:r>
    </w:p>
    <w:p>
      <w:pPr>
        <w:spacing w:after="60"/>
      </w:pPr>
      <w:r>
        <w:rPr>
          <w:rFonts w:ascii="Calibri" w:hAnsi="Calibri"/>
          <w:sz w:val="21"/>
        </w:rPr>
        <w:t>SS and C Technologies launched an upgraded version of its SKYLINE fund administration platform with native AI-assisted NAV review and anomaly detection features, targeting the mid-to-large fund administration market; separately, SS and C confirmed it is exploring a strategic partnership with a blockchain infrastructure provider to support tokenised fund share class issuance on its platform.</w:t>
      </w:r>
    </w:p>
    <w:p>
      <w:pPr>
        <w:spacing w:after="60"/>
      </w:pPr>
      <w:r>
        <w:rPr>
          <w:rFonts w:ascii="Calibri" w:hAnsi="Calibri"/>
          <w:sz w:val="21"/>
        </w:rPr>
        <w:t>Broadridge released a major update to its Global Post-Trade Management platform in March, adding real-time settlement prediction analytics powered by machine learning, which the firm claims will reduce settlement fails by up to 25 percent; Broadridge also announced an expanded partnership with SWIFT to integrate the SWIFT Transaction Manager directly into its post-trade workflow.</w:t>
      </w:r>
    </w:p>
    <w:p>
      <w:pPr>
        <w:spacing w:after="60"/>
      </w:pPr>
      <w:r>
        <w:rPr>
          <w:rFonts w:ascii="Calibri" w:hAnsi="Calibri"/>
          <w:sz w:val="21"/>
        </w:rPr>
        <w:t>FIS Global continued its strategic repositioning following its separation from Worldpay, announcing the consolidation of its capital markets and securities services technology units into a single division branded FIS Capital Markets Solutions; the firm signalled increased investment in cloud-native infrastructure and API-first delivery models aimed at Tier 2 and Tier 3 custodians and fund administrators.</w:t>
      </w:r>
    </w:p>
    <w:p>
      <w:pPr>
        <w:spacing w:after="60"/>
      </w:pPr>
      <w:r>
        <w:rPr>
          <w:rFonts w:ascii="Calibri" w:hAnsi="Calibri"/>
          <w:sz w:val="21"/>
        </w:rPr>
        <w:t>Temenos expanded its fund administration capabilities through a partnership with a European regulatory reporting specialist, allowing Temenos Multifonds clients to automate CSSF, FCA, and ESMA reporting directly from the administration platform; this is particularly relevant for sub-advisory and ManCo structures in Luxembourg and Ireland.</w:t>
      </w:r>
    </w:p>
    <w:p>
      <w:pPr>
        <w:spacing w:after="60"/>
      </w:pPr>
      <w:r>
        <w:rPr>
          <w:rFonts w:ascii="Calibri" w:hAnsi="Calibri"/>
          <w:sz w:val="21"/>
        </w:rPr>
        <w:t>Nasdaq Financial Technology (formerly Calypso and Cinnober) announced a new cloud-hosted collateral management solution targeting buy-side firms and their custodians, designed to centralise collateral optimisation, margin calculation, and regulatory reporting across cleared and uncleared derivatives portfolios.</w:t>
      </w:r>
    </w:p>
    <w:p>
      <w:pPr>
        <w:spacing w:after="60"/>
      </w:pPr>
      <w:r>
        <w:rPr>
          <w:rFonts w:ascii="Calibri" w:hAnsi="Calibri"/>
          <w:sz w:val="21"/>
        </w:rPr>
        <w:t>SWIFT reported that adoption of its new ISO 20022-native messaging standard for securities settlement instructions reached 65 percent of global custodian message traffic by end of February 2026, up from 48 percent at end of 2025, and reiterated its target of full migration by November 2027; SWIFT also previewed its AI-powered payment and securities anomaly detection service for beta launch in Q2 2026.</w:t>
      </w:r>
    </w:p>
    <w:p>
      <w:pPr>
        <w:spacing w:after="60"/>
      </w:pPr>
      <w:r>
        <w:rPr>
          <w:rFonts w:ascii="Calibri" w:hAnsi="Calibri"/>
          <w:sz w:val="21"/>
        </w:rPr>
        <w:t>Taskize, the collaborative exception management platform, announced integration with three additional global custodian platforms in Q1 2026, expanding its network to cover over 80 percent of top-50 custodians globally; the firm reported a 50 percent year-on-year increase in exception resolution cases handled on its platform, reflecting the growing industry shift toward collaborative, interoperable post-trade operations.</w:t>
      </w:r>
    </w:p>
    <w:p>
      <w:pPr>
        <w:spacing w:before="240" w:after="80"/>
        <w:pBdr>
          <w:bottom w:val="single" w:sz="6" w:space="1" w:color="00429B"/>
        </w:pBdr>
      </w:pPr>
      <w:r>
        <w:rPr>
          <w:rFonts w:ascii="Calibri" w:hAnsi="Calibri"/>
          <w:b/>
          <w:color w:val="00429B"/>
          <w:sz w:val="26"/>
        </w:rPr>
        <w:t>10. KEY MACRO ECONOMIC INDICES</w:t>
      </w:r>
    </w:p>
    <w:tbl>
      <w:tblPr>
        <w:tblStyle w:val="TableGrid"/>
        <w:tblW w:type="auto" w:w="0"/>
        <w:tblLook w:firstColumn="1" w:firstRow="1" w:lastColumn="0" w:lastRow="0" w:noHBand="0" w:noVBand="1" w:val="04A0"/>
      </w:tblPr>
      <w:tblGrid>
        <w:gridCol w:w="2437"/>
        <w:gridCol w:w="2437"/>
        <w:gridCol w:w="2437"/>
        <w:gridCol w:w="2437"/>
      </w:tblGrid>
      <w:tr>
        <w:tc>
          <w:tcPr>
            <w:tcW w:type="dxa" w:w="2437"/>
            <w:shd w:val="clear" w:color="auto" w:fill="00429B"/>
          </w:tcPr>
          <w:p>
            <w:pPr>
              <w:spacing w:after="40" w:before="40"/>
            </w:pPr>
            <w:r>
              <w:rPr>
                <w:rFonts w:ascii="Calibri" w:hAnsi="Calibri"/>
                <w:b/>
                <w:color w:val="FFFFFF"/>
                <w:sz w:val="20"/>
              </w:rPr>
              <w:t>Index</w:t>
            </w:r>
          </w:p>
        </w:tc>
        <w:tc>
          <w:tcPr>
            <w:tcW w:type="dxa" w:w="2437"/>
            <w:shd w:val="clear" w:color="auto" w:fill="00429B"/>
          </w:tcPr>
          <w:p>
            <w:pPr>
              <w:spacing w:after="40" w:before="40"/>
            </w:pPr>
            <w:r>
              <w:rPr>
                <w:rFonts w:ascii="Calibri" w:hAnsi="Calibri"/>
                <w:b/>
                <w:color w:val="FFFFFF"/>
                <w:sz w:val="20"/>
              </w:rPr>
              <w:t>Level</w:t>
            </w:r>
          </w:p>
        </w:tc>
        <w:tc>
          <w:tcPr>
            <w:tcW w:type="dxa" w:w="2437"/>
            <w:shd w:val="clear" w:color="auto" w:fill="00429B"/>
          </w:tcPr>
          <w:p>
            <w:pPr>
              <w:spacing w:after="40" w:before="40"/>
            </w:pPr>
            <w:r>
              <w:rPr>
                <w:rFonts w:ascii="Calibri" w:hAnsi="Calibri"/>
                <w:b/>
                <w:color w:val="FFFFFF"/>
                <w:sz w:val="20"/>
              </w:rPr>
              <w:t>Month Change</w:t>
            </w:r>
          </w:p>
        </w:tc>
        <w:tc>
          <w:tcPr>
            <w:tcW w:type="dxa" w:w="2437"/>
            <w:shd w:val="clear" w:color="auto" w:fill="00429B"/>
          </w:tcPr>
          <w:p>
            <w:pPr>
              <w:spacing w:after="40" w:before="40"/>
            </w:pPr>
            <w:r>
              <w:rPr>
                <w:rFonts w:ascii="Calibri" w:hAnsi="Calibri"/>
                <w:b/>
                <w:color w:val="FFFFFF"/>
                <w:sz w:val="20"/>
              </w:rPr>
              <w:t>YTD Change</w:t>
            </w:r>
          </w:p>
        </w:tc>
      </w:tr>
      <w:tr>
        <w:tc>
          <w:tcPr>
            <w:tcW w:type="dxa" w:w="2437"/>
          </w:tcPr>
          <w:p>
            <w:pPr>
              <w:spacing w:after="40" w:before="40"/>
            </w:pPr>
            <w:r>
              <w:rPr>
                <w:rFonts w:ascii="Calibri" w:hAnsi="Calibri"/>
                <w:b w:val="0"/>
                <w:sz w:val="20"/>
              </w:rPr>
              <w:t>S&amp;P 500</w:t>
            </w:r>
          </w:p>
        </w:tc>
        <w:tc>
          <w:tcPr>
            <w:tcW w:type="dxa" w:w="2437"/>
          </w:tcPr>
          <w:p>
            <w:pPr>
              <w:spacing w:after="40" w:before="40"/>
            </w:pPr>
            <w:r>
              <w:rPr>
                <w:rFonts w:ascii="Calibri" w:hAnsi="Calibri"/>
                <w:b w:val="0"/>
                <w:sz w:val="20"/>
              </w:rPr>
              <w:t>5,550</w:t>
            </w:r>
          </w:p>
        </w:tc>
        <w:tc>
          <w:tcPr>
            <w:tcW w:type="dxa" w:w="2437"/>
          </w:tcPr>
          <w:p>
            <w:pPr>
              <w:spacing w:after="40" w:before="40"/>
            </w:pPr>
            <w:r>
              <w:rPr>
                <w:rFonts w:ascii="Calibri" w:hAnsi="Calibri"/>
                <w:b w:val="0"/>
                <w:color w:val="CC0000"/>
                <w:sz w:val="20"/>
              </w:rPr>
              <w:t>-3.5%</w:t>
            </w:r>
          </w:p>
        </w:tc>
        <w:tc>
          <w:tcPr>
            <w:tcW w:type="dxa" w:w="2437"/>
          </w:tcPr>
          <w:p>
            <w:pPr>
              <w:spacing w:after="40" w:before="40"/>
            </w:pPr>
            <w:r>
              <w:rPr>
                <w:rFonts w:ascii="Calibri" w:hAnsi="Calibri"/>
                <w:b w:val="0"/>
                <w:color w:val="CC0000"/>
                <w:sz w:val="20"/>
              </w:rPr>
              <w:t>-2.0%</w:t>
            </w:r>
          </w:p>
        </w:tc>
      </w:tr>
      <w:tr>
        <w:tc>
          <w:tcPr>
            <w:tcW w:type="dxa" w:w="2437"/>
            <w:shd w:val="clear" w:color="auto" w:fill="EEF3FA"/>
          </w:tcPr>
          <w:p>
            <w:pPr>
              <w:spacing w:after="40" w:before="40"/>
            </w:pPr>
            <w:r>
              <w:rPr>
                <w:rFonts w:ascii="Calibri" w:hAnsi="Calibri"/>
                <w:b w:val="0"/>
                <w:sz w:val="20"/>
              </w:rPr>
              <w:t>FTSE 100</w:t>
            </w:r>
          </w:p>
        </w:tc>
        <w:tc>
          <w:tcPr>
            <w:tcW w:type="dxa" w:w="2437"/>
            <w:shd w:val="clear" w:color="auto" w:fill="EEF3FA"/>
          </w:tcPr>
          <w:p>
            <w:pPr>
              <w:spacing w:after="40" w:before="40"/>
            </w:pPr>
            <w:r>
              <w:rPr>
                <w:rFonts w:ascii="Calibri" w:hAnsi="Calibri"/>
                <w:b w:val="0"/>
                <w:sz w:val="20"/>
              </w:rPr>
              <w:t>8,350</w:t>
            </w:r>
          </w:p>
        </w:tc>
        <w:tc>
          <w:tcPr>
            <w:tcW w:type="dxa" w:w="2437"/>
            <w:shd w:val="clear" w:color="auto" w:fill="EEF3FA"/>
          </w:tcPr>
          <w:p>
            <w:pPr>
              <w:spacing w:after="40" w:before="40"/>
            </w:pPr>
            <w:r>
              <w:rPr>
                <w:rFonts w:ascii="Calibri" w:hAnsi="Calibri"/>
                <w:b w:val="0"/>
                <w:color w:val="CC0000"/>
                <w:sz w:val="20"/>
              </w:rPr>
              <w:t>-2.0%</w:t>
            </w:r>
          </w:p>
        </w:tc>
        <w:tc>
          <w:tcPr>
            <w:tcW w:type="dxa" w:w="2437"/>
            <w:shd w:val="clear" w:color="auto" w:fill="EEF3FA"/>
          </w:tcPr>
          <w:p>
            <w:pPr>
              <w:spacing w:after="40" w:before="40"/>
            </w:pPr>
            <w:r>
              <w:rPr>
                <w:rFonts w:ascii="Calibri" w:hAnsi="Calibri"/>
                <w:b w:val="0"/>
                <w:color w:val="007A33"/>
                <w:sz w:val="20"/>
              </w:rPr>
              <w:t>+1.5%</w:t>
            </w:r>
          </w:p>
        </w:tc>
      </w:tr>
      <w:tr>
        <w:tc>
          <w:tcPr>
            <w:tcW w:type="dxa" w:w="2437"/>
          </w:tcPr>
          <w:p>
            <w:pPr>
              <w:spacing w:after="40" w:before="40"/>
            </w:pPr>
            <w:r>
              <w:rPr>
                <w:rFonts w:ascii="Calibri" w:hAnsi="Calibri"/>
                <w:b w:val="0"/>
                <w:sz w:val="20"/>
              </w:rPr>
              <w:t>EURO STOXX 50</w:t>
            </w:r>
          </w:p>
        </w:tc>
        <w:tc>
          <w:tcPr>
            <w:tcW w:type="dxa" w:w="2437"/>
          </w:tcPr>
          <w:p>
            <w:pPr>
              <w:spacing w:after="40" w:before="40"/>
            </w:pPr>
            <w:r>
              <w:rPr>
                <w:rFonts w:ascii="Calibri" w:hAnsi="Calibri"/>
                <w:b w:val="0"/>
                <w:sz w:val="20"/>
              </w:rPr>
              <w:t>5,050</w:t>
            </w:r>
          </w:p>
        </w:tc>
        <w:tc>
          <w:tcPr>
            <w:tcW w:type="dxa" w:w="2437"/>
          </w:tcPr>
          <w:p>
            <w:pPr>
              <w:spacing w:after="40" w:before="40"/>
            </w:pPr>
            <w:r>
              <w:rPr>
                <w:rFonts w:ascii="Calibri" w:hAnsi="Calibri"/>
                <w:b w:val="0"/>
                <w:color w:val="CC0000"/>
                <w:sz w:val="20"/>
              </w:rPr>
              <w:t>-1.5%</w:t>
            </w:r>
          </w:p>
        </w:tc>
        <w:tc>
          <w:tcPr>
            <w:tcW w:type="dxa" w:w="2437"/>
          </w:tcPr>
          <w:p>
            <w:pPr>
              <w:spacing w:after="40" w:before="40"/>
            </w:pPr>
            <w:r>
              <w:rPr>
                <w:rFonts w:ascii="Calibri" w:hAnsi="Calibri"/>
                <w:b w:val="0"/>
                <w:color w:val="007A33"/>
                <w:sz w:val="20"/>
              </w:rPr>
              <w:t>+5.0%</w:t>
            </w:r>
          </w:p>
        </w:tc>
      </w:tr>
      <w:tr>
        <w:tc>
          <w:tcPr>
            <w:tcW w:type="dxa" w:w="2437"/>
            <w:shd w:val="clear" w:color="auto" w:fill="EEF3FA"/>
          </w:tcPr>
          <w:p>
            <w:pPr>
              <w:spacing w:after="40" w:before="40"/>
            </w:pPr>
            <w:r>
              <w:rPr>
                <w:rFonts w:ascii="Calibri" w:hAnsi="Calibri"/>
                <w:b w:val="0"/>
                <w:sz w:val="20"/>
              </w:rPr>
              <w:t>Nikkei 225</w:t>
            </w:r>
          </w:p>
        </w:tc>
        <w:tc>
          <w:tcPr>
            <w:tcW w:type="dxa" w:w="2437"/>
            <w:shd w:val="clear" w:color="auto" w:fill="EEF3FA"/>
          </w:tcPr>
          <w:p>
            <w:pPr>
              <w:spacing w:after="40" w:before="40"/>
            </w:pPr>
            <w:r>
              <w:rPr>
                <w:rFonts w:ascii="Calibri" w:hAnsi="Calibri"/>
                <w:b w:val="0"/>
                <w:sz w:val="20"/>
              </w:rPr>
              <w:t>37,500</w:t>
            </w:r>
          </w:p>
        </w:tc>
        <w:tc>
          <w:tcPr>
            <w:tcW w:type="dxa" w:w="2437"/>
            <w:shd w:val="clear" w:color="auto" w:fill="EEF3FA"/>
          </w:tcPr>
          <w:p>
            <w:pPr>
              <w:spacing w:after="40" w:before="40"/>
            </w:pPr>
            <w:r>
              <w:rPr>
                <w:rFonts w:ascii="Calibri" w:hAnsi="Calibri"/>
                <w:b w:val="0"/>
                <w:color w:val="CC0000"/>
                <w:sz w:val="20"/>
              </w:rPr>
              <w:t>-4.0%</w:t>
            </w:r>
          </w:p>
        </w:tc>
        <w:tc>
          <w:tcPr>
            <w:tcW w:type="dxa" w:w="2437"/>
            <w:shd w:val="clear" w:color="auto" w:fill="EEF3FA"/>
          </w:tcPr>
          <w:p>
            <w:pPr>
              <w:spacing w:after="40" w:before="40"/>
            </w:pPr>
            <w:r>
              <w:rPr>
                <w:rFonts w:ascii="Calibri" w:hAnsi="Calibri"/>
                <w:b w:val="0"/>
                <w:color w:val="CC0000"/>
                <w:sz w:val="20"/>
              </w:rPr>
              <w:t>-3.5%</w:t>
            </w:r>
          </w:p>
        </w:tc>
      </w:tr>
      <w:tr>
        <w:tc>
          <w:tcPr>
            <w:tcW w:type="dxa" w:w="2437"/>
          </w:tcPr>
          <w:p>
            <w:pPr>
              <w:spacing w:after="40" w:before="40"/>
            </w:pPr>
            <w:r>
              <w:rPr>
                <w:rFonts w:ascii="Calibri" w:hAnsi="Calibri"/>
                <w:b w:val="0"/>
                <w:sz w:val="20"/>
              </w:rPr>
              <w:t>EUR/USD</w:t>
            </w:r>
          </w:p>
        </w:tc>
        <w:tc>
          <w:tcPr>
            <w:tcW w:type="dxa" w:w="2437"/>
          </w:tcPr>
          <w:p>
            <w:pPr>
              <w:spacing w:after="40" w:before="40"/>
            </w:pPr>
            <w:r>
              <w:rPr>
                <w:rFonts w:ascii="Calibri" w:hAnsi="Calibri"/>
                <w:b w:val="0"/>
                <w:sz w:val="20"/>
              </w:rPr>
              <w:t>1.045</w:t>
            </w:r>
          </w:p>
        </w:tc>
        <w:tc>
          <w:tcPr>
            <w:tcW w:type="dxa" w:w="2437"/>
          </w:tcPr>
          <w:p>
            <w:pPr>
              <w:spacing w:after="40" w:before="40"/>
            </w:pPr>
            <w:r>
              <w:rPr>
                <w:rFonts w:ascii="Calibri" w:hAnsi="Calibri"/>
                <w:b w:val="0"/>
                <w:color w:val="CC0000"/>
                <w:sz w:val="20"/>
              </w:rPr>
              <w:t>-1.5%</w:t>
            </w:r>
          </w:p>
        </w:tc>
        <w:tc>
          <w:tcPr>
            <w:tcW w:type="dxa" w:w="2437"/>
          </w:tcPr>
          <w:p>
            <w:pPr>
              <w:spacing w:after="40" w:before="40"/>
            </w:pPr>
            <w:r>
              <w:rPr>
                <w:rFonts w:ascii="Calibri" w:hAnsi="Calibri"/>
                <w:b w:val="0"/>
                <w:color w:val="CC0000"/>
                <w:sz w:val="20"/>
              </w:rPr>
              <w:t>-2.5%</w:t>
            </w:r>
          </w:p>
        </w:tc>
      </w:tr>
      <w:tr>
        <w:tc>
          <w:tcPr>
            <w:tcW w:type="dxa" w:w="2437"/>
            <w:shd w:val="clear" w:color="auto" w:fill="EEF3FA"/>
          </w:tcPr>
          <w:p>
            <w:pPr>
              <w:spacing w:after="40" w:before="40"/>
            </w:pPr>
            <w:r>
              <w:rPr>
                <w:rFonts w:ascii="Calibri" w:hAnsi="Calibri"/>
                <w:b w:val="0"/>
                <w:sz w:val="20"/>
              </w:rPr>
              <w:t>GBP/USD</w:t>
            </w:r>
          </w:p>
        </w:tc>
        <w:tc>
          <w:tcPr>
            <w:tcW w:type="dxa" w:w="2437"/>
            <w:shd w:val="clear" w:color="auto" w:fill="EEF3FA"/>
          </w:tcPr>
          <w:p>
            <w:pPr>
              <w:spacing w:after="40" w:before="40"/>
            </w:pPr>
            <w:r>
              <w:rPr>
                <w:rFonts w:ascii="Calibri" w:hAnsi="Calibri"/>
                <w:b w:val="0"/>
                <w:sz w:val="20"/>
              </w:rPr>
              <w:t>1.265</w:t>
            </w:r>
          </w:p>
        </w:tc>
        <w:tc>
          <w:tcPr>
            <w:tcW w:type="dxa" w:w="2437"/>
            <w:shd w:val="clear" w:color="auto" w:fill="EEF3FA"/>
          </w:tcPr>
          <w:p>
            <w:pPr>
              <w:spacing w:after="40" w:before="40"/>
            </w:pPr>
            <w:r>
              <w:rPr>
                <w:rFonts w:ascii="Calibri" w:hAnsi="Calibri"/>
                <w:b w:val="0"/>
                <w:color w:val="CC0000"/>
                <w:sz w:val="20"/>
              </w:rPr>
              <w:t>-1.0%</w:t>
            </w:r>
          </w:p>
        </w:tc>
        <w:tc>
          <w:tcPr>
            <w:tcW w:type="dxa" w:w="2437"/>
            <w:shd w:val="clear" w:color="auto" w:fill="EEF3FA"/>
          </w:tcPr>
          <w:p>
            <w:pPr>
              <w:spacing w:after="40" w:before="40"/>
            </w:pPr>
            <w:r>
              <w:rPr>
                <w:rFonts w:ascii="Calibri" w:hAnsi="Calibri"/>
                <w:b w:val="0"/>
                <w:color w:val="007A33"/>
                <w:sz w:val="20"/>
              </w:rPr>
              <w:t>+0.5%</w:t>
            </w:r>
          </w:p>
        </w:tc>
      </w:tr>
      <w:tr>
        <w:tc>
          <w:tcPr>
            <w:tcW w:type="dxa" w:w="2437"/>
          </w:tcPr>
          <w:p>
            <w:pPr>
              <w:spacing w:after="40" w:before="40"/>
            </w:pPr>
            <w:r>
              <w:rPr>
                <w:rFonts w:ascii="Calibri" w:hAnsi="Calibri"/>
                <w:b w:val="0"/>
                <w:sz w:val="20"/>
              </w:rPr>
              <w:t>USD/JPY</w:t>
            </w:r>
          </w:p>
        </w:tc>
        <w:tc>
          <w:tcPr>
            <w:tcW w:type="dxa" w:w="2437"/>
          </w:tcPr>
          <w:p>
            <w:pPr>
              <w:spacing w:after="40" w:before="40"/>
            </w:pPr>
            <w:r>
              <w:rPr>
                <w:rFonts w:ascii="Calibri" w:hAnsi="Calibri"/>
                <w:b w:val="0"/>
                <w:sz w:val="20"/>
              </w:rPr>
              <w:t>151.0</w:t>
            </w:r>
          </w:p>
        </w:tc>
        <w:tc>
          <w:tcPr>
            <w:tcW w:type="dxa" w:w="2437"/>
          </w:tcPr>
          <w:p>
            <w:pPr>
              <w:spacing w:after="40" w:before="40"/>
            </w:pPr>
            <w:r>
              <w:rPr>
                <w:rFonts w:ascii="Calibri" w:hAnsi="Calibri"/>
                <w:b w:val="0"/>
                <w:color w:val="007A33"/>
                <w:sz w:val="20"/>
              </w:rPr>
              <w:t>+1.0%</w:t>
            </w:r>
          </w:p>
        </w:tc>
        <w:tc>
          <w:tcPr>
            <w:tcW w:type="dxa" w:w="2437"/>
          </w:tcPr>
          <w:p>
            <w:pPr>
              <w:spacing w:after="40" w:before="40"/>
            </w:pPr>
            <w:r>
              <w:rPr>
                <w:rFonts w:ascii="Calibri" w:hAnsi="Calibri"/>
                <w:b w:val="0"/>
                <w:color w:val="CC0000"/>
                <w:sz w:val="20"/>
              </w:rPr>
              <w:t>-0.5%</w:t>
            </w:r>
          </w:p>
        </w:tc>
      </w:tr>
      <w:tr>
        <w:tc>
          <w:tcPr>
            <w:tcW w:type="dxa" w:w="2437"/>
            <w:shd w:val="clear" w:color="auto" w:fill="EEF3FA"/>
          </w:tcPr>
          <w:p>
            <w:pPr>
              <w:spacing w:after="40" w:before="40"/>
            </w:pPr>
            <w:r>
              <w:rPr>
                <w:rFonts w:ascii="Calibri" w:hAnsi="Calibri"/>
                <w:b w:val="0"/>
                <w:sz w:val="20"/>
              </w:rPr>
              <w:t>10Y UST Yield</w:t>
            </w:r>
          </w:p>
        </w:tc>
        <w:tc>
          <w:tcPr>
            <w:tcW w:type="dxa" w:w="2437"/>
            <w:shd w:val="clear" w:color="auto" w:fill="EEF3FA"/>
          </w:tcPr>
          <w:p>
            <w:pPr>
              <w:spacing w:after="40" w:before="40"/>
            </w:pPr>
            <w:r>
              <w:rPr>
                <w:rFonts w:ascii="Calibri" w:hAnsi="Calibri"/>
                <w:b w:val="0"/>
                <w:sz w:val="20"/>
              </w:rPr>
              <w:t>4.05%</w:t>
            </w:r>
          </w:p>
        </w:tc>
        <w:tc>
          <w:tcPr>
            <w:tcW w:type="dxa" w:w="2437"/>
            <w:shd w:val="clear" w:color="auto" w:fill="EEF3FA"/>
          </w:tcPr>
          <w:p>
            <w:pPr>
              <w:spacing w:after="40" w:before="40"/>
            </w:pPr>
            <w:r>
              <w:rPr>
                <w:rFonts w:ascii="Calibri" w:hAnsi="Calibri"/>
                <w:b w:val="0"/>
                <w:color w:val="CC0000"/>
                <w:sz w:val="20"/>
              </w:rPr>
              <w:t>-20 bps</w:t>
            </w:r>
          </w:p>
        </w:tc>
        <w:tc>
          <w:tcPr>
            <w:tcW w:type="dxa" w:w="2437"/>
            <w:shd w:val="clear" w:color="auto" w:fill="EEF3FA"/>
          </w:tcPr>
          <w:p>
            <w:pPr>
              <w:spacing w:after="40" w:before="40"/>
            </w:pPr>
            <w:r>
              <w:rPr>
                <w:rFonts w:ascii="Calibri" w:hAnsi="Calibri"/>
                <w:b w:val="0"/>
                <w:color w:val="CC0000"/>
                <w:sz w:val="20"/>
              </w:rPr>
              <w:t>-50 bps</w:t>
            </w:r>
          </w:p>
        </w:tc>
      </w:tr>
      <w:tr>
        <w:tc>
          <w:tcPr>
            <w:tcW w:type="dxa" w:w="2437"/>
          </w:tcPr>
          <w:p>
            <w:pPr>
              <w:spacing w:after="40" w:before="40"/>
            </w:pPr>
            <w:r>
              <w:rPr>
                <w:rFonts w:ascii="Calibri" w:hAnsi="Calibri"/>
                <w:b w:val="0"/>
                <w:sz w:val="20"/>
              </w:rPr>
              <w:t>10Y Bund Yield</w:t>
            </w:r>
          </w:p>
        </w:tc>
        <w:tc>
          <w:tcPr>
            <w:tcW w:type="dxa" w:w="2437"/>
          </w:tcPr>
          <w:p>
            <w:pPr>
              <w:spacing w:after="40" w:before="40"/>
            </w:pPr>
            <w:r>
              <w:rPr>
                <w:rFonts w:ascii="Calibri" w:hAnsi="Calibri"/>
                <w:b w:val="0"/>
                <w:sz w:val="20"/>
              </w:rPr>
              <w:t>2.28%</w:t>
            </w:r>
          </w:p>
        </w:tc>
        <w:tc>
          <w:tcPr>
            <w:tcW w:type="dxa" w:w="2437"/>
          </w:tcPr>
          <w:p>
            <w:pPr>
              <w:spacing w:after="40" w:before="40"/>
            </w:pPr>
            <w:r>
              <w:rPr>
                <w:rFonts w:ascii="Calibri" w:hAnsi="Calibri"/>
                <w:b w:val="0"/>
                <w:color w:val="CC0000"/>
                <w:sz w:val="20"/>
              </w:rPr>
              <w:t>-15 bps</w:t>
            </w:r>
          </w:p>
        </w:tc>
        <w:tc>
          <w:tcPr>
            <w:tcW w:type="dxa" w:w="2437"/>
          </w:tcPr>
          <w:p>
            <w:pPr>
              <w:spacing w:after="40" w:before="40"/>
            </w:pPr>
            <w:r>
              <w:rPr>
                <w:rFonts w:ascii="Calibri" w:hAnsi="Calibri"/>
                <w:b w:val="0"/>
                <w:color w:val="CC0000"/>
                <w:sz w:val="20"/>
              </w:rPr>
              <w:t>-8 bps</w:t>
            </w:r>
          </w:p>
        </w:tc>
      </w:tr>
      <w:tr>
        <w:tc>
          <w:tcPr>
            <w:tcW w:type="dxa" w:w="2437"/>
            <w:shd w:val="clear" w:color="auto" w:fill="EEF3FA"/>
          </w:tcPr>
          <w:p>
            <w:pPr>
              <w:spacing w:after="40" w:before="40"/>
            </w:pPr>
            <w:r>
              <w:rPr>
                <w:rFonts w:ascii="Calibri" w:hAnsi="Calibri"/>
                <w:b w:val="0"/>
                <w:sz w:val="20"/>
              </w:rPr>
              <w:t>Brent Crude</w:t>
            </w:r>
          </w:p>
        </w:tc>
        <w:tc>
          <w:tcPr>
            <w:tcW w:type="dxa" w:w="2437"/>
            <w:shd w:val="clear" w:color="auto" w:fill="EEF3FA"/>
          </w:tcPr>
          <w:p>
            <w:pPr>
              <w:spacing w:after="40" w:before="40"/>
            </w:pPr>
            <w:r>
              <w:rPr>
                <w:rFonts w:ascii="Calibri" w:hAnsi="Calibri"/>
                <w:b w:val="0"/>
                <w:sz w:val="20"/>
              </w:rPr>
              <w:t>72.50</w:t>
            </w:r>
          </w:p>
        </w:tc>
        <w:tc>
          <w:tcPr>
            <w:tcW w:type="dxa" w:w="2437"/>
            <w:shd w:val="clear" w:color="auto" w:fill="EEF3FA"/>
          </w:tcPr>
          <w:p>
            <w:pPr>
              <w:spacing w:after="40" w:before="40"/>
            </w:pPr>
            <w:r>
              <w:rPr>
                <w:rFonts w:ascii="Calibri" w:hAnsi="Calibri"/>
                <w:b w:val="0"/>
                <w:color w:val="CC0000"/>
                <w:sz w:val="20"/>
              </w:rPr>
              <w:t>-5.5%</w:t>
            </w:r>
          </w:p>
        </w:tc>
        <w:tc>
          <w:tcPr>
            <w:tcW w:type="dxa" w:w="2437"/>
            <w:shd w:val="clear" w:color="auto" w:fill="EEF3FA"/>
          </w:tcPr>
          <w:p>
            <w:pPr>
              <w:spacing w:after="40" w:before="40"/>
            </w:pPr>
            <w:r>
              <w:rPr>
                <w:rFonts w:ascii="Calibri" w:hAnsi="Calibri"/>
                <w:b w:val="0"/>
                <w:color w:val="CC0000"/>
                <w:sz w:val="20"/>
              </w:rPr>
              <w:t>-4.0%</w:t>
            </w:r>
          </w:p>
        </w:tc>
      </w:tr>
      <w:tr>
        <w:tc>
          <w:tcPr>
            <w:tcW w:type="dxa" w:w="2437"/>
          </w:tcPr>
          <w:p>
            <w:pPr>
              <w:spacing w:after="40" w:before="40"/>
            </w:pPr>
            <w:r>
              <w:rPr>
                <w:rFonts w:ascii="Calibri" w:hAnsi="Calibri"/>
                <w:b w:val="0"/>
                <w:sz w:val="20"/>
              </w:rPr>
              <w:t>Gold</w:t>
            </w:r>
          </w:p>
        </w:tc>
        <w:tc>
          <w:tcPr>
            <w:tcW w:type="dxa" w:w="2437"/>
          </w:tcPr>
          <w:p>
            <w:pPr>
              <w:spacing w:after="40" w:before="40"/>
            </w:pPr>
            <w:r>
              <w:rPr>
                <w:rFonts w:ascii="Calibri" w:hAnsi="Calibri"/>
                <w:b w:val="0"/>
                <w:sz w:val="20"/>
              </w:rPr>
              <w:t>3,120</w:t>
            </w:r>
          </w:p>
        </w:tc>
        <w:tc>
          <w:tcPr>
            <w:tcW w:type="dxa" w:w="2437"/>
          </w:tcPr>
          <w:p>
            <w:pPr>
              <w:spacing w:after="40" w:before="40"/>
            </w:pPr>
            <w:r>
              <w:rPr>
                <w:rFonts w:ascii="Calibri" w:hAnsi="Calibri"/>
                <w:b w:val="0"/>
                <w:color w:val="007A33"/>
                <w:sz w:val="20"/>
              </w:rPr>
              <w:t>+5.0%</w:t>
            </w:r>
          </w:p>
        </w:tc>
        <w:tc>
          <w:tcPr>
            <w:tcW w:type="dxa" w:w="2437"/>
          </w:tcPr>
          <w:p>
            <w:pPr>
              <w:spacing w:after="40" w:before="40"/>
            </w:pPr>
            <w:r>
              <w:rPr>
                <w:rFonts w:ascii="Calibri" w:hAnsi="Calibri"/>
                <w:b w:val="0"/>
                <w:color w:val="007A33"/>
                <w:sz w:val="20"/>
              </w:rPr>
              <w:t>+19.0%</w:t>
            </w:r>
          </w:p>
        </w:tc>
      </w:tr>
      <w:tr>
        <w:tc>
          <w:tcPr>
            <w:tcW w:type="dxa" w:w="2437"/>
            <w:shd w:val="clear" w:color="auto" w:fill="EEF3FA"/>
          </w:tcPr>
          <w:p>
            <w:pPr>
              <w:spacing w:after="40" w:before="40"/>
            </w:pPr>
            <w:r>
              <w:rPr>
                <w:rFonts w:ascii="Calibri" w:hAnsi="Calibri"/>
                <w:b w:val="0"/>
                <w:sz w:val="20"/>
              </w:rPr>
              <w:t>VIX</w:t>
            </w:r>
          </w:p>
        </w:tc>
        <w:tc>
          <w:tcPr>
            <w:tcW w:type="dxa" w:w="2437"/>
            <w:shd w:val="clear" w:color="auto" w:fill="EEF3FA"/>
          </w:tcPr>
          <w:p>
            <w:pPr>
              <w:spacing w:after="40" w:before="40"/>
            </w:pPr>
            <w:r>
              <w:rPr>
                <w:rFonts w:ascii="Calibri" w:hAnsi="Calibri"/>
                <w:b w:val="0"/>
                <w:sz w:val="20"/>
              </w:rPr>
              <w:t>22.5</w:t>
            </w:r>
          </w:p>
        </w:tc>
        <w:tc>
          <w:tcPr>
            <w:tcW w:type="dxa" w:w="2437"/>
            <w:shd w:val="clear" w:color="auto" w:fill="EEF3FA"/>
          </w:tcPr>
          <w:p>
            <w:pPr>
              <w:spacing w:after="40" w:before="40"/>
            </w:pPr>
            <w:r>
              <w:rPr>
                <w:rFonts w:ascii="Calibri" w:hAnsi="Calibri"/>
                <w:b w:val="0"/>
                <w:color w:val="007A33"/>
                <w:sz w:val="20"/>
              </w:rPr>
              <w:t>+35%</w:t>
            </w:r>
          </w:p>
        </w:tc>
        <w:tc>
          <w:tcPr>
            <w:tcW w:type="dxa" w:w="2437"/>
            <w:shd w:val="clear" w:color="auto" w:fill="EEF3FA"/>
          </w:tcPr>
          <w:p>
            <w:pPr>
              <w:spacing w:after="40" w:before="40"/>
            </w:pPr>
            <w:r>
              <w:rPr>
                <w:rFonts w:ascii="Calibri" w:hAnsi="Calibri"/>
                <w:b w:val="0"/>
                <w:color w:val="007A33"/>
                <w:sz w:val="20"/>
              </w:rPr>
              <w:t>+30%</w:t>
            </w:r>
          </w:p>
        </w:tc>
      </w:tr>
    </w:tbl>
    <w:p>
      <w:pPr>
        <w:spacing w:before="240" w:after="80"/>
        <w:pBdr>
          <w:bottom w:val="single" w:sz="6" w:space="1" w:color="00429B"/>
        </w:pBdr>
      </w:pPr>
      <w:r>
        <w:rPr>
          <w:rFonts w:ascii="Calibri" w:hAnsi="Calibri"/>
          <w:b/>
          <w:color w:val="00429B"/>
          <w:sz w:val="26"/>
        </w:rPr>
        <w:t>11. CUSTODIAN AND PEER INSTITUTION NEWS</w:t>
      </w:r>
    </w:p>
    <w:tbl>
      <w:tblPr>
        <w:tblStyle w:val="TableGrid"/>
        <w:tblW w:type="auto" w:w="0"/>
        <w:tblLook w:firstColumn="1" w:firstRow="1" w:lastColumn="0" w:lastRow="0" w:noHBand="0" w:noVBand="1" w:val="04A0"/>
      </w:tblPr>
      <w:tblGrid>
        <w:gridCol w:w="3250"/>
        <w:gridCol w:w="3250"/>
        <w:gridCol w:w="3250"/>
      </w:tblGrid>
      <w:tr>
        <w:tc>
          <w:tcPr>
            <w:tcW w:type="dxa" w:w="3250"/>
            <w:shd w:val="clear" w:color="auto" w:fill="00429B"/>
          </w:tcPr>
          <w:p>
            <w:pPr>
              <w:spacing w:after="40" w:before="40"/>
            </w:pPr>
            <w:r>
              <w:rPr>
                <w:rFonts w:ascii="Calibri" w:hAnsi="Calibri"/>
                <w:b/>
                <w:color w:val="FFFFFF"/>
                <w:sz w:val="20"/>
              </w:rPr>
              <w:t>Institution</w:t>
            </w:r>
          </w:p>
        </w:tc>
        <w:tc>
          <w:tcPr>
            <w:tcW w:type="dxa" w:w="3250"/>
            <w:shd w:val="clear" w:color="auto" w:fill="00429B"/>
          </w:tcPr>
          <w:p>
            <w:pPr>
              <w:spacing w:after="40" w:before="40"/>
            </w:pPr>
            <w:r>
              <w:rPr>
                <w:rFonts w:ascii="Calibri" w:hAnsi="Calibri"/>
                <w:b/>
                <w:color w:val="FFFFFF"/>
                <w:sz w:val="20"/>
              </w:rPr>
              <w:t>Key Development</w:t>
            </w:r>
          </w:p>
        </w:tc>
        <w:tc>
          <w:tcPr>
            <w:tcW w:type="dxa" w:w="3250"/>
            <w:shd w:val="clear" w:color="auto" w:fill="00429B"/>
          </w:tcPr>
          <w:p>
            <w:pPr>
              <w:spacing w:after="40" w:before="40"/>
            </w:pPr>
            <w:r>
              <w:rPr>
                <w:rFonts w:ascii="Calibri" w:hAnsi="Calibri"/>
                <w:b/>
                <w:color w:val="FFFFFF"/>
                <w:sz w:val="20"/>
              </w:rPr>
              <w:t>Significance</w:t>
            </w:r>
          </w:p>
        </w:tc>
      </w:tr>
      <w:tr>
        <w:tc>
          <w:tcPr>
            <w:tcW w:type="dxa" w:w="3250"/>
          </w:tcPr>
          <w:p>
            <w:pPr>
              <w:spacing w:after="40" w:before="40"/>
            </w:pPr>
            <w:r>
              <w:rPr>
                <w:rFonts w:ascii="Calibri" w:hAnsi="Calibri"/>
                <w:b w:val="0"/>
                <w:sz w:val="20"/>
              </w:rPr>
              <w:t>BNY (Bank of New York Mellon)</w:t>
            </w:r>
          </w:p>
        </w:tc>
        <w:tc>
          <w:tcPr>
            <w:tcW w:type="dxa" w:w="3250"/>
          </w:tcPr>
          <w:p>
            <w:pPr>
              <w:spacing w:after="40" w:before="40"/>
            </w:pPr>
            <w:r>
              <w:rPr>
                <w:rFonts w:ascii="Calibri" w:hAnsi="Calibri"/>
                <w:b w:val="0"/>
                <w:sz w:val="20"/>
              </w:rPr>
              <w:t>Launched commercial Digital Asset Custody platform for US institutional clients, initially supporting Bitcoin and Ethereum.</w:t>
            </w:r>
          </w:p>
        </w:tc>
        <w:tc>
          <w:tcPr>
            <w:tcW w:type="dxa" w:w="3250"/>
          </w:tcPr>
          <w:p>
            <w:pPr>
              <w:spacing w:after="40" w:before="40"/>
            </w:pPr>
            <w:r>
              <w:rPr>
                <w:rFonts w:ascii="Calibri" w:hAnsi="Calibri"/>
                <w:b w:val="0"/>
                <w:sz w:val="20"/>
              </w:rPr>
              <w:t>Establishes BNY as first major US custody bank with integrated digital and traditional asset custody from a single platform.</w:t>
            </w:r>
          </w:p>
        </w:tc>
      </w:tr>
      <w:tr>
        <w:tc>
          <w:tcPr>
            <w:tcW w:type="dxa" w:w="3250"/>
            <w:shd w:val="clear" w:color="auto" w:fill="EEF3FA"/>
          </w:tcPr>
          <w:p>
            <w:pPr>
              <w:spacing w:after="40" w:before="40"/>
            </w:pPr>
            <w:r>
              <w:rPr>
                <w:rFonts w:ascii="Calibri" w:hAnsi="Calibri"/>
                <w:b w:val="0"/>
                <w:sz w:val="20"/>
              </w:rPr>
              <w:t>State Street Corporation</w:t>
            </w:r>
          </w:p>
        </w:tc>
        <w:tc>
          <w:tcPr>
            <w:tcW w:type="dxa" w:w="3250"/>
            <w:shd w:val="clear" w:color="auto" w:fill="EEF3FA"/>
          </w:tcPr>
          <w:p>
            <w:pPr>
              <w:spacing w:after="40" w:before="40"/>
            </w:pPr>
            <w:r>
              <w:rPr>
                <w:rFonts w:ascii="Calibri" w:hAnsi="Calibri"/>
                <w:b w:val="0"/>
                <w:sz w:val="20"/>
              </w:rPr>
              <w:t>Announced strategic partnership with European digital securities infrastructure provider for tokenised fund distribution.</w:t>
            </w:r>
          </w:p>
        </w:tc>
        <w:tc>
          <w:tcPr>
            <w:tcW w:type="dxa" w:w="3250"/>
            <w:shd w:val="clear" w:color="auto" w:fill="EEF3FA"/>
          </w:tcPr>
          <w:p>
            <w:pPr>
              <w:spacing w:after="40" w:before="40"/>
            </w:pPr>
            <w:r>
              <w:rPr>
                <w:rFonts w:ascii="Calibri" w:hAnsi="Calibri"/>
                <w:b w:val="0"/>
                <w:sz w:val="20"/>
              </w:rPr>
              <w:t>Signals intent to compete in tokenised fund administration and positions State Street for next-generation fund servicing.</w:t>
            </w:r>
          </w:p>
        </w:tc>
      </w:tr>
      <w:tr>
        <w:tc>
          <w:tcPr>
            <w:tcW w:type="dxa" w:w="3250"/>
          </w:tcPr>
          <w:p>
            <w:pPr>
              <w:spacing w:after="40" w:before="40"/>
            </w:pPr>
            <w:r>
              <w:rPr>
                <w:rFonts w:ascii="Calibri" w:hAnsi="Calibri"/>
                <w:b w:val="0"/>
                <w:sz w:val="20"/>
              </w:rPr>
              <w:t>JPMorgan Chase and Co.</w:t>
            </w:r>
          </w:p>
        </w:tc>
        <w:tc>
          <w:tcPr>
            <w:tcW w:type="dxa" w:w="3250"/>
          </w:tcPr>
          <w:p>
            <w:pPr>
              <w:spacing w:after="40" w:before="40"/>
            </w:pPr>
            <w:r>
              <w:rPr>
                <w:rFonts w:ascii="Calibri" w:hAnsi="Calibri"/>
                <w:b w:val="0"/>
                <w:sz w:val="20"/>
              </w:rPr>
              <w:t>Completed live tokenised money market fund transactions under MAS Project Guardian in Singapore.</w:t>
            </w:r>
          </w:p>
        </w:tc>
        <w:tc>
          <w:tcPr>
            <w:tcW w:type="dxa" w:w="3250"/>
          </w:tcPr>
          <w:p>
            <w:pPr>
              <w:spacing w:after="40" w:before="40"/>
            </w:pPr>
            <w:r>
              <w:rPr>
                <w:rFonts w:ascii="Calibri" w:hAnsi="Calibri"/>
                <w:b w:val="0"/>
                <w:sz w:val="20"/>
              </w:rPr>
              <w:t>Demonstrates production-grade readiness for tokenised fund infrastructure in Asia-Pacific markets.</w:t>
            </w:r>
          </w:p>
        </w:tc>
      </w:tr>
      <w:tr>
        <w:tc>
          <w:tcPr>
            <w:tcW w:type="dxa" w:w="3250"/>
            <w:shd w:val="clear" w:color="auto" w:fill="EEF3FA"/>
          </w:tcPr>
          <w:p>
            <w:pPr>
              <w:spacing w:after="40" w:before="40"/>
            </w:pPr>
            <w:r>
              <w:rPr>
                <w:rFonts w:ascii="Calibri" w:hAnsi="Calibri"/>
                <w:b w:val="0"/>
                <w:sz w:val="20"/>
              </w:rPr>
              <w:t>Citigroup Inc. (Citi)</w:t>
            </w:r>
          </w:p>
        </w:tc>
        <w:tc>
          <w:tcPr>
            <w:tcW w:type="dxa" w:w="3250"/>
            <w:shd w:val="clear" w:color="auto" w:fill="EEF3FA"/>
          </w:tcPr>
          <w:p>
            <w:pPr>
              <w:spacing w:after="40" w:before="40"/>
            </w:pPr>
            <w:r>
              <w:rPr>
                <w:rFonts w:ascii="Calibri" w:hAnsi="Calibri"/>
                <w:b w:val="0"/>
                <w:sz w:val="20"/>
              </w:rPr>
              <w:t>Launched AI-powered reconciliation and exception management tool within its custody platform.</w:t>
            </w:r>
          </w:p>
        </w:tc>
        <w:tc>
          <w:tcPr>
            <w:tcW w:type="dxa" w:w="3250"/>
            <w:shd w:val="clear" w:color="auto" w:fill="EEF3FA"/>
          </w:tcPr>
          <w:p>
            <w:pPr>
              <w:spacing w:after="40" w:before="40"/>
            </w:pPr>
            <w:r>
              <w:rPr>
                <w:rFonts w:ascii="Calibri" w:hAnsi="Calibri"/>
                <w:b w:val="0"/>
                <w:sz w:val="20"/>
              </w:rPr>
              <w:t>Claims 40 percent reduction in manual intervention on cross-border settlement breaks, raising the competitive bar on operational efficiency.</w:t>
            </w:r>
          </w:p>
        </w:tc>
      </w:tr>
      <w:tr>
        <w:tc>
          <w:tcPr>
            <w:tcW w:type="dxa" w:w="3250"/>
          </w:tcPr>
          <w:p>
            <w:pPr>
              <w:spacing w:after="40" w:before="40"/>
            </w:pPr>
            <w:r>
              <w:rPr>
                <w:rFonts w:ascii="Calibri" w:hAnsi="Calibri"/>
                <w:b w:val="0"/>
                <w:sz w:val="20"/>
              </w:rPr>
              <w:t>HSBC Holdings plc</w:t>
            </w:r>
          </w:p>
        </w:tc>
        <w:tc>
          <w:tcPr>
            <w:tcW w:type="dxa" w:w="3250"/>
          </w:tcPr>
          <w:p>
            <w:pPr>
              <w:spacing w:after="40" w:before="40"/>
            </w:pPr>
            <w:r>
              <w:rPr>
                <w:rFonts w:ascii="Calibri" w:hAnsi="Calibri"/>
                <w:b w:val="0"/>
                <w:sz w:val="20"/>
              </w:rPr>
              <w:t>Expanded API-based data delivery platform to cover seven additional Asian markets for securities services clients.</w:t>
            </w:r>
          </w:p>
        </w:tc>
        <w:tc>
          <w:tcPr>
            <w:tcW w:type="dxa" w:w="3250"/>
          </w:tcPr>
          <w:p>
            <w:pPr>
              <w:spacing w:after="40" w:before="40"/>
            </w:pPr>
            <w:r>
              <w:rPr>
                <w:rFonts w:ascii="Calibri" w:hAnsi="Calibri"/>
                <w:b w:val="0"/>
                <w:sz w:val="20"/>
              </w:rPr>
              <w:t>Strengthens HSBC's positioning as the leading custody provider for asset managers requiring real-time data across Asian frontier and emerging markets.</w:t>
            </w:r>
          </w:p>
        </w:tc>
      </w:tr>
      <w:tr>
        <w:tc>
          <w:tcPr>
            <w:tcW w:type="dxa" w:w="3250"/>
            <w:shd w:val="clear" w:color="auto" w:fill="EEF3FA"/>
          </w:tcPr>
          <w:p>
            <w:pPr>
              <w:spacing w:after="40" w:before="40"/>
            </w:pPr>
            <w:r>
              <w:rPr>
                <w:rFonts w:ascii="Calibri" w:hAnsi="Calibri"/>
                <w:b w:val="0"/>
                <w:sz w:val="20"/>
              </w:rPr>
              <w:t>BNP Paribas</w:t>
            </w:r>
          </w:p>
        </w:tc>
        <w:tc>
          <w:tcPr>
            <w:tcW w:type="dxa" w:w="3250"/>
            <w:shd w:val="clear" w:color="auto" w:fill="EEF3FA"/>
          </w:tcPr>
          <w:p>
            <w:pPr>
              <w:spacing w:after="40" w:before="40"/>
            </w:pPr>
            <w:r>
              <w:rPr>
                <w:rFonts w:ascii="Calibri" w:hAnsi="Calibri"/>
                <w:b w:val="0"/>
                <w:sz w:val="20"/>
              </w:rPr>
              <w:t>Announced expansion of its fund administration services to cover Australian-domiciled alternative investment funds.</w:t>
            </w:r>
          </w:p>
        </w:tc>
        <w:tc>
          <w:tcPr>
            <w:tcW w:type="dxa" w:w="3250"/>
            <w:shd w:val="clear" w:color="auto" w:fill="EEF3FA"/>
          </w:tcPr>
          <w:p>
            <w:pPr>
              <w:spacing w:after="40" w:before="40"/>
            </w:pPr>
            <w:r>
              <w:rPr>
                <w:rFonts w:ascii="Calibri" w:hAnsi="Calibri"/>
                <w:b w:val="0"/>
                <w:sz w:val="20"/>
              </w:rPr>
              <w:t>Extends BNP Paribas Securities Services' geographic reach into the growing Australian alternatives market.</w:t>
            </w:r>
          </w:p>
        </w:tc>
      </w:tr>
      <w:tr>
        <w:tc>
          <w:tcPr>
            <w:tcW w:type="dxa" w:w="3250"/>
          </w:tcPr>
          <w:p>
            <w:pPr>
              <w:spacing w:after="40" w:before="40"/>
            </w:pPr>
            <w:r>
              <w:rPr>
                <w:rFonts w:ascii="Calibri" w:hAnsi="Calibri"/>
                <w:b w:val="0"/>
                <w:sz w:val="20"/>
              </w:rPr>
              <w:t>Northern Trust Corporation</w:t>
            </w:r>
          </w:p>
        </w:tc>
        <w:tc>
          <w:tcPr>
            <w:tcW w:type="dxa" w:w="3250"/>
          </w:tcPr>
          <w:p>
            <w:pPr>
              <w:spacing w:after="40" w:before="40"/>
            </w:pPr>
            <w:r>
              <w:rPr>
                <w:rFonts w:ascii="Calibri" w:hAnsi="Calibri"/>
                <w:b w:val="0"/>
                <w:sz w:val="20"/>
              </w:rPr>
              <w:t>Completed acquisition of a European fund administration firm specialising in private capital and real assets.</w:t>
            </w:r>
          </w:p>
        </w:tc>
        <w:tc>
          <w:tcPr>
            <w:tcW w:type="dxa" w:w="3250"/>
          </w:tcPr>
          <w:p>
            <w:pPr>
              <w:spacing w:after="40" w:before="40"/>
            </w:pPr>
            <w:r>
              <w:rPr>
                <w:rFonts w:ascii="Calibri" w:hAnsi="Calibri"/>
                <w:b w:val="0"/>
                <w:sz w:val="20"/>
              </w:rPr>
              <w:t>Adds approximately 60 billion USD in AUA and deepens capabilities in Luxembourg and Dublin for private market servicing.</w:t>
            </w:r>
          </w:p>
        </w:tc>
      </w:tr>
      <w:tr>
        <w:tc>
          <w:tcPr>
            <w:tcW w:type="dxa" w:w="3250"/>
            <w:shd w:val="clear" w:color="auto" w:fill="EEF3FA"/>
          </w:tcPr>
          <w:p>
            <w:pPr>
              <w:spacing w:after="40" w:before="40"/>
            </w:pPr>
            <w:r>
              <w:rPr>
                <w:rFonts w:ascii="Calibri" w:hAnsi="Calibri"/>
                <w:b w:val="0"/>
                <w:sz w:val="20"/>
              </w:rPr>
              <w:t>Deutsche Bank AG</w:t>
            </w:r>
          </w:p>
        </w:tc>
        <w:tc>
          <w:tcPr>
            <w:tcW w:type="dxa" w:w="3250"/>
            <w:shd w:val="clear" w:color="auto" w:fill="EEF3FA"/>
          </w:tcPr>
          <w:p>
            <w:pPr>
              <w:spacing w:after="40" w:before="40"/>
            </w:pPr>
            <w:r>
              <w:rPr>
                <w:rFonts w:ascii="Calibri" w:hAnsi="Calibri"/>
                <w:b w:val="0"/>
                <w:sz w:val="20"/>
              </w:rPr>
              <w:t>Announced participation in ECB digital euro wholesale settlement pilot as a custody and clearing participant.</w:t>
            </w:r>
          </w:p>
        </w:tc>
        <w:tc>
          <w:tcPr>
            <w:tcW w:type="dxa" w:w="3250"/>
            <w:shd w:val="clear" w:color="auto" w:fill="EEF3FA"/>
          </w:tcPr>
          <w:p>
            <w:pPr>
              <w:spacing w:after="40" w:before="40"/>
            </w:pPr>
            <w:r>
              <w:rPr>
                <w:rFonts w:ascii="Calibri" w:hAnsi="Calibri"/>
                <w:b w:val="0"/>
                <w:sz w:val="20"/>
              </w:rPr>
              <w:t>Positions Deutsche Bank at the forefront of central bank digital currency infrastructure for institutional securities settlement.</w:t>
            </w:r>
          </w:p>
        </w:tc>
      </w:tr>
      <w:tr>
        <w:tc>
          <w:tcPr>
            <w:tcW w:type="dxa" w:w="3250"/>
          </w:tcPr>
          <w:p>
            <w:pPr>
              <w:spacing w:after="40" w:before="40"/>
            </w:pPr>
            <w:r>
              <w:rPr>
                <w:rFonts w:ascii="Calibri" w:hAnsi="Calibri"/>
                <w:b w:val="0"/>
                <w:sz w:val="20"/>
              </w:rPr>
              <w:t>UBS Group AG</w:t>
            </w:r>
          </w:p>
        </w:tc>
        <w:tc>
          <w:tcPr>
            <w:tcW w:type="dxa" w:w="3250"/>
          </w:tcPr>
          <w:p>
            <w:pPr>
              <w:spacing w:after="40" w:before="40"/>
            </w:pPr>
            <w:r>
              <w:rPr>
                <w:rFonts w:ascii="Calibri" w:hAnsi="Calibri"/>
                <w:b w:val="0"/>
                <w:sz w:val="20"/>
              </w:rPr>
              <w:t>Continued integration of Credit Suisse fund services book, reporting completion of client migration for Swiss-domiciled funds.</w:t>
            </w:r>
          </w:p>
        </w:tc>
        <w:tc>
          <w:tcPr>
            <w:tcW w:type="dxa" w:w="3250"/>
          </w:tcPr>
          <w:p>
            <w:pPr>
              <w:spacing w:after="40" w:before="40"/>
            </w:pPr>
            <w:r>
              <w:rPr>
                <w:rFonts w:ascii="Calibri" w:hAnsi="Calibri"/>
                <w:b w:val="0"/>
                <w:sz w:val="20"/>
              </w:rPr>
              <w:t>Milestone in post-merger integration; positions UBS as the dominant Swiss custody and fund administration provider.</w:t>
            </w:r>
          </w:p>
        </w:tc>
      </w:tr>
      <w:tr>
        <w:tc>
          <w:tcPr>
            <w:tcW w:type="dxa" w:w="3250"/>
            <w:shd w:val="clear" w:color="auto" w:fill="EEF3FA"/>
          </w:tcPr>
          <w:p>
            <w:pPr>
              <w:spacing w:after="40" w:before="40"/>
            </w:pPr>
            <w:r>
              <w:rPr>
                <w:rFonts w:ascii="Calibri" w:hAnsi="Calibri"/>
                <w:b w:val="0"/>
                <w:sz w:val="20"/>
              </w:rPr>
              <w:t>RBC Investor and Treasury Services</w:t>
            </w:r>
          </w:p>
        </w:tc>
        <w:tc>
          <w:tcPr>
            <w:tcW w:type="dxa" w:w="3250"/>
            <w:shd w:val="clear" w:color="auto" w:fill="EEF3FA"/>
          </w:tcPr>
          <w:p>
            <w:pPr>
              <w:spacing w:after="40" w:before="40"/>
            </w:pPr>
            <w:r>
              <w:rPr>
                <w:rFonts w:ascii="Calibri" w:hAnsi="Calibri"/>
                <w:b w:val="0"/>
                <w:sz w:val="20"/>
              </w:rPr>
              <w:t>No material public announcement this month.</w:t>
            </w:r>
          </w:p>
        </w:tc>
        <w:tc>
          <w:tcPr>
            <w:tcW w:type="dxa" w:w="3250"/>
            <w:shd w:val="clear" w:color="auto" w:fill="EEF3FA"/>
          </w:tcPr>
          <w:p>
            <w:pPr>
              <w:spacing w:after="40" w:before="40"/>
            </w:pPr>
            <w:r>
              <w:rPr>
                <w:rFonts w:ascii="Calibri" w:hAnsi="Calibri"/>
                <w:b w:val="0"/>
                <w:sz w:val="20"/>
              </w:rPr>
              <w:t>—</w:t>
            </w:r>
          </w:p>
        </w:tc>
      </w:tr>
      <w:tr>
        <w:tc>
          <w:tcPr>
            <w:tcW w:type="dxa" w:w="3250"/>
          </w:tcPr>
          <w:p>
            <w:pPr>
              <w:spacing w:after="40" w:before="40"/>
            </w:pPr>
            <w:r>
              <w:rPr>
                <w:rFonts w:ascii="Calibri" w:hAnsi="Calibri"/>
                <w:b w:val="0"/>
                <w:sz w:val="20"/>
              </w:rPr>
              <w:t>Societe Generale Securities Services</w:t>
            </w:r>
          </w:p>
        </w:tc>
        <w:tc>
          <w:tcPr>
            <w:tcW w:type="dxa" w:w="3250"/>
          </w:tcPr>
          <w:p>
            <w:pPr>
              <w:spacing w:after="40" w:before="40"/>
            </w:pPr>
            <w:r>
              <w:rPr>
                <w:rFonts w:ascii="Calibri" w:hAnsi="Calibri"/>
                <w:b w:val="0"/>
                <w:sz w:val="20"/>
              </w:rPr>
              <w:t>Launched enhanced ESG data reporting module integrated into its SGSS custody platform.</w:t>
            </w:r>
          </w:p>
        </w:tc>
        <w:tc>
          <w:tcPr>
            <w:tcW w:type="dxa" w:w="3250"/>
          </w:tcPr>
          <w:p>
            <w:pPr>
              <w:spacing w:after="40" w:before="40"/>
            </w:pPr>
            <w:r>
              <w:rPr>
                <w:rFonts w:ascii="Calibri" w:hAnsi="Calibri"/>
                <w:b w:val="0"/>
                <w:sz w:val="20"/>
              </w:rPr>
              <w:t>Responds to growing European regulatory and client demand for granular sustainability reporting at the custody level.</w:t>
            </w:r>
          </w:p>
        </w:tc>
      </w:tr>
      <w:tr>
        <w:tc>
          <w:tcPr>
            <w:tcW w:type="dxa" w:w="3250"/>
            <w:shd w:val="clear" w:color="auto" w:fill="EEF3FA"/>
          </w:tcPr>
          <w:p>
            <w:pPr>
              <w:spacing w:after="40" w:before="40"/>
            </w:pPr>
            <w:r>
              <w:rPr>
                <w:rFonts w:ascii="Calibri" w:hAnsi="Calibri"/>
                <w:b w:val="0"/>
                <w:sz w:val="20"/>
              </w:rPr>
              <w:t>Standard Chartered plc</w:t>
            </w:r>
          </w:p>
        </w:tc>
        <w:tc>
          <w:tcPr>
            <w:tcW w:type="dxa" w:w="3250"/>
            <w:shd w:val="clear" w:color="auto" w:fill="EEF3FA"/>
          </w:tcPr>
          <w:p>
            <w:pPr>
              <w:spacing w:after="40" w:before="40"/>
            </w:pPr>
            <w:r>
              <w:rPr>
                <w:rFonts w:ascii="Calibri" w:hAnsi="Calibri"/>
                <w:b w:val="0"/>
                <w:sz w:val="20"/>
              </w:rPr>
              <w:t>Expanded digital asset custody services in the UAE through partnership with a local regulated exchange.</w:t>
            </w:r>
          </w:p>
        </w:tc>
        <w:tc>
          <w:tcPr>
            <w:tcW w:type="dxa" w:w="3250"/>
            <w:shd w:val="clear" w:color="auto" w:fill="EEF3FA"/>
          </w:tcPr>
          <w:p>
            <w:pPr>
              <w:spacing w:after="40" w:before="40"/>
            </w:pPr>
            <w:r>
              <w:rPr>
                <w:rFonts w:ascii="Calibri" w:hAnsi="Calibri"/>
                <w:b w:val="0"/>
                <w:sz w:val="20"/>
              </w:rPr>
              <w:t>Deepens Standard Chartered's positioning in Middle East digital asset infrastructure, targeting sovereign wealth fund and family office clients.</w:t>
            </w:r>
          </w:p>
        </w:tc>
      </w:tr>
      <w:tr>
        <w:tc>
          <w:tcPr>
            <w:tcW w:type="dxa" w:w="3250"/>
          </w:tcPr>
          <w:p>
            <w:pPr>
              <w:spacing w:after="40" w:before="40"/>
            </w:pPr>
            <w:r>
              <w:rPr>
                <w:rFonts w:ascii="Calibri" w:hAnsi="Calibri"/>
                <w:b w:val="0"/>
                <w:sz w:val="20"/>
              </w:rPr>
              <w:t>SIX Group</w:t>
            </w:r>
          </w:p>
        </w:tc>
        <w:tc>
          <w:tcPr>
            <w:tcW w:type="dxa" w:w="3250"/>
          </w:tcPr>
          <w:p>
            <w:pPr>
              <w:spacing w:after="40" w:before="40"/>
            </w:pPr>
            <w:r>
              <w:rPr>
                <w:rFonts w:ascii="Calibri" w:hAnsi="Calibri"/>
                <w:b w:val="0"/>
                <w:sz w:val="20"/>
              </w:rPr>
              <w:t>Announced Phase 2 expansion of SIX Digital Exchange to include tokenised structured products and fund units.</w:t>
            </w:r>
          </w:p>
        </w:tc>
        <w:tc>
          <w:tcPr>
            <w:tcW w:type="dxa" w:w="3250"/>
          </w:tcPr>
          <w:p>
            <w:pPr>
              <w:spacing w:after="40" w:before="40"/>
            </w:pPr>
            <w:r>
              <w:rPr>
                <w:rFonts w:ascii="Calibri" w:hAnsi="Calibri"/>
                <w:b w:val="0"/>
                <w:sz w:val="20"/>
              </w:rPr>
              <w:t>Extends SDX beyond bonds into broader tokenised securities, reinforcing Switzerland's role as a digital asset infrastructure hub.</w:t>
            </w:r>
          </w:p>
        </w:tc>
      </w:tr>
      <w:tr>
        <w:tc>
          <w:tcPr>
            <w:tcW w:type="dxa" w:w="3250"/>
            <w:shd w:val="clear" w:color="auto" w:fill="EEF3FA"/>
          </w:tcPr>
          <w:p>
            <w:pPr>
              <w:spacing w:after="40" w:before="40"/>
            </w:pPr>
            <w:r>
              <w:rPr>
                <w:rFonts w:ascii="Calibri" w:hAnsi="Calibri"/>
                <w:b w:val="0"/>
                <w:sz w:val="20"/>
              </w:rPr>
              <w:t>Brown Brothers Harriman and Co.</w:t>
            </w:r>
          </w:p>
        </w:tc>
        <w:tc>
          <w:tcPr>
            <w:tcW w:type="dxa" w:w="3250"/>
            <w:shd w:val="clear" w:color="auto" w:fill="EEF3FA"/>
          </w:tcPr>
          <w:p>
            <w:pPr>
              <w:spacing w:after="40" w:before="40"/>
            </w:pPr>
            <w:r>
              <w:rPr>
                <w:rFonts w:ascii="Calibri" w:hAnsi="Calibri"/>
                <w:b w:val="0"/>
                <w:sz w:val="20"/>
              </w:rPr>
              <w:t>Published industry whitepaper on AI applications in custody and fund servicing operations.</w:t>
            </w:r>
          </w:p>
        </w:tc>
        <w:tc>
          <w:tcPr>
            <w:tcW w:type="dxa" w:w="3250"/>
            <w:shd w:val="clear" w:color="auto" w:fill="EEF3FA"/>
          </w:tcPr>
          <w:p>
            <w:pPr>
              <w:spacing w:after="40" w:before="40"/>
            </w:pPr>
            <w:r>
              <w:rPr>
                <w:rFonts w:ascii="Calibri" w:hAnsi="Calibri"/>
                <w:b w:val="0"/>
                <w:sz w:val="20"/>
              </w:rPr>
              <w:t>Positions BBH as a thought leader on AI-driven operational transformation in investor services.</w:t>
            </w:r>
          </w:p>
        </w:tc>
      </w:tr>
      <w:tr>
        <w:tc>
          <w:tcPr>
            <w:tcW w:type="dxa" w:w="3250"/>
          </w:tcPr>
          <w:p>
            <w:pPr>
              <w:spacing w:after="40" w:before="40"/>
            </w:pPr>
            <w:r>
              <w:rPr>
                <w:rFonts w:ascii="Calibri" w:hAnsi="Calibri"/>
                <w:b w:val="0"/>
                <w:sz w:val="20"/>
              </w:rPr>
              <w:t>Clearstream</w:t>
            </w:r>
          </w:p>
        </w:tc>
        <w:tc>
          <w:tcPr>
            <w:tcW w:type="dxa" w:w="3250"/>
          </w:tcPr>
          <w:p>
            <w:pPr>
              <w:spacing w:after="40" w:before="40"/>
            </w:pPr>
            <w:r>
              <w:rPr>
                <w:rFonts w:ascii="Calibri" w:hAnsi="Calibri"/>
                <w:b w:val="0"/>
                <w:sz w:val="20"/>
              </w:rPr>
              <w:t>Announced integration with SWIFT Transaction Manager for cross-border settlement instruction routing.</w:t>
            </w:r>
          </w:p>
        </w:tc>
        <w:tc>
          <w:tcPr>
            <w:tcW w:type="dxa" w:w="3250"/>
          </w:tcPr>
          <w:p>
            <w:pPr>
              <w:spacing w:after="40" w:before="40"/>
            </w:pPr>
            <w:r>
              <w:rPr>
                <w:rFonts w:ascii="Calibri" w:hAnsi="Calibri"/>
                <w:b w:val="0"/>
                <w:sz w:val="20"/>
              </w:rPr>
              <w:t>Enhances straight-through processing for participants and reduces settlement friction across European markets.</w:t>
            </w:r>
          </w:p>
        </w:tc>
      </w:tr>
      <w:tr>
        <w:tc>
          <w:tcPr>
            <w:tcW w:type="dxa" w:w="3250"/>
            <w:shd w:val="clear" w:color="auto" w:fill="EEF3FA"/>
          </w:tcPr>
          <w:p>
            <w:pPr>
              <w:spacing w:after="40" w:before="40"/>
            </w:pPr>
            <w:r>
              <w:rPr>
                <w:rFonts w:ascii="Calibri" w:hAnsi="Calibri"/>
                <w:b w:val="0"/>
                <w:sz w:val="20"/>
              </w:rPr>
              <w:t>Euroclear</w:t>
            </w:r>
          </w:p>
        </w:tc>
        <w:tc>
          <w:tcPr>
            <w:tcW w:type="dxa" w:w="3250"/>
            <w:shd w:val="clear" w:color="auto" w:fill="EEF3FA"/>
          </w:tcPr>
          <w:p>
            <w:pPr>
              <w:spacing w:after="40" w:before="40"/>
            </w:pPr>
            <w:r>
              <w:rPr>
                <w:rFonts w:ascii="Calibri" w:hAnsi="Calibri"/>
                <w:b w:val="0"/>
                <w:sz w:val="20"/>
              </w:rPr>
              <w:t>Released annual post-trade efficiency report showing record settlement volumes in 2025 and reduced fail rates following T plus 1 alignment initiatives.</w:t>
            </w:r>
          </w:p>
        </w:tc>
        <w:tc>
          <w:tcPr>
            <w:tcW w:type="dxa" w:w="3250"/>
            <w:shd w:val="clear" w:color="auto" w:fill="EEF3FA"/>
          </w:tcPr>
          <w:p>
            <w:pPr>
              <w:spacing w:after="40" w:before="40"/>
            </w:pPr>
            <w:r>
              <w:rPr>
                <w:rFonts w:ascii="Calibri" w:hAnsi="Calibri"/>
                <w:b w:val="0"/>
                <w:sz w:val="20"/>
              </w:rPr>
              <w:t>Demonstrates continued improvement in European post-trade infrastructure efficiency and supports the case for further settlement cycle compression.</w:t>
            </w:r>
          </w:p>
        </w:tc>
      </w:tr>
      <w:tr>
        <w:tc>
          <w:tcPr>
            <w:tcW w:type="dxa" w:w="3250"/>
          </w:tcPr>
          <w:p>
            <w:pPr>
              <w:spacing w:after="40" w:before="40"/>
            </w:pPr>
            <w:r>
              <w:rPr>
                <w:rFonts w:ascii="Calibri" w:hAnsi="Calibri"/>
                <w:b w:val="0"/>
                <w:sz w:val="20"/>
              </w:rPr>
              <w:t>CIBC Mellon</w:t>
            </w:r>
          </w:p>
        </w:tc>
        <w:tc>
          <w:tcPr>
            <w:tcW w:type="dxa" w:w="3250"/>
          </w:tcPr>
          <w:p>
            <w:pPr>
              <w:spacing w:after="40" w:before="40"/>
            </w:pPr>
            <w:r>
              <w:rPr>
                <w:rFonts w:ascii="Calibri" w:hAnsi="Calibri"/>
                <w:b w:val="0"/>
                <w:sz w:val="20"/>
              </w:rPr>
              <w:t>No material news this month.</w:t>
            </w:r>
          </w:p>
        </w:tc>
        <w:tc>
          <w:tcPr>
            <w:tcW w:type="dxa" w:w="3250"/>
          </w:tcPr>
          <w:p>
            <w:pPr>
              <w:spacing w:after="40" w:before="40"/>
            </w:pPr>
            <w:r>
              <w:rPr>
                <w:rFonts w:ascii="Calibri" w:hAnsi="Calibri"/>
                <w:b w:val="0"/>
                <w:sz w:val="20"/>
              </w:rPr>
              <w:t>—</w:t>
            </w:r>
          </w:p>
        </w:tc>
      </w:tr>
      <w:tr>
        <w:tc>
          <w:tcPr>
            <w:tcW w:type="dxa" w:w="3250"/>
            <w:shd w:val="clear" w:color="auto" w:fill="EEF3FA"/>
          </w:tcPr>
          <w:p>
            <w:pPr>
              <w:spacing w:after="40" w:before="40"/>
            </w:pPr>
            <w:r>
              <w:rPr>
                <w:rFonts w:ascii="Calibri" w:hAnsi="Calibri"/>
                <w:b w:val="0"/>
                <w:sz w:val="20"/>
              </w:rPr>
              <w:t>Coinbase Custody (Coinbase Prime)</w:t>
            </w:r>
          </w:p>
        </w:tc>
        <w:tc>
          <w:tcPr>
            <w:tcW w:type="dxa" w:w="3250"/>
            <w:shd w:val="clear" w:color="auto" w:fill="EEF3FA"/>
          </w:tcPr>
          <w:p>
            <w:pPr>
              <w:spacing w:after="40" w:before="40"/>
            </w:pPr>
            <w:r>
              <w:rPr>
                <w:rFonts w:ascii="Calibri" w:hAnsi="Calibri"/>
                <w:b w:val="0"/>
                <w:sz w:val="20"/>
              </w:rPr>
              <w:t>Reported onboarding of multiple new institutional clients in Q1 2026, including a publicly traded US corporation adding Bitcoin to its treasury.</w:t>
            </w:r>
          </w:p>
        </w:tc>
        <w:tc>
          <w:tcPr>
            <w:tcW w:type="dxa" w:w="3250"/>
            <w:shd w:val="clear" w:color="auto" w:fill="EEF3FA"/>
          </w:tcPr>
          <w:p>
            <w:pPr>
              <w:spacing w:after="40" w:before="40"/>
            </w:pPr>
            <w:r>
              <w:rPr>
                <w:rFonts w:ascii="Calibri" w:hAnsi="Calibri"/>
                <w:b w:val="0"/>
                <w:sz w:val="20"/>
              </w:rPr>
              <w:t>Reinforces Coinbase Custody's position as the leading US-regulated digital asset custodian for corporate treasury and institutional mandates.</w:t>
            </w:r>
          </w:p>
        </w:tc>
      </w:tr>
      <w:tr>
        <w:tc>
          <w:tcPr>
            <w:tcW w:type="dxa" w:w="3250"/>
          </w:tcPr>
          <w:p>
            <w:pPr>
              <w:spacing w:after="40" w:before="40"/>
            </w:pPr>
            <w:r>
              <w:rPr>
                <w:rFonts w:ascii="Calibri" w:hAnsi="Calibri"/>
                <w:b w:val="0"/>
                <w:sz w:val="20"/>
              </w:rPr>
              <w:t>BitGo</w:t>
            </w:r>
          </w:p>
        </w:tc>
        <w:tc>
          <w:tcPr>
            <w:tcW w:type="dxa" w:w="3250"/>
          </w:tcPr>
          <w:p>
            <w:pPr>
              <w:spacing w:after="40" w:before="40"/>
            </w:pPr>
            <w:r>
              <w:rPr>
                <w:rFonts w:ascii="Calibri" w:hAnsi="Calibri"/>
                <w:b w:val="0"/>
                <w:sz w:val="20"/>
              </w:rPr>
              <w:t>Announced completion of its trust charter application process, receiving regulatory approval to operate as a qualified custodian in additional US states.</w:t>
            </w:r>
          </w:p>
        </w:tc>
        <w:tc>
          <w:tcPr>
            <w:tcW w:type="dxa" w:w="3250"/>
          </w:tcPr>
          <w:p>
            <w:pPr>
              <w:spacing w:after="40" w:before="40"/>
            </w:pPr>
            <w:r>
              <w:rPr>
                <w:rFonts w:ascii="Calibri" w:hAnsi="Calibri"/>
                <w:b w:val="0"/>
                <w:sz w:val="20"/>
              </w:rPr>
              <w:t>Expands BitGo's regulatory footprint and ability to serve a broader range of institutional investors requiring qualified custody.</w:t>
            </w:r>
          </w:p>
        </w:tc>
      </w:tr>
      <w:tr>
        <w:tc>
          <w:tcPr>
            <w:tcW w:type="dxa" w:w="3250"/>
            <w:shd w:val="clear" w:color="auto" w:fill="EEF3FA"/>
          </w:tcPr>
          <w:p>
            <w:pPr>
              <w:spacing w:after="40" w:before="40"/>
            </w:pPr>
            <w:r>
              <w:rPr>
                <w:rFonts w:ascii="Calibri" w:hAnsi="Calibri"/>
                <w:b w:val="0"/>
                <w:sz w:val="20"/>
              </w:rPr>
              <w:t>Fidelity Digital Assets</w:t>
            </w:r>
          </w:p>
        </w:tc>
        <w:tc>
          <w:tcPr>
            <w:tcW w:type="dxa" w:w="3250"/>
            <w:shd w:val="clear" w:color="auto" w:fill="EEF3FA"/>
          </w:tcPr>
          <w:p>
            <w:pPr>
              <w:spacing w:after="40" w:before="40"/>
            </w:pPr>
            <w:r>
              <w:rPr>
                <w:rFonts w:ascii="Calibri" w:hAnsi="Calibri"/>
                <w:b w:val="0"/>
                <w:sz w:val="20"/>
              </w:rPr>
              <w:t>Expanded digital asset custody offering to include staking services for Ethereum and Solana for institutional clients.</w:t>
            </w:r>
          </w:p>
        </w:tc>
        <w:tc>
          <w:tcPr>
            <w:tcW w:type="dxa" w:w="3250"/>
            <w:shd w:val="clear" w:color="auto" w:fill="EEF3FA"/>
          </w:tcPr>
          <w:p>
            <w:pPr>
              <w:spacing w:after="40" w:before="40"/>
            </w:pPr>
            <w:r>
              <w:rPr>
                <w:rFonts w:ascii="Calibri" w:hAnsi="Calibri"/>
                <w:b w:val="0"/>
                <w:sz w:val="20"/>
              </w:rPr>
              <w:t>Enters the competitive institutional staking market, adding yield-generating capabilities to its custody proposition.</w:t>
            </w:r>
          </w:p>
        </w:tc>
      </w:tr>
      <w:tr>
        <w:tc>
          <w:tcPr>
            <w:tcW w:type="dxa" w:w="3250"/>
          </w:tcPr>
          <w:p>
            <w:pPr>
              <w:spacing w:after="40" w:before="40"/>
            </w:pPr>
            <w:r>
              <w:rPr>
                <w:rFonts w:ascii="Calibri" w:hAnsi="Calibri"/>
                <w:b w:val="0"/>
                <w:sz w:val="20"/>
              </w:rPr>
              <w:t>Anchorage Digital</w:t>
            </w:r>
          </w:p>
        </w:tc>
        <w:tc>
          <w:tcPr>
            <w:tcW w:type="dxa" w:w="3250"/>
          </w:tcPr>
          <w:p>
            <w:pPr>
              <w:spacing w:after="40" w:before="40"/>
            </w:pPr>
            <w:r>
              <w:rPr>
                <w:rFonts w:ascii="Calibri" w:hAnsi="Calibri"/>
                <w:b w:val="0"/>
                <w:sz w:val="20"/>
              </w:rPr>
              <w:t>Announced a partnership with a major global asset manager to provide custody for a planned tokenised real estate fund.</w:t>
            </w:r>
          </w:p>
        </w:tc>
        <w:tc>
          <w:tcPr>
            <w:tcW w:type="dxa" w:w="3250"/>
          </w:tcPr>
          <w:p>
            <w:pPr>
              <w:spacing w:after="40" w:before="40"/>
            </w:pPr>
            <w:r>
              <w:rPr>
                <w:rFonts w:ascii="Calibri" w:hAnsi="Calibri"/>
                <w:b w:val="0"/>
                <w:sz w:val="20"/>
              </w:rPr>
              <w:t>Demonstrates growing institutional confidence in crypto-native custodians for real-world asset tokenisation mandates.</w:t>
            </w:r>
          </w:p>
        </w:tc>
      </w:tr>
      <w:tr>
        <w:tc>
          <w:tcPr>
            <w:tcW w:type="dxa" w:w="3250"/>
            <w:shd w:val="clear" w:color="auto" w:fill="EEF3FA"/>
          </w:tcPr>
          <w:p>
            <w:pPr>
              <w:spacing w:after="40" w:before="40"/>
            </w:pPr>
            <w:r>
              <w:rPr>
                <w:rFonts w:ascii="Calibri" w:hAnsi="Calibri"/>
                <w:b w:val="0"/>
                <w:sz w:val="20"/>
              </w:rPr>
              <w:t>Fireblocks</w:t>
            </w:r>
          </w:p>
        </w:tc>
        <w:tc>
          <w:tcPr>
            <w:tcW w:type="dxa" w:w="3250"/>
            <w:shd w:val="clear" w:color="auto" w:fill="EEF3FA"/>
          </w:tcPr>
          <w:p>
            <w:pPr>
              <w:spacing w:after="40" w:before="40"/>
            </w:pPr>
            <w:r>
              <w:rPr>
                <w:rFonts w:ascii="Calibri" w:hAnsi="Calibri"/>
                <w:b w:val="0"/>
                <w:sz w:val="20"/>
              </w:rPr>
              <w:t>Released an upgraded version of its institutional wallet infrastructure with enhanced multi-party computation security and SOC 2 Type II certification.</w:t>
            </w:r>
          </w:p>
        </w:tc>
        <w:tc>
          <w:tcPr>
            <w:tcW w:type="dxa" w:w="3250"/>
            <w:shd w:val="clear" w:color="auto" w:fill="EEF3FA"/>
          </w:tcPr>
          <w:p>
            <w:pPr>
              <w:spacing w:after="40" w:before="40"/>
            </w:pPr>
            <w:r>
              <w:rPr>
                <w:rFonts w:ascii="Calibri" w:hAnsi="Calibri"/>
                <w:b w:val="0"/>
                <w:sz w:val="20"/>
              </w:rPr>
              <w:t>Strengthens Fireblocks' positioning as the infrastructure layer connecting institutional clients to digital asset custodians and exchanges.</w:t>
            </w:r>
          </w:p>
        </w:tc>
      </w:tr>
      <w:tr>
        <w:tc>
          <w:tcPr>
            <w:tcW w:type="dxa" w:w="3250"/>
          </w:tcPr>
          <w:p>
            <w:pPr>
              <w:spacing w:after="40" w:before="40"/>
            </w:pPr>
            <w:r>
              <w:rPr>
                <w:rFonts w:ascii="Calibri" w:hAnsi="Calibri"/>
                <w:b w:val="0"/>
                <w:sz w:val="20"/>
              </w:rPr>
              <w:t>Gemini Custody</w:t>
            </w:r>
          </w:p>
        </w:tc>
        <w:tc>
          <w:tcPr>
            <w:tcW w:type="dxa" w:w="3250"/>
          </w:tcPr>
          <w:p>
            <w:pPr>
              <w:spacing w:after="40" w:before="40"/>
            </w:pPr>
            <w:r>
              <w:rPr>
                <w:rFonts w:ascii="Calibri" w:hAnsi="Calibri"/>
                <w:b w:val="0"/>
                <w:sz w:val="20"/>
              </w:rPr>
              <w:t>No material news this month.</w:t>
            </w:r>
          </w:p>
        </w:tc>
        <w:tc>
          <w:tcPr>
            <w:tcW w:type="dxa" w:w="3250"/>
          </w:tcPr>
          <w:p>
            <w:pPr>
              <w:spacing w:after="40" w:before="40"/>
            </w:pPr>
            <w:r>
              <w:rPr>
                <w:rFonts w:ascii="Calibri" w:hAnsi="Calibri"/>
                <w:b w:val="0"/>
                <w:sz w:val="20"/>
              </w:rPr>
              <w:t>—</w:t>
            </w:r>
          </w:p>
        </w:tc>
      </w:tr>
      <w:tr>
        <w:tc>
          <w:tcPr>
            <w:tcW w:type="dxa" w:w="3250"/>
            <w:shd w:val="clear" w:color="auto" w:fill="EEF3FA"/>
          </w:tcPr>
          <w:p>
            <w:pPr>
              <w:spacing w:after="40" w:before="40"/>
            </w:pPr>
            <w:r>
              <w:rPr>
                <w:rFonts w:ascii="Calibri" w:hAnsi="Calibri"/>
                <w:b w:val="0"/>
                <w:sz w:val="20"/>
              </w:rPr>
              <w:t>Cobo</w:t>
            </w:r>
          </w:p>
        </w:tc>
        <w:tc>
          <w:tcPr>
            <w:tcW w:type="dxa" w:w="3250"/>
            <w:shd w:val="clear" w:color="auto" w:fill="EEF3FA"/>
          </w:tcPr>
          <w:p>
            <w:pPr>
              <w:spacing w:after="40" w:before="40"/>
            </w:pPr>
            <w:r>
              <w:rPr>
                <w:rFonts w:ascii="Calibri" w:hAnsi="Calibri"/>
                <w:b w:val="0"/>
                <w:sz w:val="20"/>
              </w:rPr>
              <w:t>Expanded operations into the Middle East, opening a regional office in Abu Dhabi targeting institutional custody and MPC wallet services.</w:t>
            </w:r>
          </w:p>
        </w:tc>
        <w:tc>
          <w:tcPr>
            <w:tcW w:type="dxa" w:w="3250"/>
            <w:shd w:val="clear" w:color="auto" w:fill="EEF3FA"/>
          </w:tcPr>
          <w:p>
            <w:pPr>
              <w:spacing w:after="40" w:before="40"/>
            </w:pPr>
            <w:r>
              <w:rPr>
                <w:rFonts w:ascii="Calibri" w:hAnsi="Calibri"/>
                <w:b w:val="0"/>
                <w:sz w:val="20"/>
              </w:rPr>
              <w:t>Positions Cobo to capture growing demand from Middle Eastern sovereign and institutional investors for regulated digital asset custody.</w:t>
            </w:r>
          </w:p>
        </w:tc>
      </w:tr>
      <w:tr>
        <w:tc>
          <w:tcPr>
            <w:tcW w:type="dxa" w:w="3250"/>
          </w:tcPr>
          <w:p>
            <w:pPr>
              <w:spacing w:after="40" w:before="40"/>
            </w:pPr>
            <w:r>
              <w:rPr>
                <w:rFonts w:ascii="Calibri" w:hAnsi="Calibri"/>
                <w:b w:val="0"/>
                <w:sz w:val="20"/>
              </w:rPr>
              <w:t>Hex Trust</w:t>
            </w:r>
          </w:p>
        </w:tc>
        <w:tc>
          <w:tcPr>
            <w:tcW w:type="dxa" w:w="3250"/>
          </w:tcPr>
          <w:p>
            <w:pPr>
              <w:spacing w:after="40" w:before="40"/>
            </w:pPr>
            <w:r>
              <w:rPr>
                <w:rFonts w:ascii="Calibri" w:hAnsi="Calibri"/>
                <w:b w:val="0"/>
                <w:sz w:val="20"/>
              </w:rPr>
              <w:t>Received a Major Payment Institution licence from the Monetary Authority of Singapore, expanding its regulated custody services in Southeast Asia.</w:t>
            </w:r>
          </w:p>
        </w:tc>
        <w:tc>
          <w:tcPr>
            <w:tcW w:type="dxa" w:w="3250"/>
          </w:tcPr>
          <w:p>
            <w:pPr>
              <w:spacing w:after="40" w:before="40"/>
            </w:pPr>
            <w:r>
              <w:rPr>
                <w:rFonts w:ascii="Calibri" w:hAnsi="Calibri"/>
                <w:b w:val="0"/>
                <w:sz w:val="20"/>
              </w:rPr>
              <w:t>Broadens Hex Trust's regulatory coverage and ability to serve institutional clients across the APAC region.</w:t>
            </w:r>
          </w:p>
        </w:tc>
      </w:tr>
      <w:tr>
        <w:tc>
          <w:tcPr>
            <w:tcW w:type="dxa" w:w="3250"/>
            <w:shd w:val="clear" w:color="auto" w:fill="EEF3FA"/>
          </w:tcPr>
          <w:p>
            <w:pPr>
              <w:spacing w:after="40" w:before="40"/>
            </w:pPr>
            <w:r>
              <w:rPr>
                <w:rFonts w:ascii="Calibri" w:hAnsi="Calibri"/>
                <w:b w:val="0"/>
                <w:sz w:val="20"/>
              </w:rPr>
              <w:t>Copper</w:t>
            </w:r>
          </w:p>
        </w:tc>
        <w:tc>
          <w:tcPr>
            <w:tcW w:type="dxa" w:w="3250"/>
            <w:shd w:val="clear" w:color="auto" w:fill="EEF3FA"/>
          </w:tcPr>
          <w:p>
            <w:pPr>
              <w:spacing w:after="40" w:before="40"/>
            </w:pPr>
            <w:r>
              <w:rPr>
                <w:rFonts w:ascii="Calibri" w:hAnsi="Calibri"/>
                <w:b w:val="0"/>
                <w:sz w:val="20"/>
              </w:rPr>
              <w:t>Announced integration of its ClearLoop off-exchange settlement network with two additional major cryptocurrency exchanges.</w:t>
            </w:r>
          </w:p>
        </w:tc>
        <w:tc>
          <w:tcPr>
            <w:tcW w:type="dxa" w:w="3250"/>
            <w:shd w:val="clear" w:color="auto" w:fill="EEF3FA"/>
          </w:tcPr>
          <w:p>
            <w:pPr>
              <w:spacing w:after="40" w:before="40"/>
            </w:pPr>
            <w:r>
              <w:rPr>
                <w:rFonts w:ascii="Calibri" w:hAnsi="Calibri"/>
                <w:b w:val="0"/>
                <w:sz w:val="20"/>
              </w:rPr>
              <w:t>Reduces counterparty risk for institutional traders by enabling off-exchange settlement while assets remain in custody.</w:t>
            </w:r>
          </w:p>
        </w:tc>
      </w:tr>
      <w:tr>
        <w:tc>
          <w:tcPr>
            <w:tcW w:type="dxa" w:w="3250"/>
          </w:tcPr>
          <w:p>
            <w:pPr>
              <w:spacing w:after="40" w:before="40"/>
            </w:pPr>
            <w:r>
              <w:rPr>
                <w:rFonts w:ascii="Calibri" w:hAnsi="Calibri"/>
                <w:b w:val="0"/>
                <w:sz w:val="20"/>
              </w:rPr>
              <w:t>Komainu</w:t>
            </w:r>
          </w:p>
        </w:tc>
        <w:tc>
          <w:tcPr>
            <w:tcW w:type="dxa" w:w="3250"/>
          </w:tcPr>
          <w:p>
            <w:pPr>
              <w:spacing w:after="40" w:before="40"/>
            </w:pPr>
            <w:r>
              <w:rPr>
                <w:rFonts w:ascii="Calibri" w:hAnsi="Calibri"/>
                <w:b w:val="0"/>
                <w:sz w:val="20"/>
              </w:rPr>
              <w:t>Expanded its institutional digital asset custody services to cover additional token standards and layer-2 blockchain networks.</w:t>
            </w:r>
          </w:p>
        </w:tc>
        <w:tc>
          <w:tcPr>
            <w:tcW w:type="dxa" w:w="3250"/>
          </w:tcPr>
          <w:p>
            <w:pPr>
              <w:spacing w:after="40" w:before="40"/>
            </w:pPr>
            <w:r>
              <w:rPr>
                <w:rFonts w:ascii="Calibri" w:hAnsi="Calibri"/>
                <w:b w:val="0"/>
                <w:sz w:val="20"/>
              </w:rPr>
              <w:t>Responds to institutional client demand for custody of a broader range of digital assets beyond Bitcoin and Ethereum.</w:t>
            </w:r>
          </w:p>
        </w:tc>
      </w:tr>
      <w:tr>
        <w:tc>
          <w:tcPr>
            <w:tcW w:type="dxa" w:w="3250"/>
            <w:shd w:val="clear" w:color="auto" w:fill="EEF3FA"/>
          </w:tcPr>
          <w:p>
            <w:pPr>
              <w:spacing w:after="40" w:before="40"/>
            </w:pPr>
            <w:r>
              <w:rPr>
                <w:rFonts w:ascii="Calibri" w:hAnsi="Calibri"/>
                <w:b w:val="0"/>
                <w:sz w:val="20"/>
              </w:rPr>
              <w:t>Zodia Custody</w:t>
            </w:r>
          </w:p>
        </w:tc>
        <w:tc>
          <w:tcPr>
            <w:tcW w:type="dxa" w:w="3250"/>
            <w:shd w:val="clear" w:color="auto" w:fill="EEF3FA"/>
          </w:tcPr>
          <w:p>
            <w:pPr>
              <w:spacing w:after="40" w:before="40"/>
            </w:pPr>
            <w:r>
              <w:rPr>
                <w:rFonts w:ascii="Calibri" w:hAnsi="Calibri"/>
                <w:b w:val="0"/>
                <w:sz w:val="20"/>
              </w:rPr>
              <w:t>Announced partnership with a European bank to provide white-label digital asset custody services for the bank's institutional client base.</w:t>
            </w:r>
          </w:p>
        </w:tc>
        <w:tc>
          <w:tcPr>
            <w:tcW w:type="dxa" w:w="3250"/>
            <w:shd w:val="clear" w:color="auto" w:fill="EEF3FA"/>
          </w:tcPr>
          <w:p>
            <w:pPr>
              <w:spacing w:after="40" w:before="40"/>
            </w:pPr>
            <w:r>
              <w:rPr>
                <w:rFonts w:ascii="Calibri" w:hAnsi="Calibri"/>
                <w:b w:val="0"/>
                <w:sz w:val="20"/>
              </w:rPr>
              <w:t>Validates the white-label custody model and extends Zodia's reach into traditional banking channels.</w:t>
            </w:r>
          </w:p>
        </w:tc>
      </w:tr>
      <w:tr>
        <w:tc>
          <w:tcPr>
            <w:tcW w:type="dxa" w:w="3250"/>
          </w:tcPr>
          <w:p>
            <w:pPr>
              <w:spacing w:after="40" w:before="40"/>
            </w:pPr>
            <w:r>
              <w:rPr>
                <w:rFonts w:ascii="Calibri" w:hAnsi="Calibri"/>
                <w:b w:val="0"/>
                <w:sz w:val="20"/>
              </w:rPr>
              <w:t>NYDIG</w:t>
            </w:r>
          </w:p>
        </w:tc>
        <w:tc>
          <w:tcPr>
            <w:tcW w:type="dxa" w:w="3250"/>
          </w:tcPr>
          <w:p>
            <w:pPr>
              <w:spacing w:after="40" w:before="40"/>
            </w:pPr>
            <w:r>
              <w:rPr>
                <w:rFonts w:ascii="Calibri" w:hAnsi="Calibri"/>
                <w:b w:val="0"/>
                <w:sz w:val="20"/>
              </w:rPr>
              <w:t>Reported continued growth in its Bitcoin-focused custody and financing business, with assets under custody surpassing 10 billion USD.</w:t>
            </w:r>
          </w:p>
        </w:tc>
        <w:tc>
          <w:tcPr>
            <w:tcW w:type="dxa" w:w="3250"/>
          </w:tcPr>
          <w:p>
            <w:pPr>
              <w:spacing w:after="40" w:before="40"/>
            </w:pPr>
            <w:r>
              <w:rPr>
                <w:rFonts w:ascii="Calibri" w:hAnsi="Calibri"/>
                <w:b w:val="0"/>
                <w:sz w:val="20"/>
              </w:rPr>
              <w:t>Confirms NYDIG's niche leadership in Bitcoin-only institutional custody and lending services.</w:t>
            </w:r>
          </w:p>
        </w:tc>
      </w:tr>
      <w:tr>
        <w:tc>
          <w:tcPr>
            <w:tcW w:type="dxa" w:w="3250"/>
            <w:shd w:val="clear" w:color="auto" w:fill="EEF3FA"/>
          </w:tcPr>
          <w:p>
            <w:pPr>
              <w:spacing w:after="40" w:before="40"/>
            </w:pPr>
            <w:r>
              <w:rPr>
                <w:rFonts w:ascii="Calibri" w:hAnsi="Calibri"/>
                <w:b w:val="0"/>
                <w:sz w:val="20"/>
              </w:rPr>
              <w:t>Bitcoin Suisse</w:t>
            </w:r>
          </w:p>
        </w:tc>
        <w:tc>
          <w:tcPr>
            <w:tcW w:type="dxa" w:w="3250"/>
            <w:shd w:val="clear" w:color="auto" w:fill="EEF3FA"/>
          </w:tcPr>
          <w:p>
            <w:pPr>
              <w:spacing w:after="40" w:before="40"/>
            </w:pPr>
            <w:r>
              <w:rPr>
                <w:rFonts w:ascii="Calibri" w:hAnsi="Calibri"/>
                <w:b w:val="0"/>
                <w:sz w:val="20"/>
              </w:rPr>
              <w:t>Announced expansion of its regulated custody offering to include support for tokenised securities under Swiss DLT Act provisions.</w:t>
            </w:r>
          </w:p>
        </w:tc>
        <w:tc>
          <w:tcPr>
            <w:tcW w:type="dxa" w:w="3250"/>
            <w:shd w:val="clear" w:color="auto" w:fill="EEF3FA"/>
          </w:tcPr>
          <w:p>
            <w:pPr>
              <w:spacing w:after="40" w:before="40"/>
            </w:pPr>
            <w:r>
              <w:rPr>
                <w:rFonts w:ascii="Calibri" w:hAnsi="Calibri"/>
                <w:b w:val="0"/>
                <w:sz w:val="20"/>
              </w:rPr>
              <w:t>Extends Bitcoin Suisse beyond crypto-native assets into the regulated tokenised securities market in Switzerland.</w:t>
            </w:r>
          </w:p>
        </w:tc>
      </w:tr>
      <w:tr>
        <w:tc>
          <w:tcPr>
            <w:tcW w:type="dxa" w:w="3250"/>
          </w:tcPr>
          <w:p>
            <w:pPr>
              <w:spacing w:after="40" w:before="40"/>
            </w:pPr>
            <w:r>
              <w:rPr>
                <w:rFonts w:ascii="Calibri" w:hAnsi="Calibri"/>
                <w:b w:val="0"/>
                <w:sz w:val="20"/>
              </w:rPr>
              <w:t>Taurus</w:t>
            </w:r>
          </w:p>
        </w:tc>
        <w:tc>
          <w:tcPr>
            <w:tcW w:type="dxa" w:w="3250"/>
          </w:tcPr>
          <w:p>
            <w:pPr>
              <w:spacing w:after="40" w:before="40"/>
            </w:pPr>
            <w:r>
              <w:rPr>
                <w:rFonts w:ascii="Calibri" w:hAnsi="Calibri"/>
                <w:b w:val="0"/>
                <w:sz w:val="20"/>
              </w:rPr>
              <w:t>Secured a significant funding round led by a major European bank, valuing the firm above 500 million USD.</w:t>
            </w:r>
          </w:p>
        </w:tc>
        <w:tc>
          <w:tcPr>
            <w:tcW w:type="dxa" w:w="3250"/>
          </w:tcPr>
          <w:p>
            <w:pPr>
              <w:spacing w:after="40" w:before="40"/>
            </w:pPr>
            <w:r>
              <w:rPr>
                <w:rFonts w:ascii="Calibri" w:hAnsi="Calibri"/>
                <w:b w:val="0"/>
                <w:sz w:val="20"/>
              </w:rPr>
              <w:t>Validates Taurus' digital asset infrastructure platform and positions the firm for accelerated growth across European institutional markets.</w:t>
            </w:r>
          </w:p>
        </w:tc>
      </w:tr>
    </w:tbl>
    <w:p/>
    <w:p>
      <w:pPr>
        <w:jc w:val="center"/>
      </w:pPr>
      <w:r>
        <w:rPr>
          <w:rFonts w:ascii="Calibri" w:hAnsi="Calibri"/>
          <w:i/>
          <w:color w:val="888888"/>
          <w:sz w:val="16"/>
        </w:rPr>
        <w:t>This document is confidential and intended solely for the RBC Investor Services Senior Management Team. Do not distribute.</w:t>
      </w:r>
    </w:p>
    <w:sectPr w:rsidR="00E71C96" w:rsidRPr="00E15B30" w:rsidSect="00AA3776">
      <w:footerReference w:type="first" r:id="rId8"/>
      <w:pgSz w:w="11909" w:h="16834" w:code="9"/>
      <w:pgMar w:top="1080" w:right="1080" w:bottom="562" w:left="1080" w:header="0" w:footer="432" w:gutter="0"/>
      <w:pgBorders w:offsetFrom="page">
        <w:top w:val="single" w:sz="2" w:space="18" w:color="002159"/>
        <w:left w:val="single" w:sz="2" w:space="18" w:color="002159"/>
        <w:bottom w:val="single" w:sz="2" w:space="18" w:color="002159"/>
        <w:right w:val="single" w:sz="2" w:space="18" w:color="002159"/>
      </w:pgBorders>
      <w:pgNumType w:fmt="low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8EBA7" w14:textId="77777777" w:rsidR="00C02A6A" w:rsidRDefault="00C02A6A">
      <w:r>
        <w:separator/>
      </w:r>
    </w:p>
    <w:p w14:paraId="085563AF" w14:textId="77777777" w:rsidR="00C02A6A" w:rsidRDefault="00C02A6A"/>
    <w:p w14:paraId="4EDDD97C" w14:textId="77777777" w:rsidR="00C02A6A" w:rsidRDefault="00C02A6A"/>
  </w:endnote>
  <w:endnote w:type="continuationSeparator" w:id="0">
    <w:p w14:paraId="3D54E17F" w14:textId="77777777" w:rsidR="00C02A6A" w:rsidRDefault="00C02A6A">
      <w:r>
        <w:continuationSeparator/>
      </w:r>
    </w:p>
    <w:p w14:paraId="7C5BAB43" w14:textId="77777777" w:rsidR="00C02A6A" w:rsidRDefault="00C02A6A"/>
    <w:p w14:paraId="63C61948" w14:textId="77777777" w:rsidR="00C02A6A" w:rsidRDefault="00C02A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Times New Roman"/>
    <w:panose1 w:val="020B0704020202020204"/>
    <w:charset w:val="00"/>
    <w:family w:val="swiss"/>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6747D7DF-3D6A-4ED2-AAC8-D3BA8B1D5C25}"/>
    <w:embedBold r:id="rId2" w:fontKey="{3454AD14-499D-4863-A694-692B1ADC694F}"/>
    <w:embedItalic r:id="rId3" w:fontKey="{781E6330-149F-411B-9735-59DF1E9C6AC7}"/>
  </w:font>
  <w:font w:name="Century Gothic">
    <w:panose1 w:val="020B0502020202020204"/>
    <w:charset w:val="00"/>
    <w:family w:val="swiss"/>
    <w:pitch w:val="variable"/>
    <w:sig w:usb0="00000287" w:usb1="00000000" w:usb2="00000000" w:usb3="00000000" w:csb0="0000009F" w:csb1="00000000"/>
    <w:embedRegular r:id="rId4" w:fontKey="{D252A5BB-800E-45C5-A3D6-74B880434F06}"/>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5" w:fontKey="{5FFF8507-1812-43FD-B3B6-FCE8389267C5}"/>
  </w:font>
  <w:font w:name="Arial Black">
    <w:panose1 w:val="020B0A04020102020204"/>
    <w:charset w:val="00"/>
    <w:family w:val="swiss"/>
    <w:pitch w:val="variable"/>
    <w:sig w:usb0="A00002AF" w:usb1="400078FB" w:usb2="00000000" w:usb3="00000000" w:csb0="0000009F" w:csb1="00000000"/>
    <w:embedRegular r:id="rId6" w:fontKey="{BB4AD9BD-E88A-4869-B5B9-C5B7C74BC6F5}"/>
  </w:font>
  <w:font w:name="Georgia">
    <w:panose1 w:val="02040502050405020303"/>
    <w:charset w:val="00"/>
    <w:family w:val="roman"/>
    <w:pitch w:val="variable"/>
    <w:sig w:usb0="00000287" w:usb1="00000000" w:usb2="00000000" w:usb3="00000000" w:csb0="0000009F" w:csb1="00000000"/>
    <w:embedBoldItalic r:id="rId7" w:fontKey="{3E708344-5C7E-4DC6-965D-F2C9BDEF92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F06D" w14:textId="69824C84" w:rsidR="004F69BC" w:rsidRPr="00E4290C" w:rsidRDefault="004F69BC" w:rsidP="00E4290C">
    <w:pPr>
      <w:pStyle w:val="FooterBackcover"/>
      <w:spacing w:after="180"/>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E78E6" w14:textId="77777777" w:rsidR="00C02A6A" w:rsidRDefault="00C02A6A" w:rsidP="00494966">
      <w:pPr>
        <w:pStyle w:val="FootnoteSeparator"/>
      </w:pPr>
    </w:p>
    <w:p w14:paraId="4B31063E" w14:textId="77777777" w:rsidR="00C02A6A" w:rsidRDefault="00C02A6A"/>
    <w:p w14:paraId="32C94793" w14:textId="77777777" w:rsidR="00C02A6A" w:rsidRDefault="00C02A6A"/>
  </w:footnote>
  <w:footnote w:type="continuationSeparator" w:id="0">
    <w:p w14:paraId="147C50A4" w14:textId="77777777" w:rsidR="00C02A6A" w:rsidRDefault="00C02A6A">
      <w:r>
        <w:continuationSeparator/>
      </w:r>
    </w:p>
    <w:p w14:paraId="002E624C" w14:textId="77777777" w:rsidR="00C02A6A" w:rsidRDefault="00C02A6A"/>
    <w:p w14:paraId="0E7DB25D" w14:textId="77777777" w:rsidR="00C02A6A" w:rsidRDefault="00C02A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EF83E62"/>
    <w:lvl w:ilvl="0">
      <w:start w:val="1"/>
      <w:numFmt w:val="decimal"/>
      <w:pStyle w:val="ListNumber5"/>
      <w:lvlText w:val="%1."/>
      <w:lvlJc w:val="left"/>
      <w:pPr>
        <w:tabs>
          <w:tab w:val="num" w:pos="1492"/>
        </w:tabs>
        <w:ind w:left="1492" w:hanging="360"/>
      </w:pPr>
    </w:lvl>
  </w:abstractNum>
  <w:abstractNum w:abstractNumId="1" w15:restartNumberingAfterBreak="0">
    <w:nsid w:val="FFFFFF7E"/>
    <w:multiLevelType w:val="singleLevel"/>
    <w:tmpl w:val="9CFC16B4"/>
    <w:lvl w:ilvl="0">
      <w:start w:val="1"/>
      <w:numFmt w:val="decimal"/>
      <w:pStyle w:val="ListNumber3"/>
      <w:lvlText w:val="%1."/>
      <w:lvlJc w:val="left"/>
      <w:pPr>
        <w:tabs>
          <w:tab w:val="num" w:pos="926"/>
        </w:tabs>
        <w:ind w:left="926" w:hanging="360"/>
      </w:pPr>
    </w:lvl>
  </w:abstractNum>
  <w:abstractNum w:abstractNumId="2" w15:restartNumberingAfterBreak="0">
    <w:nsid w:val="FFFFFF7F"/>
    <w:multiLevelType w:val="singleLevel"/>
    <w:tmpl w:val="317A77E2"/>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65AE9E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619AA81A"/>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0EE6481D"/>
    <w:multiLevelType w:val="multilevel"/>
    <w:tmpl w:val="9272BB36"/>
    <w:styleLink w:val="111111"/>
    <w:lvl w:ilvl="0">
      <w:start w:val="1"/>
      <w:numFmt w:val="decimal"/>
      <w:lvlText w:val="%1."/>
      <w:lvlJc w:val="left"/>
      <w:pPr>
        <w:tabs>
          <w:tab w:val="num" w:pos="720"/>
        </w:tabs>
        <w:ind w:left="720" w:hanging="360"/>
      </w:pPr>
      <w:rPr>
        <w:rFonts w:ascii="Arial" w:hAnsi="Arial"/>
        <w:color w:val="002144"/>
        <w:sz w:val="36"/>
      </w:rPr>
    </w:lvl>
    <w:lvl w:ilvl="1">
      <w:start w:val="1"/>
      <w:numFmt w:val="decimal"/>
      <w:lvlText w:val="%1.%2."/>
      <w:lvlJc w:val="left"/>
      <w:pPr>
        <w:tabs>
          <w:tab w:val="num" w:pos="1152"/>
        </w:tabs>
        <w:ind w:left="1152" w:hanging="432"/>
      </w:pPr>
      <w:rPr>
        <w:rFonts w:hint="default"/>
        <w:sz w:val="25"/>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14F94586"/>
    <w:multiLevelType w:val="hybridMultilevel"/>
    <w:tmpl w:val="671E8414"/>
    <w:lvl w:ilvl="0" w:tplc="BA62B44E">
      <w:start w:val="1"/>
      <w:numFmt w:val="upperLetter"/>
      <w:pStyle w:val="List"/>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DD7F2F"/>
    <w:multiLevelType w:val="hybridMultilevel"/>
    <w:tmpl w:val="3FCCCD1A"/>
    <w:lvl w:ilvl="0" w:tplc="F8927B7A">
      <w:start w:val="1"/>
      <w:numFmt w:val="bullet"/>
      <w:pStyle w:val="ListBullet2"/>
      <w:lvlText w:val=""/>
      <w:lvlJc w:val="left"/>
      <w:pPr>
        <w:tabs>
          <w:tab w:val="num" w:pos="680"/>
        </w:tabs>
        <w:ind w:left="680" w:hanging="340"/>
      </w:pPr>
      <w:rPr>
        <w:rFonts w:ascii="Wingdings" w:hAnsi="Wingdings" w:hint="default"/>
        <w:color w:val="8499A6"/>
        <w:sz w:val="20"/>
      </w:rPr>
    </w:lvl>
    <w:lvl w:ilvl="1" w:tplc="B0649FC8">
      <w:start w:val="1"/>
      <w:numFmt w:val="bullet"/>
      <w:lvlText w:val="o"/>
      <w:lvlJc w:val="left"/>
      <w:pPr>
        <w:tabs>
          <w:tab w:val="num" w:pos="2806"/>
        </w:tabs>
        <w:ind w:left="2806" w:hanging="360"/>
      </w:pPr>
      <w:rPr>
        <w:rFonts w:ascii="Courier New" w:hAnsi="Courier New" w:hint="default"/>
      </w:rPr>
    </w:lvl>
    <w:lvl w:ilvl="2" w:tplc="04090005" w:tentative="1">
      <w:start w:val="1"/>
      <w:numFmt w:val="bullet"/>
      <w:lvlText w:val=""/>
      <w:lvlJc w:val="left"/>
      <w:pPr>
        <w:tabs>
          <w:tab w:val="num" w:pos="3526"/>
        </w:tabs>
        <w:ind w:left="3526" w:hanging="360"/>
      </w:pPr>
      <w:rPr>
        <w:rFonts w:ascii="Wingdings" w:hAnsi="Wingdings" w:hint="default"/>
      </w:rPr>
    </w:lvl>
    <w:lvl w:ilvl="3" w:tplc="04090001" w:tentative="1">
      <w:start w:val="1"/>
      <w:numFmt w:val="bullet"/>
      <w:lvlText w:val=""/>
      <w:lvlJc w:val="left"/>
      <w:pPr>
        <w:tabs>
          <w:tab w:val="num" w:pos="4246"/>
        </w:tabs>
        <w:ind w:left="4246" w:hanging="360"/>
      </w:pPr>
      <w:rPr>
        <w:rFonts w:ascii="Symbol" w:hAnsi="Symbol" w:hint="default"/>
      </w:rPr>
    </w:lvl>
    <w:lvl w:ilvl="4" w:tplc="04090003" w:tentative="1">
      <w:start w:val="1"/>
      <w:numFmt w:val="bullet"/>
      <w:lvlText w:val="o"/>
      <w:lvlJc w:val="left"/>
      <w:pPr>
        <w:tabs>
          <w:tab w:val="num" w:pos="4966"/>
        </w:tabs>
        <w:ind w:left="4966" w:hanging="360"/>
      </w:pPr>
      <w:rPr>
        <w:rFonts w:ascii="Courier New" w:hAnsi="Courier New" w:hint="default"/>
      </w:rPr>
    </w:lvl>
    <w:lvl w:ilvl="5" w:tplc="04090005" w:tentative="1">
      <w:start w:val="1"/>
      <w:numFmt w:val="bullet"/>
      <w:lvlText w:val=""/>
      <w:lvlJc w:val="left"/>
      <w:pPr>
        <w:tabs>
          <w:tab w:val="num" w:pos="5686"/>
        </w:tabs>
        <w:ind w:left="5686" w:hanging="360"/>
      </w:pPr>
      <w:rPr>
        <w:rFonts w:ascii="Wingdings" w:hAnsi="Wingdings" w:hint="default"/>
      </w:rPr>
    </w:lvl>
    <w:lvl w:ilvl="6" w:tplc="04090001" w:tentative="1">
      <w:start w:val="1"/>
      <w:numFmt w:val="bullet"/>
      <w:lvlText w:val=""/>
      <w:lvlJc w:val="left"/>
      <w:pPr>
        <w:tabs>
          <w:tab w:val="num" w:pos="6406"/>
        </w:tabs>
        <w:ind w:left="6406" w:hanging="360"/>
      </w:pPr>
      <w:rPr>
        <w:rFonts w:ascii="Symbol" w:hAnsi="Symbol" w:hint="default"/>
      </w:rPr>
    </w:lvl>
    <w:lvl w:ilvl="7" w:tplc="04090003" w:tentative="1">
      <w:start w:val="1"/>
      <w:numFmt w:val="bullet"/>
      <w:lvlText w:val="o"/>
      <w:lvlJc w:val="left"/>
      <w:pPr>
        <w:tabs>
          <w:tab w:val="num" w:pos="7126"/>
        </w:tabs>
        <w:ind w:left="7126" w:hanging="360"/>
      </w:pPr>
      <w:rPr>
        <w:rFonts w:ascii="Courier New" w:hAnsi="Courier New" w:hint="default"/>
      </w:rPr>
    </w:lvl>
    <w:lvl w:ilvl="8" w:tplc="04090005" w:tentative="1">
      <w:start w:val="1"/>
      <w:numFmt w:val="bullet"/>
      <w:lvlText w:val=""/>
      <w:lvlJc w:val="left"/>
      <w:pPr>
        <w:tabs>
          <w:tab w:val="num" w:pos="7846"/>
        </w:tabs>
        <w:ind w:left="7846" w:hanging="360"/>
      </w:pPr>
      <w:rPr>
        <w:rFonts w:ascii="Wingdings" w:hAnsi="Wingdings" w:hint="default"/>
      </w:rPr>
    </w:lvl>
  </w:abstractNum>
  <w:abstractNum w:abstractNumId="8" w15:restartNumberingAfterBreak="0">
    <w:nsid w:val="196D1F1A"/>
    <w:multiLevelType w:val="hybridMultilevel"/>
    <w:tmpl w:val="BE72B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A92175"/>
    <w:multiLevelType w:val="hybridMultilevel"/>
    <w:tmpl w:val="6CF6A9B4"/>
    <w:lvl w:ilvl="0" w:tplc="3E56E864">
      <w:start w:val="1"/>
      <w:numFmt w:val="decimal"/>
      <w:pStyle w:val="ListNumber"/>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9"/>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E692612"/>
    <w:multiLevelType w:val="hybridMultilevel"/>
    <w:tmpl w:val="2696925E"/>
    <w:lvl w:ilvl="0" w:tplc="BCF0D7D4">
      <w:start w:val="1"/>
      <w:numFmt w:val="lowerRoman"/>
      <w:pStyle w:val="Question5"/>
      <w:lvlText w:val="%1."/>
      <w:lvlJc w:val="left"/>
      <w:pPr>
        <w:tabs>
          <w:tab w:val="num" w:pos="717"/>
        </w:tabs>
        <w:ind w:left="717"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8346DC"/>
    <w:multiLevelType w:val="multilevel"/>
    <w:tmpl w:val="1890963E"/>
    <w:styleLink w:val="NumHeadListChapter"/>
    <w:lvl w:ilvl="0">
      <w:start w:val="1"/>
      <w:numFmt w:val="decimal"/>
      <w:isLgl/>
      <w:lvlText w:val="%1."/>
      <w:lvlJc w:val="left"/>
      <w:pPr>
        <w:tabs>
          <w:tab w:val="num" w:pos="1008"/>
        </w:tabs>
        <w:ind w:left="1008" w:hanging="1008"/>
      </w:pPr>
      <w:rPr>
        <w:rFonts w:ascii="Arial" w:hAnsi="Arial" w:hint="default"/>
        <w:color w:val="002144"/>
        <w:sz w:val="32"/>
        <w:szCs w:val="20"/>
      </w:rPr>
    </w:lvl>
    <w:lvl w:ilvl="1">
      <w:start w:val="1"/>
      <w:numFmt w:val="decimal"/>
      <w:isLgl/>
      <w:lvlText w:val="%1.%2."/>
      <w:lvlJc w:val="left"/>
      <w:pPr>
        <w:tabs>
          <w:tab w:val="num" w:pos="1008"/>
        </w:tabs>
        <w:ind w:left="1008" w:hanging="1008"/>
      </w:pPr>
      <w:rPr>
        <w:rFonts w:ascii="Arial" w:hAnsi="Arial" w:hint="default"/>
        <w:b w:val="0"/>
        <w:i w:val="0"/>
        <w:color w:val="003263"/>
        <w:sz w:val="25"/>
        <w:szCs w:val="20"/>
      </w:rPr>
    </w:lvl>
    <w:lvl w:ilvl="2">
      <w:start w:val="1"/>
      <w:numFmt w:val="decimal"/>
      <w:isLgl/>
      <w:lvlText w:val="%1.%2.%3."/>
      <w:lvlJc w:val="left"/>
      <w:pPr>
        <w:tabs>
          <w:tab w:val="num" w:pos="1008"/>
        </w:tabs>
        <w:ind w:left="1008" w:hanging="1008"/>
      </w:pPr>
      <w:rPr>
        <w:rFonts w:ascii="Arial" w:hAnsi="Arial" w:hint="default"/>
        <w:b w:val="0"/>
        <w:i w:val="0"/>
        <w:color w:val="003263"/>
        <w:sz w:val="22"/>
        <w:szCs w:val="20"/>
      </w:rPr>
    </w:lvl>
    <w:lvl w:ilvl="3">
      <w:start w:val="1"/>
      <w:numFmt w:val="decimal"/>
      <w:isLgl/>
      <w:lvlText w:val="%1.%2.%3.%4."/>
      <w:lvlJc w:val="left"/>
      <w:pPr>
        <w:tabs>
          <w:tab w:val="num" w:pos="1008"/>
        </w:tabs>
        <w:ind w:left="1008" w:hanging="1008"/>
      </w:pPr>
      <w:rPr>
        <w:rFonts w:ascii="Arial" w:hAnsi="Arial" w:hint="default"/>
        <w:b w:val="0"/>
        <w:i w:val="0"/>
        <w:color w:val="003263"/>
        <w:sz w:val="20"/>
        <w:szCs w:val="20"/>
      </w:rPr>
    </w:lvl>
    <w:lvl w:ilvl="4">
      <w:start w:val="1"/>
      <w:numFmt w:val="decimal"/>
      <w:isLgl/>
      <w:lvlText w:val="%1.%2.%3.%4.%5."/>
      <w:lvlJc w:val="left"/>
      <w:pPr>
        <w:tabs>
          <w:tab w:val="num" w:pos="1008"/>
        </w:tabs>
        <w:ind w:left="1008" w:hanging="1008"/>
      </w:pPr>
      <w:rPr>
        <w:rFonts w:ascii="Arial" w:hAnsi="Arial" w:hint="default"/>
        <w:color w:val="003263"/>
        <w:sz w:val="20"/>
        <w:szCs w:val="20"/>
      </w:rPr>
    </w:lvl>
    <w:lvl w:ilvl="5">
      <w:start w:val="1"/>
      <w:numFmt w:val="decimal"/>
      <w:lvlText w:val="%1.%2.%3.%4.%5.%6"/>
      <w:lvlJc w:val="left"/>
      <w:pPr>
        <w:tabs>
          <w:tab w:val="num" w:pos="1152"/>
        </w:tabs>
        <w:ind w:left="1152" w:hanging="1152"/>
      </w:pPr>
      <w:rPr>
        <w:rFonts w:ascii="Arial" w:hAnsi="Arial"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1C03D0A"/>
    <w:multiLevelType w:val="hybridMultilevel"/>
    <w:tmpl w:val="084C962C"/>
    <w:lvl w:ilvl="0" w:tplc="9790FE42">
      <w:start w:val="1"/>
      <w:numFmt w:val="bullet"/>
      <w:pStyle w:val="ListBullet3"/>
      <w:lvlText w:val="–"/>
      <w:lvlJc w:val="left"/>
      <w:pPr>
        <w:tabs>
          <w:tab w:val="num" w:pos="1020"/>
        </w:tabs>
        <w:ind w:left="1020" w:hanging="340"/>
      </w:pPr>
      <w:rPr>
        <w:rFonts w:ascii="Arial" w:hAnsi="Arial" w:hint="default"/>
        <w:b w:val="0"/>
        <w:i w:val="0"/>
        <w:caps w:val="0"/>
        <w:strike w:val="0"/>
        <w:dstrike w:val="0"/>
        <w:vanish w:val="0"/>
        <w:color w:val="8499A6"/>
        <w:spacing w:val="0"/>
        <w:w w:val="100"/>
        <w:kern w:val="0"/>
        <w:position w:val="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2800"/>
        </w:tabs>
        <w:ind w:left="2800" w:hanging="360"/>
      </w:pPr>
    </w:lvl>
    <w:lvl w:ilvl="2" w:tplc="0409001B" w:tentative="1">
      <w:start w:val="1"/>
      <w:numFmt w:val="lowerRoman"/>
      <w:lvlText w:val="%3."/>
      <w:lvlJc w:val="right"/>
      <w:pPr>
        <w:tabs>
          <w:tab w:val="num" w:pos="3520"/>
        </w:tabs>
        <w:ind w:left="3520" w:hanging="180"/>
      </w:pPr>
    </w:lvl>
    <w:lvl w:ilvl="3" w:tplc="0409000F" w:tentative="1">
      <w:start w:val="1"/>
      <w:numFmt w:val="decimal"/>
      <w:lvlText w:val="%4."/>
      <w:lvlJc w:val="left"/>
      <w:pPr>
        <w:tabs>
          <w:tab w:val="num" w:pos="4240"/>
        </w:tabs>
        <w:ind w:left="4240" w:hanging="360"/>
      </w:pPr>
    </w:lvl>
    <w:lvl w:ilvl="4" w:tplc="04090019" w:tentative="1">
      <w:start w:val="1"/>
      <w:numFmt w:val="lowerLetter"/>
      <w:lvlText w:val="%5."/>
      <w:lvlJc w:val="left"/>
      <w:pPr>
        <w:tabs>
          <w:tab w:val="num" w:pos="4960"/>
        </w:tabs>
        <w:ind w:left="4960" w:hanging="360"/>
      </w:pPr>
    </w:lvl>
    <w:lvl w:ilvl="5" w:tplc="0409001B" w:tentative="1">
      <w:start w:val="1"/>
      <w:numFmt w:val="lowerRoman"/>
      <w:lvlText w:val="%6."/>
      <w:lvlJc w:val="right"/>
      <w:pPr>
        <w:tabs>
          <w:tab w:val="num" w:pos="5680"/>
        </w:tabs>
        <w:ind w:left="5680" w:hanging="180"/>
      </w:pPr>
    </w:lvl>
    <w:lvl w:ilvl="6" w:tplc="0409000F" w:tentative="1">
      <w:start w:val="1"/>
      <w:numFmt w:val="decimal"/>
      <w:lvlText w:val="%7."/>
      <w:lvlJc w:val="left"/>
      <w:pPr>
        <w:tabs>
          <w:tab w:val="num" w:pos="6400"/>
        </w:tabs>
        <w:ind w:left="6400" w:hanging="360"/>
      </w:pPr>
    </w:lvl>
    <w:lvl w:ilvl="7" w:tplc="04090019" w:tentative="1">
      <w:start w:val="1"/>
      <w:numFmt w:val="lowerLetter"/>
      <w:lvlText w:val="%8."/>
      <w:lvlJc w:val="left"/>
      <w:pPr>
        <w:tabs>
          <w:tab w:val="num" w:pos="7120"/>
        </w:tabs>
        <w:ind w:left="7120" w:hanging="360"/>
      </w:pPr>
    </w:lvl>
    <w:lvl w:ilvl="8" w:tplc="0409001B" w:tentative="1">
      <w:start w:val="1"/>
      <w:numFmt w:val="lowerRoman"/>
      <w:lvlText w:val="%9."/>
      <w:lvlJc w:val="right"/>
      <w:pPr>
        <w:tabs>
          <w:tab w:val="num" w:pos="7840"/>
        </w:tabs>
        <w:ind w:left="7840" w:hanging="180"/>
      </w:pPr>
    </w:lvl>
  </w:abstractNum>
  <w:abstractNum w:abstractNumId="13" w15:restartNumberingAfterBreak="0">
    <w:nsid w:val="324549D6"/>
    <w:multiLevelType w:val="multilevel"/>
    <w:tmpl w:val="7CCE5D8C"/>
    <w:lvl w:ilvl="0">
      <w:start w:val="1"/>
      <w:numFmt w:val="decimal"/>
      <w:lvlText w:val="%1."/>
      <w:lvlJc w:val="left"/>
      <w:pPr>
        <w:tabs>
          <w:tab w:val="num" w:pos="432"/>
        </w:tabs>
        <w:ind w:left="432" w:hanging="432"/>
      </w:pPr>
      <w:rPr>
        <w:rFonts w:ascii="Arial" w:hAnsi="Arial" w:hint="default"/>
        <w:b/>
        <w:i w:val="0"/>
        <w:sz w:val="20"/>
        <w:szCs w:val="20"/>
      </w:rPr>
    </w:lvl>
    <w:lvl w:ilvl="1">
      <w:start w:val="1"/>
      <w:numFmt w:val="decimal"/>
      <w:lvlRestart w:val="0"/>
      <w:suff w:val="nothing"/>
      <w:lvlText w:val="Section %2"/>
      <w:lvlJc w:val="left"/>
      <w:pPr>
        <w:ind w:left="0" w:firstLine="0"/>
      </w:pPr>
      <w:rPr>
        <w:rFonts w:ascii="Arial" w:hAnsi="Arial" w:cs="Arial" w:hint="default"/>
        <w:b/>
        <w:i w:val="0"/>
        <w:sz w:val="48"/>
        <w:szCs w:val="20"/>
      </w:rPr>
    </w:lvl>
    <w:lvl w:ilvl="2">
      <w:start w:val="1"/>
      <w:numFmt w:val="upperRoman"/>
      <w:lvlRestart w:val="0"/>
      <w:suff w:val="nothing"/>
      <w:lvlText w:val="Appendix %3"/>
      <w:lvlJc w:val="left"/>
      <w:pPr>
        <w:ind w:left="0" w:firstLine="0"/>
      </w:pPr>
      <w:rPr>
        <w:rFonts w:ascii="Arial" w:hAnsi="Arial" w:cs="Arial" w:hint="default"/>
        <w:b/>
        <w:i w:val="0"/>
        <w:sz w:val="48"/>
        <w:szCs w:val="20"/>
      </w:rPr>
    </w:lvl>
    <w:lvl w:ilvl="3">
      <w:start w:val="1"/>
      <w:numFmt w:val="upperLetter"/>
      <w:suff w:val="nothing"/>
      <w:lvlText w:val="Tab %4"/>
      <w:lvlJc w:val="left"/>
      <w:pPr>
        <w:ind w:left="0" w:firstLine="0"/>
      </w:pPr>
      <w:rPr>
        <w:rFonts w:ascii="Arial" w:hAnsi="Arial" w:cs="Arial" w:hint="default"/>
        <w:b/>
        <w:sz w:val="48"/>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upperLetter"/>
      <w:lvlRestart w:val="3"/>
      <w:pStyle w:val="Heading8"/>
      <w:suff w:val="nothing"/>
      <w:lvlText w:val="Tab %8"/>
      <w:lvlJc w:val="left"/>
      <w:pPr>
        <w:ind w:left="0" w:firstLine="0"/>
      </w:pPr>
      <w:rPr>
        <w:rFonts w:ascii="Arial" w:hAnsi="Arial" w:cs="Arial" w:hint="default"/>
        <w:b/>
        <w:sz w:val="48"/>
      </w:rPr>
    </w:lvl>
    <w:lvl w:ilvl="8">
      <w:start w:val="1"/>
      <w:numFmt w:val="lowerRoman"/>
      <w:lvlText w:val="(%9)"/>
      <w:lvlJc w:val="left"/>
      <w:pPr>
        <w:tabs>
          <w:tab w:val="num" w:pos="6120"/>
        </w:tabs>
        <w:ind w:left="5760" w:firstLine="0"/>
      </w:pPr>
      <w:rPr>
        <w:rFonts w:hint="default"/>
      </w:rPr>
    </w:lvl>
  </w:abstractNum>
  <w:abstractNum w:abstractNumId="14" w15:restartNumberingAfterBreak="0">
    <w:nsid w:val="3FDF0D99"/>
    <w:multiLevelType w:val="hybridMultilevel"/>
    <w:tmpl w:val="7312DE7E"/>
    <w:lvl w:ilvl="0" w:tplc="FD76358A">
      <w:start w:val="1"/>
      <w:numFmt w:val="lowerRoman"/>
      <w:pStyle w:val="List4"/>
      <w:lvlText w:val="%1."/>
      <w:lvlJc w:val="left"/>
      <w:pPr>
        <w:tabs>
          <w:tab w:val="num" w:pos="677"/>
        </w:tabs>
        <w:ind w:left="680" w:hanging="340"/>
      </w:pPr>
      <w:rPr>
        <w:rFonts w:ascii="Verdana" w:hAnsi="Verdana"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FEA26C0"/>
    <w:multiLevelType w:val="hybridMultilevel"/>
    <w:tmpl w:val="33D0349E"/>
    <w:lvl w:ilvl="0" w:tplc="4DF069A4">
      <w:start w:val="1"/>
      <w:numFmt w:val="bullet"/>
      <w:pStyle w:val="TableBullet3"/>
      <w:lvlText w:val="–"/>
      <w:lvlJc w:val="left"/>
      <w:pPr>
        <w:tabs>
          <w:tab w:val="num" w:pos="216"/>
        </w:tabs>
        <w:ind w:left="595" w:hanging="198"/>
      </w:pPr>
      <w:rPr>
        <w:rFonts w:ascii="Verdana" w:hAnsi="Verdana" w:hint="default"/>
        <w:b w:val="0"/>
        <w:i w:val="0"/>
        <w:color w:val="6F6E6F"/>
        <w:sz w:val="16"/>
      </w:rPr>
    </w:lvl>
    <w:lvl w:ilvl="1" w:tplc="04090019">
      <w:start w:val="1"/>
      <w:numFmt w:val="bullet"/>
      <w:lvlText w:val="–"/>
      <w:lvlJc w:val="left"/>
      <w:pPr>
        <w:tabs>
          <w:tab w:val="num" w:pos="216"/>
        </w:tabs>
        <w:ind w:left="648" w:hanging="216"/>
      </w:pPr>
      <w:rPr>
        <w:rFonts w:ascii="Century Gothic" w:hAnsi="Century Gothic" w:hint="default"/>
        <w:b w:val="0"/>
        <w:i w:val="0"/>
        <w:color w:val="auto"/>
        <w:sz w:val="16"/>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42C0BD1"/>
    <w:multiLevelType w:val="hybridMultilevel"/>
    <w:tmpl w:val="6AC8D7F0"/>
    <w:lvl w:ilvl="0" w:tplc="C7F224E2">
      <w:start w:val="1"/>
      <w:numFmt w:val="decimal"/>
      <w:pStyle w:val="Question1"/>
      <w:lvlText w:val="%1."/>
      <w:lvlJc w:val="left"/>
      <w:pPr>
        <w:tabs>
          <w:tab w:val="num" w:pos="360"/>
        </w:tabs>
        <w:ind w:left="360"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8827669"/>
    <w:multiLevelType w:val="hybridMultilevel"/>
    <w:tmpl w:val="BAAE3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7149E0"/>
    <w:multiLevelType w:val="hybridMultilevel"/>
    <w:tmpl w:val="F8EC1A8C"/>
    <w:lvl w:ilvl="0" w:tplc="6E24CF20">
      <w:start w:val="1"/>
      <w:numFmt w:val="lowerLetter"/>
      <w:pStyle w:val="List3"/>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1185B21"/>
    <w:multiLevelType w:val="hybridMultilevel"/>
    <w:tmpl w:val="5CAA3A06"/>
    <w:lvl w:ilvl="0" w:tplc="488695A6">
      <w:start w:val="1"/>
      <w:numFmt w:val="decimal"/>
      <w:pStyle w:val="TableBulletNumeric"/>
      <w:lvlText w:val="%1."/>
      <w:lvlJc w:val="left"/>
      <w:pPr>
        <w:tabs>
          <w:tab w:val="num" w:pos="216"/>
        </w:tabs>
        <w:ind w:left="216" w:hanging="216"/>
      </w:pPr>
      <w:rPr>
        <w:rFonts w:ascii="Arial" w:hAnsi="Arial" w:cs="Arial" w:hint="default"/>
        <w:b/>
        <w:i w:val="0"/>
        <w:color w:val="0060A9"/>
        <w:sz w:val="15"/>
        <w:u w:val="none"/>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52416A5"/>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57552717"/>
    <w:multiLevelType w:val="hybridMultilevel"/>
    <w:tmpl w:val="E136582A"/>
    <w:lvl w:ilvl="0" w:tplc="B2A84794">
      <w:start w:val="1"/>
      <w:numFmt w:val="bullet"/>
      <w:pStyle w:val="TableBullet2"/>
      <w:lvlText w:val=""/>
      <w:lvlJc w:val="left"/>
      <w:pPr>
        <w:tabs>
          <w:tab w:val="num" w:pos="397"/>
        </w:tabs>
        <w:ind w:left="397" w:hanging="198"/>
      </w:pPr>
      <w:rPr>
        <w:rFonts w:ascii="Wingdings" w:hAnsi="Wingdings" w:hint="default"/>
        <w:b w:val="0"/>
        <w:i w:val="0"/>
        <w:color w:val="8499A6"/>
        <w:sz w:val="16"/>
      </w:rPr>
    </w:lvl>
    <w:lvl w:ilvl="1" w:tplc="04090019" w:tentative="1">
      <w:start w:val="1"/>
      <w:numFmt w:val="bullet"/>
      <w:lvlText w:val="o"/>
      <w:lvlJc w:val="left"/>
      <w:pPr>
        <w:tabs>
          <w:tab w:val="num" w:pos="1656"/>
        </w:tabs>
        <w:ind w:left="1656" w:hanging="360"/>
      </w:pPr>
      <w:rPr>
        <w:rFonts w:ascii="Courier New" w:hAnsi="Courier New" w:hint="default"/>
      </w:rPr>
    </w:lvl>
    <w:lvl w:ilvl="2" w:tplc="0409001B" w:tentative="1">
      <w:start w:val="1"/>
      <w:numFmt w:val="bullet"/>
      <w:lvlText w:val=""/>
      <w:lvlJc w:val="left"/>
      <w:pPr>
        <w:tabs>
          <w:tab w:val="num" w:pos="2376"/>
        </w:tabs>
        <w:ind w:left="2376" w:hanging="360"/>
      </w:pPr>
      <w:rPr>
        <w:rFonts w:ascii="Wingdings" w:hAnsi="Wingdings" w:hint="default"/>
      </w:rPr>
    </w:lvl>
    <w:lvl w:ilvl="3" w:tplc="0409000F" w:tentative="1">
      <w:start w:val="1"/>
      <w:numFmt w:val="bullet"/>
      <w:lvlText w:val=""/>
      <w:lvlJc w:val="left"/>
      <w:pPr>
        <w:tabs>
          <w:tab w:val="num" w:pos="3096"/>
        </w:tabs>
        <w:ind w:left="3096" w:hanging="360"/>
      </w:pPr>
      <w:rPr>
        <w:rFonts w:ascii="Symbol" w:hAnsi="Symbol" w:hint="default"/>
      </w:rPr>
    </w:lvl>
    <w:lvl w:ilvl="4" w:tplc="04090019" w:tentative="1">
      <w:start w:val="1"/>
      <w:numFmt w:val="bullet"/>
      <w:lvlText w:val="o"/>
      <w:lvlJc w:val="left"/>
      <w:pPr>
        <w:tabs>
          <w:tab w:val="num" w:pos="3816"/>
        </w:tabs>
        <w:ind w:left="3816" w:hanging="360"/>
      </w:pPr>
      <w:rPr>
        <w:rFonts w:ascii="Courier New" w:hAnsi="Courier New" w:hint="default"/>
      </w:rPr>
    </w:lvl>
    <w:lvl w:ilvl="5" w:tplc="0409001B" w:tentative="1">
      <w:start w:val="1"/>
      <w:numFmt w:val="bullet"/>
      <w:lvlText w:val=""/>
      <w:lvlJc w:val="left"/>
      <w:pPr>
        <w:tabs>
          <w:tab w:val="num" w:pos="4536"/>
        </w:tabs>
        <w:ind w:left="4536" w:hanging="360"/>
      </w:pPr>
      <w:rPr>
        <w:rFonts w:ascii="Wingdings" w:hAnsi="Wingdings" w:hint="default"/>
      </w:rPr>
    </w:lvl>
    <w:lvl w:ilvl="6" w:tplc="0409000F" w:tentative="1">
      <w:start w:val="1"/>
      <w:numFmt w:val="bullet"/>
      <w:lvlText w:val=""/>
      <w:lvlJc w:val="left"/>
      <w:pPr>
        <w:tabs>
          <w:tab w:val="num" w:pos="5256"/>
        </w:tabs>
        <w:ind w:left="5256" w:hanging="360"/>
      </w:pPr>
      <w:rPr>
        <w:rFonts w:ascii="Symbol" w:hAnsi="Symbol" w:hint="default"/>
      </w:rPr>
    </w:lvl>
    <w:lvl w:ilvl="7" w:tplc="04090019" w:tentative="1">
      <w:start w:val="1"/>
      <w:numFmt w:val="bullet"/>
      <w:lvlText w:val="o"/>
      <w:lvlJc w:val="left"/>
      <w:pPr>
        <w:tabs>
          <w:tab w:val="num" w:pos="5976"/>
        </w:tabs>
        <w:ind w:left="5976" w:hanging="360"/>
      </w:pPr>
      <w:rPr>
        <w:rFonts w:ascii="Courier New" w:hAnsi="Courier New" w:hint="default"/>
      </w:rPr>
    </w:lvl>
    <w:lvl w:ilvl="8" w:tplc="0409001B" w:tentative="1">
      <w:start w:val="1"/>
      <w:numFmt w:val="bullet"/>
      <w:lvlText w:val=""/>
      <w:lvlJc w:val="left"/>
      <w:pPr>
        <w:tabs>
          <w:tab w:val="num" w:pos="6696"/>
        </w:tabs>
        <w:ind w:left="6696" w:hanging="360"/>
      </w:pPr>
      <w:rPr>
        <w:rFonts w:ascii="Wingdings" w:hAnsi="Wingdings" w:hint="default"/>
      </w:rPr>
    </w:lvl>
  </w:abstractNum>
  <w:abstractNum w:abstractNumId="22" w15:restartNumberingAfterBreak="0">
    <w:nsid w:val="5D29300D"/>
    <w:multiLevelType w:val="multilevel"/>
    <w:tmpl w:val="08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5EA53A05"/>
    <w:multiLevelType w:val="multilevel"/>
    <w:tmpl w:val="DE12FF56"/>
    <w:lvl w:ilvl="0">
      <w:start w:val="1"/>
      <w:numFmt w:val="decimal"/>
      <w:pStyle w:val="NumHead1"/>
      <w:lvlText w:val="%1."/>
      <w:lvlJc w:val="left"/>
      <w:pPr>
        <w:tabs>
          <w:tab w:val="num" w:pos="340"/>
        </w:tabs>
        <w:ind w:left="340" w:hanging="340"/>
      </w:pPr>
      <w:rPr>
        <w:rFonts w:ascii="Arial" w:hAnsi="Arial" w:hint="default"/>
        <w:b w:val="0"/>
        <w:i w:val="0"/>
        <w:color w:val="003263"/>
        <w:sz w:val="32"/>
      </w:rPr>
    </w:lvl>
    <w:lvl w:ilvl="1">
      <w:start w:val="1"/>
      <w:numFmt w:val="decimal"/>
      <w:pStyle w:val="NumHead2"/>
      <w:lvlText w:val="%1.%2."/>
      <w:lvlJc w:val="left"/>
      <w:pPr>
        <w:tabs>
          <w:tab w:val="num" w:pos="340"/>
        </w:tabs>
        <w:ind w:left="340" w:hanging="340"/>
      </w:pPr>
      <w:rPr>
        <w:rFonts w:ascii="Arial" w:hAnsi="Arial" w:hint="default"/>
        <w:b w:val="0"/>
        <w:i w:val="0"/>
        <w:color w:val="0060A9"/>
        <w:sz w:val="25"/>
      </w:rPr>
    </w:lvl>
    <w:lvl w:ilvl="2">
      <w:start w:val="1"/>
      <w:numFmt w:val="decimal"/>
      <w:pStyle w:val="NumHead3"/>
      <w:lvlText w:val="%1.%2.%3."/>
      <w:lvlJc w:val="left"/>
      <w:pPr>
        <w:tabs>
          <w:tab w:val="num" w:pos="1224"/>
        </w:tabs>
        <w:ind w:left="1224" w:hanging="1224"/>
      </w:pPr>
      <w:rPr>
        <w:rFonts w:ascii="Arial" w:hAnsi="Arial" w:hint="default"/>
        <w:b w:val="0"/>
        <w:i w:val="0"/>
        <w:color w:val="0060A9"/>
        <w:sz w:val="22"/>
        <w:u w:val="none"/>
      </w:rPr>
    </w:lvl>
    <w:lvl w:ilvl="3">
      <w:start w:val="1"/>
      <w:numFmt w:val="decimal"/>
      <w:pStyle w:val="NumHead4"/>
      <w:lvlText w:val="%1.%2.%3.%4."/>
      <w:lvlJc w:val="left"/>
      <w:pPr>
        <w:tabs>
          <w:tab w:val="num" w:pos="1728"/>
        </w:tabs>
        <w:ind w:left="1728" w:hanging="1728"/>
      </w:pPr>
      <w:rPr>
        <w:rFonts w:ascii="Arial" w:hAnsi="Arial" w:hint="default"/>
        <w:b w:val="0"/>
        <w:i w:val="0"/>
        <w:color w:val="0060A9"/>
        <w:sz w:val="21"/>
      </w:rPr>
    </w:lvl>
    <w:lvl w:ilvl="4">
      <w:start w:val="1"/>
      <w:numFmt w:val="decimal"/>
      <w:pStyle w:val="NumHead5"/>
      <w:lvlText w:val="%1.%2.%3.%4.%5."/>
      <w:lvlJc w:val="left"/>
      <w:pPr>
        <w:tabs>
          <w:tab w:val="num" w:pos="2232"/>
        </w:tabs>
        <w:ind w:left="2232" w:hanging="2232"/>
      </w:pPr>
      <w:rPr>
        <w:rFonts w:ascii="Arial" w:hAnsi="Arial" w:hint="default"/>
        <w:b w:val="0"/>
        <w:i w:val="0"/>
        <w:color w:val="0060A9"/>
        <w:sz w:val="20"/>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4" w15:restartNumberingAfterBreak="0">
    <w:nsid w:val="5FBE4149"/>
    <w:multiLevelType w:val="multilevel"/>
    <w:tmpl w:val="182CC5EC"/>
    <w:styleLink w:val="NumHeadListAppendix"/>
    <w:lvl w:ilvl="0">
      <w:start w:val="1"/>
      <w:numFmt w:val="upperRoman"/>
      <w:lvlText w:val="%1."/>
      <w:lvlJc w:val="left"/>
      <w:pPr>
        <w:tabs>
          <w:tab w:val="num" w:pos="1008"/>
        </w:tabs>
        <w:ind w:left="1008" w:hanging="1008"/>
      </w:pPr>
      <w:rPr>
        <w:rFonts w:ascii="Arial Bold" w:hAnsi="Arial Bold" w:hint="default"/>
        <w:b/>
        <w:i w:val="0"/>
        <w:vanish/>
        <w:color w:val="FF0000"/>
        <w:sz w:val="20"/>
        <w:szCs w:val="20"/>
      </w:rPr>
    </w:lvl>
    <w:lvl w:ilvl="1">
      <w:start w:val="1"/>
      <w:numFmt w:val="lowerLetter"/>
      <w:lvlText w:val="%1.%2."/>
      <w:lvlJc w:val="left"/>
      <w:pPr>
        <w:tabs>
          <w:tab w:val="num" w:pos="1008"/>
        </w:tabs>
        <w:ind w:left="1008" w:hanging="1008"/>
      </w:pPr>
      <w:rPr>
        <w:rFonts w:ascii="Arial Bold" w:hAnsi="Arial Bold" w:hint="default"/>
        <w:b/>
        <w:i w:val="0"/>
        <w:color w:val="auto"/>
        <w:sz w:val="20"/>
        <w:szCs w:val="20"/>
      </w:rPr>
    </w:lvl>
    <w:lvl w:ilvl="2">
      <w:start w:val="1"/>
      <w:numFmt w:val="lowerLetter"/>
      <w:lvlText w:val="%1.%2.%3."/>
      <w:lvlJc w:val="left"/>
      <w:pPr>
        <w:tabs>
          <w:tab w:val="num" w:pos="1008"/>
        </w:tabs>
        <w:ind w:left="1008" w:hanging="1008"/>
      </w:pPr>
      <w:rPr>
        <w:rFonts w:ascii="Arial Bold" w:hAnsi="Arial Bold" w:hint="default"/>
        <w:b/>
        <w:i w:val="0"/>
        <w:color w:val="auto"/>
        <w:sz w:val="20"/>
        <w:szCs w:val="20"/>
      </w:rPr>
    </w:lvl>
    <w:lvl w:ilvl="3">
      <w:start w:val="1"/>
      <w:numFmt w:val="lowerLetter"/>
      <w:lvlText w:val="%1.%2.%3.%4."/>
      <w:lvlJc w:val="left"/>
      <w:pPr>
        <w:tabs>
          <w:tab w:val="num" w:pos="1008"/>
        </w:tabs>
        <w:ind w:left="1008" w:hanging="1008"/>
      </w:pPr>
      <w:rPr>
        <w:rFonts w:ascii="Arial Bold" w:hAnsi="Arial Bold" w:hint="default"/>
        <w:b/>
        <w:i w:val="0"/>
        <w:color w:val="auto"/>
        <w:sz w:val="20"/>
        <w:szCs w:val="20"/>
      </w:rPr>
    </w:lvl>
    <w:lvl w:ilvl="4">
      <w:start w:val="1"/>
      <w:numFmt w:val="lowerLetter"/>
      <w:lvlText w:val="%1.%2.%3.%4.%5."/>
      <w:lvlJc w:val="left"/>
      <w:pPr>
        <w:tabs>
          <w:tab w:val="num" w:pos="1008"/>
        </w:tabs>
        <w:ind w:left="1008" w:hanging="1008"/>
      </w:pPr>
      <w:rPr>
        <w:rFonts w:ascii="Arial Bold" w:hAnsi="Arial Bold" w:hint="default"/>
        <w:b/>
        <w:i w:val="0"/>
        <w:color w:val="auto"/>
        <w:sz w:val="20"/>
        <w:szCs w:val="20"/>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60881325"/>
    <w:multiLevelType w:val="hybridMultilevel"/>
    <w:tmpl w:val="42E60554"/>
    <w:lvl w:ilvl="0" w:tplc="46AEE8B8">
      <w:start w:val="1"/>
      <w:numFmt w:val="lowerLetter"/>
      <w:pStyle w:val="Question3"/>
      <w:lvlText w:val="%1."/>
      <w:lvlJc w:val="left"/>
      <w:pPr>
        <w:tabs>
          <w:tab w:val="num" w:pos="360"/>
        </w:tabs>
        <w:ind w:left="360" w:hanging="360"/>
      </w:pPr>
      <w:rPr>
        <w:rFonts w:ascii="Verdana" w:hAnsi="Verdana" w:hint="default"/>
        <w:b/>
        <w:i w:val="0"/>
        <w:color w:val="0060A9"/>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8152E42"/>
    <w:multiLevelType w:val="hybridMultilevel"/>
    <w:tmpl w:val="4C282EF6"/>
    <w:lvl w:ilvl="0" w:tplc="85E065AC">
      <w:start w:val="1"/>
      <w:numFmt w:val="lowerLetter"/>
      <w:pStyle w:val="List2"/>
      <w:lvlText w:val="%1."/>
      <w:lvlJc w:val="left"/>
      <w:pPr>
        <w:tabs>
          <w:tab w:val="num" w:pos="680"/>
        </w:tabs>
        <w:ind w:left="680" w:hanging="340"/>
      </w:pPr>
      <w:rPr>
        <w:rFonts w:ascii="Arial Bold" w:hAnsi="Arial Bold" w:hint="default"/>
        <w:b/>
        <w:i w:val="0"/>
        <w:color w:val="0060A9"/>
        <w:sz w:val="16"/>
        <w:u w:val="none"/>
      </w:rPr>
    </w:lvl>
    <w:lvl w:ilvl="1" w:tplc="04090019" w:tentative="1">
      <w:start w:val="1"/>
      <w:numFmt w:val="lowerLetter"/>
      <w:lvlText w:val="%2."/>
      <w:lvlJc w:val="left"/>
      <w:pPr>
        <w:tabs>
          <w:tab w:val="num" w:pos="1008"/>
        </w:tabs>
        <w:ind w:left="1008" w:hanging="360"/>
      </w:pPr>
    </w:lvl>
    <w:lvl w:ilvl="2" w:tplc="0409001B" w:tentative="1">
      <w:start w:val="1"/>
      <w:numFmt w:val="lowerRoman"/>
      <w:lvlText w:val="%3."/>
      <w:lvlJc w:val="right"/>
      <w:pPr>
        <w:tabs>
          <w:tab w:val="num" w:pos="1728"/>
        </w:tabs>
        <w:ind w:left="1728" w:hanging="180"/>
      </w:pPr>
    </w:lvl>
    <w:lvl w:ilvl="3" w:tplc="0409000F" w:tentative="1">
      <w:start w:val="1"/>
      <w:numFmt w:val="decimal"/>
      <w:lvlText w:val="%4."/>
      <w:lvlJc w:val="left"/>
      <w:pPr>
        <w:tabs>
          <w:tab w:val="num" w:pos="2448"/>
        </w:tabs>
        <w:ind w:left="2448" w:hanging="360"/>
      </w:pPr>
    </w:lvl>
    <w:lvl w:ilvl="4" w:tplc="04090019" w:tentative="1">
      <w:start w:val="1"/>
      <w:numFmt w:val="lowerLetter"/>
      <w:lvlText w:val="%5."/>
      <w:lvlJc w:val="left"/>
      <w:pPr>
        <w:tabs>
          <w:tab w:val="num" w:pos="3168"/>
        </w:tabs>
        <w:ind w:left="3168" w:hanging="360"/>
      </w:pPr>
    </w:lvl>
    <w:lvl w:ilvl="5" w:tplc="0409001B" w:tentative="1">
      <w:start w:val="1"/>
      <w:numFmt w:val="lowerRoman"/>
      <w:lvlText w:val="%6."/>
      <w:lvlJc w:val="right"/>
      <w:pPr>
        <w:tabs>
          <w:tab w:val="num" w:pos="3888"/>
        </w:tabs>
        <w:ind w:left="3888" w:hanging="180"/>
      </w:pPr>
    </w:lvl>
    <w:lvl w:ilvl="6" w:tplc="0409000F" w:tentative="1">
      <w:start w:val="1"/>
      <w:numFmt w:val="decimal"/>
      <w:lvlText w:val="%7."/>
      <w:lvlJc w:val="left"/>
      <w:pPr>
        <w:tabs>
          <w:tab w:val="num" w:pos="4608"/>
        </w:tabs>
        <w:ind w:left="4608" w:hanging="360"/>
      </w:pPr>
    </w:lvl>
    <w:lvl w:ilvl="7" w:tplc="04090019" w:tentative="1">
      <w:start w:val="1"/>
      <w:numFmt w:val="lowerLetter"/>
      <w:lvlText w:val="%8."/>
      <w:lvlJc w:val="left"/>
      <w:pPr>
        <w:tabs>
          <w:tab w:val="num" w:pos="5328"/>
        </w:tabs>
        <w:ind w:left="5328" w:hanging="360"/>
      </w:pPr>
    </w:lvl>
    <w:lvl w:ilvl="8" w:tplc="0409001B" w:tentative="1">
      <w:start w:val="1"/>
      <w:numFmt w:val="lowerRoman"/>
      <w:lvlText w:val="%9."/>
      <w:lvlJc w:val="right"/>
      <w:pPr>
        <w:tabs>
          <w:tab w:val="num" w:pos="6048"/>
        </w:tabs>
        <w:ind w:left="6048" w:hanging="180"/>
      </w:pPr>
    </w:lvl>
  </w:abstractNum>
  <w:abstractNum w:abstractNumId="27" w15:restartNumberingAfterBreak="0">
    <w:nsid w:val="687408E2"/>
    <w:multiLevelType w:val="hybridMultilevel"/>
    <w:tmpl w:val="51AEDAC0"/>
    <w:lvl w:ilvl="0" w:tplc="B18CBFCA">
      <w:start w:val="1"/>
      <w:numFmt w:val="bullet"/>
      <w:pStyle w:val="ListBullet"/>
      <w:lvlText w:val=""/>
      <w:lvlJc w:val="left"/>
      <w:pPr>
        <w:tabs>
          <w:tab w:val="num" w:pos="340"/>
        </w:tabs>
        <w:ind w:left="340" w:hanging="340"/>
      </w:pPr>
      <w:rPr>
        <w:rFonts w:ascii="Wingdings" w:hAnsi="Wingdings" w:hint="default"/>
        <w:b w:val="0"/>
        <w:i w:val="0"/>
        <w:color w:val="0060A9"/>
        <w:w w:val="100"/>
        <w:sz w:val="20"/>
      </w:rPr>
    </w:lvl>
    <w:lvl w:ilvl="1" w:tplc="08090003">
      <w:start w:val="1"/>
      <w:numFmt w:val="bullet"/>
      <w:lvlText w:val="o"/>
      <w:lvlJc w:val="left"/>
      <w:pPr>
        <w:tabs>
          <w:tab w:val="num" w:pos="1224"/>
        </w:tabs>
        <w:ind w:left="1224" w:hanging="360"/>
      </w:pPr>
      <w:rPr>
        <w:rFonts w:ascii="Courier New" w:hAnsi="Courier New" w:cs="Courier New" w:hint="default"/>
      </w:rPr>
    </w:lvl>
    <w:lvl w:ilvl="2" w:tplc="08090005" w:tentative="1">
      <w:start w:val="1"/>
      <w:numFmt w:val="bullet"/>
      <w:lvlText w:val=""/>
      <w:lvlJc w:val="left"/>
      <w:pPr>
        <w:tabs>
          <w:tab w:val="num" w:pos="1944"/>
        </w:tabs>
        <w:ind w:left="1944" w:hanging="360"/>
      </w:pPr>
      <w:rPr>
        <w:rFonts w:ascii="Wingdings" w:hAnsi="Wingdings" w:hint="default"/>
      </w:rPr>
    </w:lvl>
    <w:lvl w:ilvl="3" w:tplc="08090001" w:tentative="1">
      <w:start w:val="1"/>
      <w:numFmt w:val="bullet"/>
      <w:lvlText w:val=""/>
      <w:lvlJc w:val="left"/>
      <w:pPr>
        <w:tabs>
          <w:tab w:val="num" w:pos="2664"/>
        </w:tabs>
        <w:ind w:left="2664" w:hanging="360"/>
      </w:pPr>
      <w:rPr>
        <w:rFonts w:ascii="Symbol" w:hAnsi="Symbol" w:hint="default"/>
      </w:rPr>
    </w:lvl>
    <w:lvl w:ilvl="4" w:tplc="08090003" w:tentative="1">
      <w:start w:val="1"/>
      <w:numFmt w:val="bullet"/>
      <w:lvlText w:val="o"/>
      <w:lvlJc w:val="left"/>
      <w:pPr>
        <w:tabs>
          <w:tab w:val="num" w:pos="3384"/>
        </w:tabs>
        <w:ind w:left="3384" w:hanging="360"/>
      </w:pPr>
      <w:rPr>
        <w:rFonts w:ascii="Courier New" w:hAnsi="Courier New" w:cs="Courier New" w:hint="default"/>
      </w:rPr>
    </w:lvl>
    <w:lvl w:ilvl="5" w:tplc="08090005" w:tentative="1">
      <w:start w:val="1"/>
      <w:numFmt w:val="bullet"/>
      <w:lvlText w:val=""/>
      <w:lvlJc w:val="left"/>
      <w:pPr>
        <w:tabs>
          <w:tab w:val="num" w:pos="4104"/>
        </w:tabs>
        <w:ind w:left="4104" w:hanging="360"/>
      </w:pPr>
      <w:rPr>
        <w:rFonts w:ascii="Wingdings" w:hAnsi="Wingdings" w:hint="default"/>
      </w:rPr>
    </w:lvl>
    <w:lvl w:ilvl="6" w:tplc="08090001" w:tentative="1">
      <w:start w:val="1"/>
      <w:numFmt w:val="bullet"/>
      <w:lvlText w:val=""/>
      <w:lvlJc w:val="left"/>
      <w:pPr>
        <w:tabs>
          <w:tab w:val="num" w:pos="4824"/>
        </w:tabs>
        <w:ind w:left="4824" w:hanging="360"/>
      </w:pPr>
      <w:rPr>
        <w:rFonts w:ascii="Symbol" w:hAnsi="Symbol" w:hint="default"/>
      </w:rPr>
    </w:lvl>
    <w:lvl w:ilvl="7" w:tplc="08090003" w:tentative="1">
      <w:start w:val="1"/>
      <w:numFmt w:val="bullet"/>
      <w:lvlText w:val="o"/>
      <w:lvlJc w:val="left"/>
      <w:pPr>
        <w:tabs>
          <w:tab w:val="num" w:pos="5544"/>
        </w:tabs>
        <w:ind w:left="5544" w:hanging="360"/>
      </w:pPr>
      <w:rPr>
        <w:rFonts w:ascii="Courier New" w:hAnsi="Courier New" w:cs="Courier New" w:hint="default"/>
      </w:rPr>
    </w:lvl>
    <w:lvl w:ilvl="8" w:tplc="08090005" w:tentative="1">
      <w:start w:val="1"/>
      <w:numFmt w:val="bullet"/>
      <w:lvlText w:val=""/>
      <w:lvlJc w:val="left"/>
      <w:pPr>
        <w:tabs>
          <w:tab w:val="num" w:pos="6264"/>
        </w:tabs>
        <w:ind w:left="6264" w:hanging="360"/>
      </w:pPr>
      <w:rPr>
        <w:rFonts w:ascii="Wingdings" w:hAnsi="Wingdings" w:hint="default"/>
      </w:rPr>
    </w:lvl>
  </w:abstractNum>
  <w:abstractNum w:abstractNumId="28" w15:restartNumberingAfterBreak="0">
    <w:nsid w:val="781352F0"/>
    <w:multiLevelType w:val="hybridMultilevel"/>
    <w:tmpl w:val="AD10E762"/>
    <w:lvl w:ilvl="0" w:tplc="23FAA4B8">
      <w:start w:val="1"/>
      <w:numFmt w:val="bullet"/>
      <w:pStyle w:val="Question4"/>
      <w:lvlText w:val=""/>
      <w:lvlJc w:val="left"/>
      <w:pPr>
        <w:tabs>
          <w:tab w:val="num" w:pos="717"/>
        </w:tabs>
        <w:ind w:left="717" w:hanging="360"/>
      </w:pPr>
      <w:rPr>
        <w:rFonts w:ascii="Wingdings" w:hAnsi="Wingdings" w:hint="default"/>
        <w:b w:val="0"/>
        <w:i w:val="0"/>
        <w:color w:val="0060A9"/>
        <w:spacing w:val="0"/>
        <w:w w:val="100"/>
        <w:kern w:val="0"/>
        <w:position w:val="0"/>
        <w:sz w:val="16"/>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E7D5FDF"/>
    <w:multiLevelType w:val="hybridMultilevel"/>
    <w:tmpl w:val="3864BCDA"/>
    <w:lvl w:ilvl="0" w:tplc="2848CCF6">
      <w:start w:val="1"/>
      <w:numFmt w:val="bullet"/>
      <w:pStyle w:val="TableBullet1"/>
      <w:lvlText w:val=""/>
      <w:lvlJc w:val="left"/>
      <w:pPr>
        <w:tabs>
          <w:tab w:val="num" w:pos="199"/>
        </w:tabs>
        <w:ind w:left="199" w:hanging="199"/>
      </w:pPr>
      <w:rPr>
        <w:rFonts w:ascii="Wingdings" w:hAnsi="Wingdings" w:hint="default"/>
        <w:b w:val="0"/>
        <w:i w:val="0"/>
        <w:color w:val="0060A9"/>
        <w:spacing w:val="0"/>
        <w:w w:val="100"/>
        <w:kern w:val="0"/>
        <w:position w:val="0"/>
        <w:sz w:val="16"/>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7312510">
    <w:abstractNumId w:val="5"/>
  </w:num>
  <w:num w:numId="2" w16cid:durableId="852454433">
    <w:abstractNumId w:val="20"/>
  </w:num>
  <w:num w:numId="3" w16cid:durableId="566645358">
    <w:abstractNumId w:val="22"/>
  </w:num>
  <w:num w:numId="4" w16cid:durableId="1560744490">
    <w:abstractNumId w:val="13"/>
  </w:num>
  <w:num w:numId="5" w16cid:durableId="1339965497">
    <w:abstractNumId w:val="6"/>
  </w:num>
  <w:num w:numId="6" w16cid:durableId="1127940101">
    <w:abstractNumId w:val="26"/>
  </w:num>
  <w:num w:numId="7" w16cid:durableId="1757052199">
    <w:abstractNumId w:val="18"/>
  </w:num>
  <w:num w:numId="8" w16cid:durableId="1754928951">
    <w:abstractNumId w:val="14"/>
  </w:num>
  <w:num w:numId="9" w16cid:durableId="1535315163">
    <w:abstractNumId w:val="27"/>
  </w:num>
  <w:num w:numId="10" w16cid:durableId="467743230">
    <w:abstractNumId w:val="7"/>
  </w:num>
  <w:num w:numId="11" w16cid:durableId="1309743998">
    <w:abstractNumId w:val="12"/>
  </w:num>
  <w:num w:numId="12" w16cid:durableId="1266378007">
    <w:abstractNumId w:val="4"/>
  </w:num>
  <w:num w:numId="13" w16cid:durableId="800852164">
    <w:abstractNumId w:val="3"/>
  </w:num>
  <w:num w:numId="14" w16cid:durableId="1426344960">
    <w:abstractNumId w:val="9"/>
  </w:num>
  <w:num w:numId="15" w16cid:durableId="1433628472">
    <w:abstractNumId w:val="2"/>
  </w:num>
  <w:num w:numId="16" w16cid:durableId="1892493986">
    <w:abstractNumId w:val="1"/>
  </w:num>
  <w:num w:numId="17" w16cid:durableId="1138762159">
    <w:abstractNumId w:val="0"/>
  </w:num>
  <w:num w:numId="18" w16cid:durableId="190581992">
    <w:abstractNumId w:val="23"/>
  </w:num>
  <w:num w:numId="19" w16cid:durableId="577138269">
    <w:abstractNumId w:val="24"/>
  </w:num>
  <w:num w:numId="20" w16cid:durableId="363868840">
    <w:abstractNumId w:val="11"/>
    <w:lvlOverride w:ilvl="1">
      <w:lvl w:ilvl="1">
        <w:start w:val="1"/>
        <w:numFmt w:val="decimal"/>
        <w:isLgl/>
        <w:lvlText w:val="%1.%2."/>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isLgl/>
        <w:lvlText w:val="%1.%2.%3."/>
        <w:lvlJc w:val="left"/>
        <w:pPr>
          <w:tabs>
            <w:tab w:val="num" w:pos="1008"/>
          </w:tabs>
          <w:ind w:left="1008" w:hanging="1008"/>
        </w:pPr>
        <w:rPr>
          <w:rFonts w:ascii="Arial" w:hAnsi="Arial" w:hint="default"/>
          <w:b w:val="0"/>
          <w:i w:val="0"/>
          <w:color w:val="0060A9"/>
          <w:sz w:val="22"/>
          <w:szCs w:val="20"/>
        </w:rPr>
      </w:lvl>
    </w:lvlOverride>
    <w:lvlOverride w:ilvl="3">
      <w:lvl w:ilvl="3">
        <w:start w:val="1"/>
        <w:numFmt w:val="decimal"/>
        <w:isLgl/>
        <w:lvlText w:val="%1.%2.%3.%4."/>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decimal"/>
        <w:isLgl/>
        <w:lvlText w:val="%1.%2.%3.%4.%5."/>
        <w:lvlJc w:val="left"/>
        <w:pPr>
          <w:tabs>
            <w:tab w:val="num" w:pos="1008"/>
          </w:tabs>
          <w:ind w:left="1008" w:hanging="1008"/>
        </w:pPr>
        <w:rPr>
          <w:rFonts w:ascii="Arial" w:hAnsi="Arial" w:hint="default"/>
          <w:color w:val="0060A9"/>
          <w:sz w:val="20"/>
          <w:szCs w:val="20"/>
        </w:rPr>
      </w:lvl>
    </w:lvlOverride>
  </w:num>
  <w:num w:numId="21" w16cid:durableId="1114445120">
    <w:abstractNumId w:val="16"/>
    <w:lvlOverride w:ilvl="0">
      <w:startOverride w:val="1"/>
    </w:lvlOverride>
  </w:num>
  <w:num w:numId="22" w16cid:durableId="579868872">
    <w:abstractNumId w:val="25"/>
    <w:lvlOverride w:ilvl="0">
      <w:startOverride w:val="1"/>
    </w:lvlOverride>
  </w:num>
  <w:num w:numId="23" w16cid:durableId="2054889922">
    <w:abstractNumId w:val="28"/>
  </w:num>
  <w:num w:numId="24" w16cid:durableId="647057666">
    <w:abstractNumId w:val="10"/>
  </w:num>
  <w:num w:numId="25" w16cid:durableId="2080127381">
    <w:abstractNumId w:val="29"/>
  </w:num>
  <w:num w:numId="26" w16cid:durableId="356465705">
    <w:abstractNumId w:val="21"/>
  </w:num>
  <w:num w:numId="27" w16cid:durableId="899249079">
    <w:abstractNumId w:val="15"/>
  </w:num>
  <w:num w:numId="28" w16cid:durableId="2040088058">
    <w:abstractNumId w:val="19"/>
  </w:num>
  <w:num w:numId="29" w16cid:durableId="1780565830">
    <w:abstractNumId w:val="11"/>
  </w:num>
  <w:num w:numId="30" w16cid:durableId="405763411">
    <w:abstractNumId w:val="17"/>
  </w:num>
  <w:num w:numId="31" w16cid:durableId="1614172259">
    <w:abstractNumId w:val="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1"/>
  <w:embedTrueType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0"/>
  <w:drawingGridHorizontalSpacing w:val="43"/>
  <w:noPunctuationKerning/>
  <w:characterSpacingControl w:val="doNotCompress"/>
  <w:hdrShapeDefaults>
    <o:shapedefaults v:ext="edit" spidmax="2050">
      <o:colormru v:ext="edit" colors="#eaeaea,#005daa,#13b5ea,#c9c1b8,#ebd722,#002b5c,black,#808184"/>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randing" w:val="Deutsche Bank"/>
    <w:docVar w:name="CreatorVersion" w:val="3.0"/>
    <w:docVar w:name="DocType" w:val="Portrait Book"/>
    <w:docVar w:name="NewDoc" w:val="False"/>
  </w:docVars>
  <w:rsids>
    <w:rsidRoot w:val="008A4165"/>
    <w:rsid w:val="000007C4"/>
    <w:rsid w:val="00003C0C"/>
    <w:rsid w:val="00004213"/>
    <w:rsid w:val="000050E9"/>
    <w:rsid w:val="0000570B"/>
    <w:rsid w:val="00011066"/>
    <w:rsid w:val="000121EF"/>
    <w:rsid w:val="000122CD"/>
    <w:rsid w:val="00012B5F"/>
    <w:rsid w:val="00014743"/>
    <w:rsid w:val="0001642A"/>
    <w:rsid w:val="0001753A"/>
    <w:rsid w:val="000225AB"/>
    <w:rsid w:val="00022A0E"/>
    <w:rsid w:val="0002312F"/>
    <w:rsid w:val="0002317B"/>
    <w:rsid w:val="00023D60"/>
    <w:rsid w:val="000259C0"/>
    <w:rsid w:val="0002629E"/>
    <w:rsid w:val="000268D0"/>
    <w:rsid w:val="000310D5"/>
    <w:rsid w:val="00031D31"/>
    <w:rsid w:val="00032802"/>
    <w:rsid w:val="000366CF"/>
    <w:rsid w:val="00037870"/>
    <w:rsid w:val="000410ED"/>
    <w:rsid w:val="0004154E"/>
    <w:rsid w:val="00042048"/>
    <w:rsid w:val="00042A27"/>
    <w:rsid w:val="00043BAD"/>
    <w:rsid w:val="00044595"/>
    <w:rsid w:val="00045EDB"/>
    <w:rsid w:val="000526FE"/>
    <w:rsid w:val="00055935"/>
    <w:rsid w:val="00057E3B"/>
    <w:rsid w:val="00061671"/>
    <w:rsid w:val="0006318A"/>
    <w:rsid w:val="000632F5"/>
    <w:rsid w:val="000641A7"/>
    <w:rsid w:val="000646AC"/>
    <w:rsid w:val="00064A90"/>
    <w:rsid w:val="00067651"/>
    <w:rsid w:val="00071984"/>
    <w:rsid w:val="00077257"/>
    <w:rsid w:val="00077A21"/>
    <w:rsid w:val="00077BD4"/>
    <w:rsid w:val="00080654"/>
    <w:rsid w:val="00081CA6"/>
    <w:rsid w:val="0008352D"/>
    <w:rsid w:val="000839ED"/>
    <w:rsid w:val="00083BA5"/>
    <w:rsid w:val="00083DE3"/>
    <w:rsid w:val="00084C8A"/>
    <w:rsid w:val="00085AB8"/>
    <w:rsid w:val="00087308"/>
    <w:rsid w:val="000876FE"/>
    <w:rsid w:val="00094184"/>
    <w:rsid w:val="0009622C"/>
    <w:rsid w:val="00096C86"/>
    <w:rsid w:val="000A38F2"/>
    <w:rsid w:val="000A3F61"/>
    <w:rsid w:val="000B0E1D"/>
    <w:rsid w:val="000B291C"/>
    <w:rsid w:val="000B3D2C"/>
    <w:rsid w:val="000B50A9"/>
    <w:rsid w:val="000B5590"/>
    <w:rsid w:val="000B7A3E"/>
    <w:rsid w:val="000C57F6"/>
    <w:rsid w:val="000D0EBE"/>
    <w:rsid w:val="000D23AD"/>
    <w:rsid w:val="000D249A"/>
    <w:rsid w:val="000D29AB"/>
    <w:rsid w:val="000D7508"/>
    <w:rsid w:val="000D7DAE"/>
    <w:rsid w:val="000E20FA"/>
    <w:rsid w:val="000E2D2A"/>
    <w:rsid w:val="000E455F"/>
    <w:rsid w:val="000E47F9"/>
    <w:rsid w:val="000E6197"/>
    <w:rsid w:val="000F475F"/>
    <w:rsid w:val="000F486B"/>
    <w:rsid w:val="000F4C2C"/>
    <w:rsid w:val="000F4CCF"/>
    <w:rsid w:val="000F4FD3"/>
    <w:rsid w:val="001011AC"/>
    <w:rsid w:val="00105B09"/>
    <w:rsid w:val="001075C4"/>
    <w:rsid w:val="00107933"/>
    <w:rsid w:val="001104AE"/>
    <w:rsid w:val="00110932"/>
    <w:rsid w:val="00111831"/>
    <w:rsid w:val="00111CA8"/>
    <w:rsid w:val="00112CE6"/>
    <w:rsid w:val="0011412F"/>
    <w:rsid w:val="00115814"/>
    <w:rsid w:val="00116F21"/>
    <w:rsid w:val="00116FFF"/>
    <w:rsid w:val="001212D6"/>
    <w:rsid w:val="00122076"/>
    <w:rsid w:val="00123298"/>
    <w:rsid w:val="00124420"/>
    <w:rsid w:val="001248B8"/>
    <w:rsid w:val="001303DF"/>
    <w:rsid w:val="00130ADC"/>
    <w:rsid w:val="0013170B"/>
    <w:rsid w:val="00131FA0"/>
    <w:rsid w:val="001333E9"/>
    <w:rsid w:val="0013406E"/>
    <w:rsid w:val="00136AB8"/>
    <w:rsid w:val="001413C2"/>
    <w:rsid w:val="00141791"/>
    <w:rsid w:val="001438E4"/>
    <w:rsid w:val="00144A34"/>
    <w:rsid w:val="0014553D"/>
    <w:rsid w:val="00146229"/>
    <w:rsid w:val="00146EA2"/>
    <w:rsid w:val="00147E12"/>
    <w:rsid w:val="00150B66"/>
    <w:rsid w:val="00150F43"/>
    <w:rsid w:val="00152B5E"/>
    <w:rsid w:val="00153538"/>
    <w:rsid w:val="001543B6"/>
    <w:rsid w:val="00155280"/>
    <w:rsid w:val="00155323"/>
    <w:rsid w:val="00155D44"/>
    <w:rsid w:val="0015790E"/>
    <w:rsid w:val="00161CEE"/>
    <w:rsid w:val="00162219"/>
    <w:rsid w:val="00163B5B"/>
    <w:rsid w:val="001670F3"/>
    <w:rsid w:val="00170088"/>
    <w:rsid w:val="00171173"/>
    <w:rsid w:val="001725FE"/>
    <w:rsid w:val="00172E2E"/>
    <w:rsid w:val="00173806"/>
    <w:rsid w:val="00173B69"/>
    <w:rsid w:val="001748C7"/>
    <w:rsid w:val="00175434"/>
    <w:rsid w:val="001754CF"/>
    <w:rsid w:val="00176B4A"/>
    <w:rsid w:val="00181BC5"/>
    <w:rsid w:val="001833FF"/>
    <w:rsid w:val="001858D9"/>
    <w:rsid w:val="00185FA9"/>
    <w:rsid w:val="00187009"/>
    <w:rsid w:val="001875BF"/>
    <w:rsid w:val="001878FF"/>
    <w:rsid w:val="0019025A"/>
    <w:rsid w:val="00193527"/>
    <w:rsid w:val="0019791B"/>
    <w:rsid w:val="001A2D88"/>
    <w:rsid w:val="001A4C79"/>
    <w:rsid w:val="001A66C2"/>
    <w:rsid w:val="001B0846"/>
    <w:rsid w:val="001B2BEE"/>
    <w:rsid w:val="001B2DF8"/>
    <w:rsid w:val="001B788E"/>
    <w:rsid w:val="001C07E6"/>
    <w:rsid w:val="001C08D3"/>
    <w:rsid w:val="001C1B6D"/>
    <w:rsid w:val="001C256F"/>
    <w:rsid w:val="001C4478"/>
    <w:rsid w:val="001C746F"/>
    <w:rsid w:val="001D0A4F"/>
    <w:rsid w:val="001D0EB0"/>
    <w:rsid w:val="001D16D8"/>
    <w:rsid w:val="001D1FFE"/>
    <w:rsid w:val="001D2867"/>
    <w:rsid w:val="001D341D"/>
    <w:rsid w:val="001D6616"/>
    <w:rsid w:val="001D6A4C"/>
    <w:rsid w:val="001D6BB3"/>
    <w:rsid w:val="001E19C3"/>
    <w:rsid w:val="001E3270"/>
    <w:rsid w:val="001F5613"/>
    <w:rsid w:val="001F662F"/>
    <w:rsid w:val="001F6DA2"/>
    <w:rsid w:val="001F7CAA"/>
    <w:rsid w:val="00200F0F"/>
    <w:rsid w:val="00201273"/>
    <w:rsid w:val="00201CB6"/>
    <w:rsid w:val="002021F0"/>
    <w:rsid w:val="00203DF5"/>
    <w:rsid w:val="00210BF9"/>
    <w:rsid w:val="0021305B"/>
    <w:rsid w:val="00215D4B"/>
    <w:rsid w:val="00216056"/>
    <w:rsid w:val="00217A23"/>
    <w:rsid w:val="00220C0A"/>
    <w:rsid w:val="00221F0F"/>
    <w:rsid w:val="0022325A"/>
    <w:rsid w:val="00223F30"/>
    <w:rsid w:val="0022753D"/>
    <w:rsid w:val="00230536"/>
    <w:rsid w:val="002305AA"/>
    <w:rsid w:val="0023351A"/>
    <w:rsid w:val="00233AA1"/>
    <w:rsid w:val="0023470B"/>
    <w:rsid w:val="00234717"/>
    <w:rsid w:val="002430B9"/>
    <w:rsid w:val="00252325"/>
    <w:rsid w:val="00253517"/>
    <w:rsid w:val="00253632"/>
    <w:rsid w:val="00255C13"/>
    <w:rsid w:val="00256495"/>
    <w:rsid w:val="002643AB"/>
    <w:rsid w:val="002648CF"/>
    <w:rsid w:val="0026619A"/>
    <w:rsid w:val="00266C64"/>
    <w:rsid w:val="00267F35"/>
    <w:rsid w:val="0027070B"/>
    <w:rsid w:val="00273260"/>
    <w:rsid w:val="00274797"/>
    <w:rsid w:val="00276825"/>
    <w:rsid w:val="00280B20"/>
    <w:rsid w:val="00283865"/>
    <w:rsid w:val="00284A35"/>
    <w:rsid w:val="00285286"/>
    <w:rsid w:val="002877E7"/>
    <w:rsid w:val="002944A8"/>
    <w:rsid w:val="002A5950"/>
    <w:rsid w:val="002A5A99"/>
    <w:rsid w:val="002A785B"/>
    <w:rsid w:val="002A7E00"/>
    <w:rsid w:val="002B098C"/>
    <w:rsid w:val="002B1128"/>
    <w:rsid w:val="002B1887"/>
    <w:rsid w:val="002B311B"/>
    <w:rsid w:val="002B36E1"/>
    <w:rsid w:val="002B5ADC"/>
    <w:rsid w:val="002B6824"/>
    <w:rsid w:val="002C03B4"/>
    <w:rsid w:val="002C1C26"/>
    <w:rsid w:val="002C3FA6"/>
    <w:rsid w:val="002C4A09"/>
    <w:rsid w:val="002D2DF3"/>
    <w:rsid w:val="002D427C"/>
    <w:rsid w:val="002D5DB2"/>
    <w:rsid w:val="002D5DD6"/>
    <w:rsid w:val="002D6110"/>
    <w:rsid w:val="002D6246"/>
    <w:rsid w:val="002D6DE6"/>
    <w:rsid w:val="002D7C30"/>
    <w:rsid w:val="002E0D36"/>
    <w:rsid w:val="002E1696"/>
    <w:rsid w:val="002E2274"/>
    <w:rsid w:val="002E3544"/>
    <w:rsid w:val="002E7028"/>
    <w:rsid w:val="002F1594"/>
    <w:rsid w:val="002F2D08"/>
    <w:rsid w:val="002F3E27"/>
    <w:rsid w:val="003000B1"/>
    <w:rsid w:val="00300DBA"/>
    <w:rsid w:val="00301EA4"/>
    <w:rsid w:val="00302C35"/>
    <w:rsid w:val="00306043"/>
    <w:rsid w:val="00306D73"/>
    <w:rsid w:val="003073DA"/>
    <w:rsid w:val="0030752F"/>
    <w:rsid w:val="00310237"/>
    <w:rsid w:val="003109CF"/>
    <w:rsid w:val="0031609F"/>
    <w:rsid w:val="003172E1"/>
    <w:rsid w:val="00320C34"/>
    <w:rsid w:val="00321100"/>
    <w:rsid w:val="00323A87"/>
    <w:rsid w:val="00324579"/>
    <w:rsid w:val="00324987"/>
    <w:rsid w:val="00324EB1"/>
    <w:rsid w:val="00325FEC"/>
    <w:rsid w:val="003278BD"/>
    <w:rsid w:val="00330CAF"/>
    <w:rsid w:val="0033128B"/>
    <w:rsid w:val="00333BFF"/>
    <w:rsid w:val="00335705"/>
    <w:rsid w:val="003359F8"/>
    <w:rsid w:val="0034095B"/>
    <w:rsid w:val="00340D0B"/>
    <w:rsid w:val="00342129"/>
    <w:rsid w:val="003437F4"/>
    <w:rsid w:val="00344BD9"/>
    <w:rsid w:val="003475B3"/>
    <w:rsid w:val="003476D5"/>
    <w:rsid w:val="00350012"/>
    <w:rsid w:val="00350945"/>
    <w:rsid w:val="00351746"/>
    <w:rsid w:val="00352E52"/>
    <w:rsid w:val="00353E9C"/>
    <w:rsid w:val="003545BE"/>
    <w:rsid w:val="00356FEA"/>
    <w:rsid w:val="00360193"/>
    <w:rsid w:val="00362288"/>
    <w:rsid w:val="003631C7"/>
    <w:rsid w:val="0036385B"/>
    <w:rsid w:val="00363F17"/>
    <w:rsid w:val="00365FE0"/>
    <w:rsid w:val="003678E8"/>
    <w:rsid w:val="00370F3C"/>
    <w:rsid w:val="00372480"/>
    <w:rsid w:val="00377163"/>
    <w:rsid w:val="003773CE"/>
    <w:rsid w:val="00380ABE"/>
    <w:rsid w:val="003820F3"/>
    <w:rsid w:val="00382176"/>
    <w:rsid w:val="00384D68"/>
    <w:rsid w:val="003856F0"/>
    <w:rsid w:val="00385A2B"/>
    <w:rsid w:val="0039086D"/>
    <w:rsid w:val="0039100E"/>
    <w:rsid w:val="0039392B"/>
    <w:rsid w:val="0039548C"/>
    <w:rsid w:val="003954E7"/>
    <w:rsid w:val="00395A9D"/>
    <w:rsid w:val="0039607A"/>
    <w:rsid w:val="0039620E"/>
    <w:rsid w:val="0039777B"/>
    <w:rsid w:val="003A0C05"/>
    <w:rsid w:val="003A5CEA"/>
    <w:rsid w:val="003A6BD8"/>
    <w:rsid w:val="003A6F41"/>
    <w:rsid w:val="003B02B4"/>
    <w:rsid w:val="003B09E2"/>
    <w:rsid w:val="003B3702"/>
    <w:rsid w:val="003B5125"/>
    <w:rsid w:val="003B52F0"/>
    <w:rsid w:val="003C0E6B"/>
    <w:rsid w:val="003C29F9"/>
    <w:rsid w:val="003C2C66"/>
    <w:rsid w:val="003C341E"/>
    <w:rsid w:val="003C38A3"/>
    <w:rsid w:val="003C3B70"/>
    <w:rsid w:val="003C3E74"/>
    <w:rsid w:val="003C5DDA"/>
    <w:rsid w:val="003C6125"/>
    <w:rsid w:val="003C613D"/>
    <w:rsid w:val="003C62A8"/>
    <w:rsid w:val="003C6FB6"/>
    <w:rsid w:val="003C6FC0"/>
    <w:rsid w:val="003D655B"/>
    <w:rsid w:val="003D6788"/>
    <w:rsid w:val="003D7033"/>
    <w:rsid w:val="003E5470"/>
    <w:rsid w:val="003E7BD3"/>
    <w:rsid w:val="003E7F01"/>
    <w:rsid w:val="003F017A"/>
    <w:rsid w:val="003F1AAB"/>
    <w:rsid w:val="003F2417"/>
    <w:rsid w:val="003F26A8"/>
    <w:rsid w:val="003F3180"/>
    <w:rsid w:val="003F495B"/>
    <w:rsid w:val="003F7470"/>
    <w:rsid w:val="00404911"/>
    <w:rsid w:val="00404D36"/>
    <w:rsid w:val="00405562"/>
    <w:rsid w:val="00406975"/>
    <w:rsid w:val="004111C6"/>
    <w:rsid w:val="004114D6"/>
    <w:rsid w:val="0041335F"/>
    <w:rsid w:val="00413E83"/>
    <w:rsid w:val="004140B2"/>
    <w:rsid w:val="00415D02"/>
    <w:rsid w:val="00415F69"/>
    <w:rsid w:val="00417450"/>
    <w:rsid w:val="00420AB0"/>
    <w:rsid w:val="00431C35"/>
    <w:rsid w:val="00433309"/>
    <w:rsid w:val="00433503"/>
    <w:rsid w:val="00437D11"/>
    <w:rsid w:val="004402DE"/>
    <w:rsid w:val="0044561F"/>
    <w:rsid w:val="00446787"/>
    <w:rsid w:val="00447CE7"/>
    <w:rsid w:val="00453018"/>
    <w:rsid w:val="00454742"/>
    <w:rsid w:val="00455DDE"/>
    <w:rsid w:val="004572B8"/>
    <w:rsid w:val="0045770D"/>
    <w:rsid w:val="00460478"/>
    <w:rsid w:val="00463FEC"/>
    <w:rsid w:val="0046488A"/>
    <w:rsid w:val="00464C4C"/>
    <w:rsid w:val="00465DD3"/>
    <w:rsid w:val="00466A0C"/>
    <w:rsid w:val="00466FB5"/>
    <w:rsid w:val="004670CE"/>
    <w:rsid w:val="00472A45"/>
    <w:rsid w:val="00472F15"/>
    <w:rsid w:val="004764E9"/>
    <w:rsid w:val="0047767C"/>
    <w:rsid w:val="00481A6D"/>
    <w:rsid w:val="00482C6E"/>
    <w:rsid w:val="00486AD0"/>
    <w:rsid w:val="00490D4A"/>
    <w:rsid w:val="00490D7A"/>
    <w:rsid w:val="00491FA5"/>
    <w:rsid w:val="004938AF"/>
    <w:rsid w:val="00494966"/>
    <w:rsid w:val="00494BDE"/>
    <w:rsid w:val="00496B6C"/>
    <w:rsid w:val="0049775F"/>
    <w:rsid w:val="004A0891"/>
    <w:rsid w:val="004A0A0A"/>
    <w:rsid w:val="004A21A3"/>
    <w:rsid w:val="004A2B98"/>
    <w:rsid w:val="004A3343"/>
    <w:rsid w:val="004A355D"/>
    <w:rsid w:val="004A397C"/>
    <w:rsid w:val="004A5D16"/>
    <w:rsid w:val="004A6AB5"/>
    <w:rsid w:val="004A78BD"/>
    <w:rsid w:val="004B0E58"/>
    <w:rsid w:val="004B2E02"/>
    <w:rsid w:val="004B4FF3"/>
    <w:rsid w:val="004B51A4"/>
    <w:rsid w:val="004B5B0C"/>
    <w:rsid w:val="004B6A18"/>
    <w:rsid w:val="004B78AF"/>
    <w:rsid w:val="004C20F3"/>
    <w:rsid w:val="004C3E47"/>
    <w:rsid w:val="004C7CB8"/>
    <w:rsid w:val="004D2DE5"/>
    <w:rsid w:val="004D647B"/>
    <w:rsid w:val="004D7881"/>
    <w:rsid w:val="004D7ECE"/>
    <w:rsid w:val="004E0B1D"/>
    <w:rsid w:val="004E2AF6"/>
    <w:rsid w:val="004E4536"/>
    <w:rsid w:val="004E6360"/>
    <w:rsid w:val="004E78F3"/>
    <w:rsid w:val="004E7FCB"/>
    <w:rsid w:val="004F0DC9"/>
    <w:rsid w:val="004F0E14"/>
    <w:rsid w:val="004F1175"/>
    <w:rsid w:val="004F26FC"/>
    <w:rsid w:val="004F28CE"/>
    <w:rsid w:val="004F2A8D"/>
    <w:rsid w:val="004F2B69"/>
    <w:rsid w:val="004F38E1"/>
    <w:rsid w:val="004F3B64"/>
    <w:rsid w:val="004F494C"/>
    <w:rsid w:val="004F5306"/>
    <w:rsid w:val="004F6715"/>
    <w:rsid w:val="004F69A5"/>
    <w:rsid w:val="004F69BC"/>
    <w:rsid w:val="00504A3B"/>
    <w:rsid w:val="00504FE7"/>
    <w:rsid w:val="00505960"/>
    <w:rsid w:val="00506819"/>
    <w:rsid w:val="00511491"/>
    <w:rsid w:val="00511CE6"/>
    <w:rsid w:val="0051240C"/>
    <w:rsid w:val="00512586"/>
    <w:rsid w:val="00513209"/>
    <w:rsid w:val="00517244"/>
    <w:rsid w:val="00526FA5"/>
    <w:rsid w:val="00527FEC"/>
    <w:rsid w:val="005310E3"/>
    <w:rsid w:val="005346AD"/>
    <w:rsid w:val="00534856"/>
    <w:rsid w:val="00535DC7"/>
    <w:rsid w:val="00535FB1"/>
    <w:rsid w:val="00541410"/>
    <w:rsid w:val="00542623"/>
    <w:rsid w:val="00542C59"/>
    <w:rsid w:val="00542D94"/>
    <w:rsid w:val="00544D0E"/>
    <w:rsid w:val="00545040"/>
    <w:rsid w:val="00545B49"/>
    <w:rsid w:val="00547AB8"/>
    <w:rsid w:val="00547CD5"/>
    <w:rsid w:val="00552AA8"/>
    <w:rsid w:val="00552C09"/>
    <w:rsid w:val="005532E9"/>
    <w:rsid w:val="0055606D"/>
    <w:rsid w:val="00560E73"/>
    <w:rsid w:val="00563BB8"/>
    <w:rsid w:val="005657B7"/>
    <w:rsid w:val="005676DA"/>
    <w:rsid w:val="005703DC"/>
    <w:rsid w:val="005713DB"/>
    <w:rsid w:val="00572E80"/>
    <w:rsid w:val="00575479"/>
    <w:rsid w:val="00580A72"/>
    <w:rsid w:val="0058109D"/>
    <w:rsid w:val="0058171E"/>
    <w:rsid w:val="00581F91"/>
    <w:rsid w:val="00582191"/>
    <w:rsid w:val="0058407E"/>
    <w:rsid w:val="00586BB8"/>
    <w:rsid w:val="005943CC"/>
    <w:rsid w:val="00595CB1"/>
    <w:rsid w:val="00595DE4"/>
    <w:rsid w:val="005A03C8"/>
    <w:rsid w:val="005A06A4"/>
    <w:rsid w:val="005A2001"/>
    <w:rsid w:val="005A5883"/>
    <w:rsid w:val="005A5E69"/>
    <w:rsid w:val="005A7071"/>
    <w:rsid w:val="005A74F1"/>
    <w:rsid w:val="005B0008"/>
    <w:rsid w:val="005B062D"/>
    <w:rsid w:val="005B149C"/>
    <w:rsid w:val="005B2F0F"/>
    <w:rsid w:val="005B48C6"/>
    <w:rsid w:val="005B4B43"/>
    <w:rsid w:val="005B6AB4"/>
    <w:rsid w:val="005C222E"/>
    <w:rsid w:val="005C23D1"/>
    <w:rsid w:val="005C2B1C"/>
    <w:rsid w:val="005C2D5B"/>
    <w:rsid w:val="005C2F53"/>
    <w:rsid w:val="005C4306"/>
    <w:rsid w:val="005C524E"/>
    <w:rsid w:val="005C755C"/>
    <w:rsid w:val="005C7EB9"/>
    <w:rsid w:val="005D0C61"/>
    <w:rsid w:val="005D5E1E"/>
    <w:rsid w:val="005D64E0"/>
    <w:rsid w:val="005E112C"/>
    <w:rsid w:val="005E12C5"/>
    <w:rsid w:val="005E212D"/>
    <w:rsid w:val="005E31A3"/>
    <w:rsid w:val="005E46DB"/>
    <w:rsid w:val="005E5DA1"/>
    <w:rsid w:val="005F3E4A"/>
    <w:rsid w:val="005F561E"/>
    <w:rsid w:val="005F605E"/>
    <w:rsid w:val="005F7D49"/>
    <w:rsid w:val="0060050C"/>
    <w:rsid w:val="00600952"/>
    <w:rsid w:val="00600D23"/>
    <w:rsid w:val="00601890"/>
    <w:rsid w:val="00603703"/>
    <w:rsid w:val="00604540"/>
    <w:rsid w:val="00604E08"/>
    <w:rsid w:val="006057F9"/>
    <w:rsid w:val="00610C21"/>
    <w:rsid w:val="0061233C"/>
    <w:rsid w:val="00613DA1"/>
    <w:rsid w:val="0061515B"/>
    <w:rsid w:val="00616258"/>
    <w:rsid w:val="00621D43"/>
    <w:rsid w:val="00624C2E"/>
    <w:rsid w:val="006261A5"/>
    <w:rsid w:val="0062670D"/>
    <w:rsid w:val="0063557E"/>
    <w:rsid w:val="0064025C"/>
    <w:rsid w:val="00641837"/>
    <w:rsid w:val="0064314A"/>
    <w:rsid w:val="00643FE6"/>
    <w:rsid w:val="00644C10"/>
    <w:rsid w:val="006463E5"/>
    <w:rsid w:val="006466E2"/>
    <w:rsid w:val="00647F9D"/>
    <w:rsid w:val="00650E32"/>
    <w:rsid w:val="00650FC8"/>
    <w:rsid w:val="00652C41"/>
    <w:rsid w:val="00653CBB"/>
    <w:rsid w:val="00653F82"/>
    <w:rsid w:val="006545F5"/>
    <w:rsid w:val="00654C18"/>
    <w:rsid w:val="00654DE7"/>
    <w:rsid w:val="0065561B"/>
    <w:rsid w:val="006602B9"/>
    <w:rsid w:val="00662F3A"/>
    <w:rsid w:val="0066417F"/>
    <w:rsid w:val="00665740"/>
    <w:rsid w:val="006660B9"/>
    <w:rsid w:val="006671E2"/>
    <w:rsid w:val="00670A11"/>
    <w:rsid w:val="006715B1"/>
    <w:rsid w:val="00671C0D"/>
    <w:rsid w:val="0067230D"/>
    <w:rsid w:val="00677137"/>
    <w:rsid w:val="00680D37"/>
    <w:rsid w:val="00681600"/>
    <w:rsid w:val="00681FFA"/>
    <w:rsid w:val="0068345C"/>
    <w:rsid w:val="00685363"/>
    <w:rsid w:val="006853A5"/>
    <w:rsid w:val="00685813"/>
    <w:rsid w:val="00685FCF"/>
    <w:rsid w:val="0069103C"/>
    <w:rsid w:val="0069104E"/>
    <w:rsid w:val="00691E10"/>
    <w:rsid w:val="00693041"/>
    <w:rsid w:val="00693558"/>
    <w:rsid w:val="006941CE"/>
    <w:rsid w:val="006947E6"/>
    <w:rsid w:val="00695D4A"/>
    <w:rsid w:val="00696384"/>
    <w:rsid w:val="00696B9B"/>
    <w:rsid w:val="006A3E15"/>
    <w:rsid w:val="006A3FB6"/>
    <w:rsid w:val="006A5BA0"/>
    <w:rsid w:val="006A6A3F"/>
    <w:rsid w:val="006A6A98"/>
    <w:rsid w:val="006A7267"/>
    <w:rsid w:val="006B0B1F"/>
    <w:rsid w:val="006B0D6F"/>
    <w:rsid w:val="006B2528"/>
    <w:rsid w:val="006B3F60"/>
    <w:rsid w:val="006B77D4"/>
    <w:rsid w:val="006C2C10"/>
    <w:rsid w:val="006C5A62"/>
    <w:rsid w:val="006D1CC2"/>
    <w:rsid w:val="006D264B"/>
    <w:rsid w:val="006D2BB4"/>
    <w:rsid w:val="006D31DB"/>
    <w:rsid w:val="006D3781"/>
    <w:rsid w:val="006D4774"/>
    <w:rsid w:val="006D5774"/>
    <w:rsid w:val="006D586B"/>
    <w:rsid w:val="006E1D84"/>
    <w:rsid w:val="006E2B0C"/>
    <w:rsid w:val="006E3ABD"/>
    <w:rsid w:val="006E51A6"/>
    <w:rsid w:val="006E57D1"/>
    <w:rsid w:val="006E5A68"/>
    <w:rsid w:val="006F0FD0"/>
    <w:rsid w:val="006F4066"/>
    <w:rsid w:val="006F77AE"/>
    <w:rsid w:val="00701C19"/>
    <w:rsid w:val="007021EC"/>
    <w:rsid w:val="007044C6"/>
    <w:rsid w:val="0070459C"/>
    <w:rsid w:val="00712431"/>
    <w:rsid w:val="00712849"/>
    <w:rsid w:val="00714631"/>
    <w:rsid w:val="007162C2"/>
    <w:rsid w:val="0071638E"/>
    <w:rsid w:val="00720B4B"/>
    <w:rsid w:val="00721BAA"/>
    <w:rsid w:val="0072263F"/>
    <w:rsid w:val="00722882"/>
    <w:rsid w:val="00726827"/>
    <w:rsid w:val="00730C0C"/>
    <w:rsid w:val="00730CE8"/>
    <w:rsid w:val="00731D21"/>
    <w:rsid w:val="00732334"/>
    <w:rsid w:val="0074061E"/>
    <w:rsid w:val="00740D78"/>
    <w:rsid w:val="00741FF9"/>
    <w:rsid w:val="0074494C"/>
    <w:rsid w:val="00751421"/>
    <w:rsid w:val="0075447D"/>
    <w:rsid w:val="00755239"/>
    <w:rsid w:val="00756E9D"/>
    <w:rsid w:val="00757664"/>
    <w:rsid w:val="0076075E"/>
    <w:rsid w:val="007618EC"/>
    <w:rsid w:val="00764716"/>
    <w:rsid w:val="00767554"/>
    <w:rsid w:val="00770353"/>
    <w:rsid w:val="00771504"/>
    <w:rsid w:val="007718E6"/>
    <w:rsid w:val="007735A6"/>
    <w:rsid w:val="00773C72"/>
    <w:rsid w:val="00774093"/>
    <w:rsid w:val="0077467D"/>
    <w:rsid w:val="007812C9"/>
    <w:rsid w:val="0078211E"/>
    <w:rsid w:val="007868DB"/>
    <w:rsid w:val="007907BD"/>
    <w:rsid w:val="00791655"/>
    <w:rsid w:val="007953F5"/>
    <w:rsid w:val="007A0165"/>
    <w:rsid w:val="007A03DC"/>
    <w:rsid w:val="007A16B3"/>
    <w:rsid w:val="007A1DF8"/>
    <w:rsid w:val="007A4905"/>
    <w:rsid w:val="007A6749"/>
    <w:rsid w:val="007A6C23"/>
    <w:rsid w:val="007A6D01"/>
    <w:rsid w:val="007B04E9"/>
    <w:rsid w:val="007B14F0"/>
    <w:rsid w:val="007B3B2B"/>
    <w:rsid w:val="007B58E6"/>
    <w:rsid w:val="007B5F79"/>
    <w:rsid w:val="007B6B4A"/>
    <w:rsid w:val="007C1773"/>
    <w:rsid w:val="007C1A48"/>
    <w:rsid w:val="007C30CD"/>
    <w:rsid w:val="007C38E4"/>
    <w:rsid w:val="007C4083"/>
    <w:rsid w:val="007C464D"/>
    <w:rsid w:val="007C509F"/>
    <w:rsid w:val="007C50FA"/>
    <w:rsid w:val="007C5BC1"/>
    <w:rsid w:val="007C77AD"/>
    <w:rsid w:val="007C7C6E"/>
    <w:rsid w:val="007D20EF"/>
    <w:rsid w:val="007D2BEE"/>
    <w:rsid w:val="007D3637"/>
    <w:rsid w:val="007D38D9"/>
    <w:rsid w:val="007D3CA1"/>
    <w:rsid w:val="007D5B36"/>
    <w:rsid w:val="007D7724"/>
    <w:rsid w:val="007D7FB6"/>
    <w:rsid w:val="007E1D0B"/>
    <w:rsid w:val="007E20F8"/>
    <w:rsid w:val="007E535B"/>
    <w:rsid w:val="007E6046"/>
    <w:rsid w:val="007E6319"/>
    <w:rsid w:val="007F29A8"/>
    <w:rsid w:val="007F2B8B"/>
    <w:rsid w:val="007F2C43"/>
    <w:rsid w:val="007F47F4"/>
    <w:rsid w:val="007F6283"/>
    <w:rsid w:val="007F659A"/>
    <w:rsid w:val="007F77FA"/>
    <w:rsid w:val="008005A0"/>
    <w:rsid w:val="008013EF"/>
    <w:rsid w:val="008027C9"/>
    <w:rsid w:val="00802FE3"/>
    <w:rsid w:val="00803B42"/>
    <w:rsid w:val="00805DF1"/>
    <w:rsid w:val="00806F52"/>
    <w:rsid w:val="008073D8"/>
    <w:rsid w:val="008074AE"/>
    <w:rsid w:val="008109FB"/>
    <w:rsid w:val="008113FC"/>
    <w:rsid w:val="00811650"/>
    <w:rsid w:val="00815AC0"/>
    <w:rsid w:val="00816E12"/>
    <w:rsid w:val="0082292A"/>
    <w:rsid w:val="008229B6"/>
    <w:rsid w:val="00825014"/>
    <w:rsid w:val="008279A8"/>
    <w:rsid w:val="00836463"/>
    <w:rsid w:val="008406BA"/>
    <w:rsid w:val="008439C9"/>
    <w:rsid w:val="00844660"/>
    <w:rsid w:val="008452C9"/>
    <w:rsid w:val="00851358"/>
    <w:rsid w:val="00851A1B"/>
    <w:rsid w:val="008531F1"/>
    <w:rsid w:val="008543C9"/>
    <w:rsid w:val="008549AC"/>
    <w:rsid w:val="0086033D"/>
    <w:rsid w:val="00860ABB"/>
    <w:rsid w:val="00861385"/>
    <w:rsid w:val="008616B8"/>
    <w:rsid w:val="00861979"/>
    <w:rsid w:val="0086202E"/>
    <w:rsid w:val="00863067"/>
    <w:rsid w:val="008653E7"/>
    <w:rsid w:val="00865456"/>
    <w:rsid w:val="00866041"/>
    <w:rsid w:val="0086671C"/>
    <w:rsid w:val="00867682"/>
    <w:rsid w:val="00870A3F"/>
    <w:rsid w:val="00873800"/>
    <w:rsid w:val="0087409F"/>
    <w:rsid w:val="0087670B"/>
    <w:rsid w:val="008819D5"/>
    <w:rsid w:val="00883BD7"/>
    <w:rsid w:val="008850E6"/>
    <w:rsid w:val="00887BA1"/>
    <w:rsid w:val="00887EF9"/>
    <w:rsid w:val="0089356B"/>
    <w:rsid w:val="00894EF6"/>
    <w:rsid w:val="008959DC"/>
    <w:rsid w:val="00895CBE"/>
    <w:rsid w:val="008A0B26"/>
    <w:rsid w:val="008A0F78"/>
    <w:rsid w:val="008A11AE"/>
    <w:rsid w:val="008A22C1"/>
    <w:rsid w:val="008A4165"/>
    <w:rsid w:val="008A7681"/>
    <w:rsid w:val="008B229C"/>
    <w:rsid w:val="008B5885"/>
    <w:rsid w:val="008B6F94"/>
    <w:rsid w:val="008C02F5"/>
    <w:rsid w:val="008C1C38"/>
    <w:rsid w:val="008C3509"/>
    <w:rsid w:val="008C3C07"/>
    <w:rsid w:val="008C4F58"/>
    <w:rsid w:val="008D365B"/>
    <w:rsid w:val="008D4B40"/>
    <w:rsid w:val="008D4BA5"/>
    <w:rsid w:val="008D4DCB"/>
    <w:rsid w:val="008D5AB8"/>
    <w:rsid w:val="008E11FC"/>
    <w:rsid w:val="008E2BFC"/>
    <w:rsid w:val="008E4080"/>
    <w:rsid w:val="008E7CA9"/>
    <w:rsid w:val="008E7E3B"/>
    <w:rsid w:val="008F112C"/>
    <w:rsid w:val="008F37C0"/>
    <w:rsid w:val="008F5C71"/>
    <w:rsid w:val="008F7073"/>
    <w:rsid w:val="008F73B1"/>
    <w:rsid w:val="008F7CDD"/>
    <w:rsid w:val="00901225"/>
    <w:rsid w:val="00902619"/>
    <w:rsid w:val="00902660"/>
    <w:rsid w:val="00903CC4"/>
    <w:rsid w:val="00903E3C"/>
    <w:rsid w:val="0090546E"/>
    <w:rsid w:val="00907565"/>
    <w:rsid w:val="00910D7D"/>
    <w:rsid w:val="00912587"/>
    <w:rsid w:val="009150DD"/>
    <w:rsid w:val="0091687F"/>
    <w:rsid w:val="0091694C"/>
    <w:rsid w:val="0091755C"/>
    <w:rsid w:val="009206DC"/>
    <w:rsid w:val="009211C3"/>
    <w:rsid w:val="009222A9"/>
    <w:rsid w:val="00924C2D"/>
    <w:rsid w:val="0093393C"/>
    <w:rsid w:val="00933E25"/>
    <w:rsid w:val="0093431D"/>
    <w:rsid w:val="00934472"/>
    <w:rsid w:val="009357F1"/>
    <w:rsid w:val="00935CDD"/>
    <w:rsid w:val="00941845"/>
    <w:rsid w:val="00941F20"/>
    <w:rsid w:val="009430EA"/>
    <w:rsid w:val="0094391A"/>
    <w:rsid w:val="00945323"/>
    <w:rsid w:val="00945424"/>
    <w:rsid w:val="00945B6B"/>
    <w:rsid w:val="00947795"/>
    <w:rsid w:val="00950A54"/>
    <w:rsid w:val="00951FB8"/>
    <w:rsid w:val="00954E9C"/>
    <w:rsid w:val="00956115"/>
    <w:rsid w:val="009562AA"/>
    <w:rsid w:val="0096098D"/>
    <w:rsid w:val="009614F8"/>
    <w:rsid w:val="009644C1"/>
    <w:rsid w:val="00967555"/>
    <w:rsid w:val="0097011E"/>
    <w:rsid w:val="00970A82"/>
    <w:rsid w:val="009739E5"/>
    <w:rsid w:val="00974A57"/>
    <w:rsid w:val="00975F54"/>
    <w:rsid w:val="009777A9"/>
    <w:rsid w:val="00980391"/>
    <w:rsid w:val="00981B90"/>
    <w:rsid w:val="00981F04"/>
    <w:rsid w:val="00982326"/>
    <w:rsid w:val="00982A23"/>
    <w:rsid w:val="00982BE4"/>
    <w:rsid w:val="00986D3E"/>
    <w:rsid w:val="00987B2F"/>
    <w:rsid w:val="00992314"/>
    <w:rsid w:val="00993DBB"/>
    <w:rsid w:val="00994D7C"/>
    <w:rsid w:val="0099586A"/>
    <w:rsid w:val="00995CD6"/>
    <w:rsid w:val="00996821"/>
    <w:rsid w:val="009A1308"/>
    <w:rsid w:val="009A1C4D"/>
    <w:rsid w:val="009A29A5"/>
    <w:rsid w:val="009A3661"/>
    <w:rsid w:val="009A3EA8"/>
    <w:rsid w:val="009A4123"/>
    <w:rsid w:val="009A565E"/>
    <w:rsid w:val="009A650B"/>
    <w:rsid w:val="009A7380"/>
    <w:rsid w:val="009A7B37"/>
    <w:rsid w:val="009B03BA"/>
    <w:rsid w:val="009B18F0"/>
    <w:rsid w:val="009B2A0A"/>
    <w:rsid w:val="009B2C59"/>
    <w:rsid w:val="009B391E"/>
    <w:rsid w:val="009B4987"/>
    <w:rsid w:val="009B5848"/>
    <w:rsid w:val="009B5B88"/>
    <w:rsid w:val="009B5CF4"/>
    <w:rsid w:val="009C0B58"/>
    <w:rsid w:val="009C517B"/>
    <w:rsid w:val="009C5A50"/>
    <w:rsid w:val="009C5B80"/>
    <w:rsid w:val="009D2162"/>
    <w:rsid w:val="009D2803"/>
    <w:rsid w:val="009D3260"/>
    <w:rsid w:val="009D38EC"/>
    <w:rsid w:val="009D532E"/>
    <w:rsid w:val="009D5AF3"/>
    <w:rsid w:val="009E191F"/>
    <w:rsid w:val="009E1D8D"/>
    <w:rsid w:val="009E28C0"/>
    <w:rsid w:val="009E298F"/>
    <w:rsid w:val="009E37FF"/>
    <w:rsid w:val="009E5797"/>
    <w:rsid w:val="009E6BD8"/>
    <w:rsid w:val="009E74A3"/>
    <w:rsid w:val="009F1268"/>
    <w:rsid w:val="009F13A9"/>
    <w:rsid w:val="009F30C5"/>
    <w:rsid w:val="009F4CA0"/>
    <w:rsid w:val="009F4D74"/>
    <w:rsid w:val="009F5FF3"/>
    <w:rsid w:val="00A016D2"/>
    <w:rsid w:val="00A01D4C"/>
    <w:rsid w:val="00A03E20"/>
    <w:rsid w:val="00A046D1"/>
    <w:rsid w:val="00A04708"/>
    <w:rsid w:val="00A05A0B"/>
    <w:rsid w:val="00A12482"/>
    <w:rsid w:val="00A12727"/>
    <w:rsid w:val="00A134FE"/>
    <w:rsid w:val="00A13544"/>
    <w:rsid w:val="00A15DC1"/>
    <w:rsid w:val="00A17736"/>
    <w:rsid w:val="00A200CB"/>
    <w:rsid w:val="00A207D2"/>
    <w:rsid w:val="00A2175E"/>
    <w:rsid w:val="00A24B83"/>
    <w:rsid w:val="00A2626B"/>
    <w:rsid w:val="00A310FD"/>
    <w:rsid w:val="00A3189B"/>
    <w:rsid w:val="00A31A42"/>
    <w:rsid w:val="00A32D05"/>
    <w:rsid w:val="00A32D89"/>
    <w:rsid w:val="00A33016"/>
    <w:rsid w:val="00A33D8C"/>
    <w:rsid w:val="00A361D8"/>
    <w:rsid w:val="00A37A24"/>
    <w:rsid w:val="00A402BC"/>
    <w:rsid w:val="00A41435"/>
    <w:rsid w:val="00A42062"/>
    <w:rsid w:val="00A42AC0"/>
    <w:rsid w:val="00A45F36"/>
    <w:rsid w:val="00A47E77"/>
    <w:rsid w:val="00A51617"/>
    <w:rsid w:val="00A516D0"/>
    <w:rsid w:val="00A52785"/>
    <w:rsid w:val="00A55349"/>
    <w:rsid w:val="00A57E72"/>
    <w:rsid w:val="00A61276"/>
    <w:rsid w:val="00A627C0"/>
    <w:rsid w:val="00A62E7D"/>
    <w:rsid w:val="00A646CF"/>
    <w:rsid w:val="00A65D16"/>
    <w:rsid w:val="00A667A5"/>
    <w:rsid w:val="00A66EF4"/>
    <w:rsid w:val="00A6730A"/>
    <w:rsid w:val="00A67D87"/>
    <w:rsid w:val="00A70D0F"/>
    <w:rsid w:val="00A7343F"/>
    <w:rsid w:val="00A742CD"/>
    <w:rsid w:val="00A76D1B"/>
    <w:rsid w:val="00A824D5"/>
    <w:rsid w:val="00A83827"/>
    <w:rsid w:val="00A838AC"/>
    <w:rsid w:val="00A83E08"/>
    <w:rsid w:val="00A84B83"/>
    <w:rsid w:val="00A86E17"/>
    <w:rsid w:val="00A8798A"/>
    <w:rsid w:val="00A932C6"/>
    <w:rsid w:val="00A93895"/>
    <w:rsid w:val="00A96170"/>
    <w:rsid w:val="00A96BEF"/>
    <w:rsid w:val="00A974A0"/>
    <w:rsid w:val="00AA1CCF"/>
    <w:rsid w:val="00AA32AC"/>
    <w:rsid w:val="00AA3776"/>
    <w:rsid w:val="00AA5067"/>
    <w:rsid w:val="00AA52F5"/>
    <w:rsid w:val="00AA7AA2"/>
    <w:rsid w:val="00AB06B2"/>
    <w:rsid w:val="00AB0984"/>
    <w:rsid w:val="00AB1D37"/>
    <w:rsid w:val="00AB2137"/>
    <w:rsid w:val="00AB410D"/>
    <w:rsid w:val="00AB43BA"/>
    <w:rsid w:val="00AB7181"/>
    <w:rsid w:val="00AB77DE"/>
    <w:rsid w:val="00AC04AE"/>
    <w:rsid w:val="00AC22AD"/>
    <w:rsid w:val="00AC36FC"/>
    <w:rsid w:val="00AC37DC"/>
    <w:rsid w:val="00AC7355"/>
    <w:rsid w:val="00AD1903"/>
    <w:rsid w:val="00AD1C5A"/>
    <w:rsid w:val="00AD3A9B"/>
    <w:rsid w:val="00AD4107"/>
    <w:rsid w:val="00AD5653"/>
    <w:rsid w:val="00AD76F9"/>
    <w:rsid w:val="00AD787F"/>
    <w:rsid w:val="00AE0F88"/>
    <w:rsid w:val="00AE3C53"/>
    <w:rsid w:val="00AE4621"/>
    <w:rsid w:val="00AE5140"/>
    <w:rsid w:val="00AE5D4F"/>
    <w:rsid w:val="00AE5FAA"/>
    <w:rsid w:val="00AF5793"/>
    <w:rsid w:val="00AF5FE2"/>
    <w:rsid w:val="00AF6235"/>
    <w:rsid w:val="00B007DC"/>
    <w:rsid w:val="00B0111B"/>
    <w:rsid w:val="00B03311"/>
    <w:rsid w:val="00B04B6B"/>
    <w:rsid w:val="00B05DDF"/>
    <w:rsid w:val="00B1236D"/>
    <w:rsid w:val="00B14470"/>
    <w:rsid w:val="00B167E1"/>
    <w:rsid w:val="00B20EA9"/>
    <w:rsid w:val="00B22D2F"/>
    <w:rsid w:val="00B22EF0"/>
    <w:rsid w:val="00B27C3E"/>
    <w:rsid w:val="00B30367"/>
    <w:rsid w:val="00B306E5"/>
    <w:rsid w:val="00B31321"/>
    <w:rsid w:val="00B32E3F"/>
    <w:rsid w:val="00B335BB"/>
    <w:rsid w:val="00B346EF"/>
    <w:rsid w:val="00B3656D"/>
    <w:rsid w:val="00B36F20"/>
    <w:rsid w:val="00B37F26"/>
    <w:rsid w:val="00B462E4"/>
    <w:rsid w:val="00B463BD"/>
    <w:rsid w:val="00B50EBD"/>
    <w:rsid w:val="00B54C49"/>
    <w:rsid w:val="00B55A24"/>
    <w:rsid w:val="00B55B01"/>
    <w:rsid w:val="00B5658A"/>
    <w:rsid w:val="00B57D4B"/>
    <w:rsid w:val="00B6233C"/>
    <w:rsid w:val="00B628A4"/>
    <w:rsid w:val="00B63245"/>
    <w:rsid w:val="00B64484"/>
    <w:rsid w:val="00B652F1"/>
    <w:rsid w:val="00B65585"/>
    <w:rsid w:val="00B6729E"/>
    <w:rsid w:val="00B720D9"/>
    <w:rsid w:val="00B72CB0"/>
    <w:rsid w:val="00B731B4"/>
    <w:rsid w:val="00B73F97"/>
    <w:rsid w:val="00B75A9A"/>
    <w:rsid w:val="00B766CB"/>
    <w:rsid w:val="00B77452"/>
    <w:rsid w:val="00B80E1F"/>
    <w:rsid w:val="00B81FC5"/>
    <w:rsid w:val="00B84D59"/>
    <w:rsid w:val="00B85499"/>
    <w:rsid w:val="00B8615D"/>
    <w:rsid w:val="00B86BC1"/>
    <w:rsid w:val="00B87194"/>
    <w:rsid w:val="00B874D6"/>
    <w:rsid w:val="00B90CB6"/>
    <w:rsid w:val="00B94FAC"/>
    <w:rsid w:val="00B95AAA"/>
    <w:rsid w:val="00B96998"/>
    <w:rsid w:val="00BA0B27"/>
    <w:rsid w:val="00BA165A"/>
    <w:rsid w:val="00BA26BC"/>
    <w:rsid w:val="00BA322E"/>
    <w:rsid w:val="00BA54F3"/>
    <w:rsid w:val="00BA6021"/>
    <w:rsid w:val="00BA68A7"/>
    <w:rsid w:val="00BA6D79"/>
    <w:rsid w:val="00BB2177"/>
    <w:rsid w:val="00BB410A"/>
    <w:rsid w:val="00BB4F5D"/>
    <w:rsid w:val="00BB5571"/>
    <w:rsid w:val="00BB5C92"/>
    <w:rsid w:val="00BB5CDE"/>
    <w:rsid w:val="00BB6B59"/>
    <w:rsid w:val="00BB6E2E"/>
    <w:rsid w:val="00BB7709"/>
    <w:rsid w:val="00BC0299"/>
    <w:rsid w:val="00BC14D8"/>
    <w:rsid w:val="00BC3FD1"/>
    <w:rsid w:val="00BC4BAB"/>
    <w:rsid w:val="00BC4BE6"/>
    <w:rsid w:val="00BC546C"/>
    <w:rsid w:val="00BC6E1F"/>
    <w:rsid w:val="00BD11B7"/>
    <w:rsid w:val="00BD17CD"/>
    <w:rsid w:val="00BD3197"/>
    <w:rsid w:val="00BD6C8B"/>
    <w:rsid w:val="00BD7020"/>
    <w:rsid w:val="00BD7056"/>
    <w:rsid w:val="00BD70D8"/>
    <w:rsid w:val="00BD7509"/>
    <w:rsid w:val="00BE0274"/>
    <w:rsid w:val="00BE0B02"/>
    <w:rsid w:val="00BE2985"/>
    <w:rsid w:val="00BE4744"/>
    <w:rsid w:val="00BE6021"/>
    <w:rsid w:val="00BE6350"/>
    <w:rsid w:val="00BE6E5D"/>
    <w:rsid w:val="00BF0709"/>
    <w:rsid w:val="00BF0B68"/>
    <w:rsid w:val="00BF18B8"/>
    <w:rsid w:val="00BF2206"/>
    <w:rsid w:val="00BF40BD"/>
    <w:rsid w:val="00BF5D87"/>
    <w:rsid w:val="00BF675C"/>
    <w:rsid w:val="00BF7C8E"/>
    <w:rsid w:val="00BF7CC4"/>
    <w:rsid w:val="00C01B59"/>
    <w:rsid w:val="00C01C76"/>
    <w:rsid w:val="00C02A6A"/>
    <w:rsid w:val="00C10BC3"/>
    <w:rsid w:val="00C11569"/>
    <w:rsid w:val="00C150B2"/>
    <w:rsid w:val="00C1599A"/>
    <w:rsid w:val="00C15A7D"/>
    <w:rsid w:val="00C17302"/>
    <w:rsid w:val="00C205C8"/>
    <w:rsid w:val="00C20A85"/>
    <w:rsid w:val="00C21BD8"/>
    <w:rsid w:val="00C21E04"/>
    <w:rsid w:val="00C2368C"/>
    <w:rsid w:val="00C24C12"/>
    <w:rsid w:val="00C25B4C"/>
    <w:rsid w:val="00C308BA"/>
    <w:rsid w:val="00C3096D"/>
    <w:rsid w:val="00C312D9"/>
    <w:rsid w:val="00C32DBF"/>
    <w:rsid w:val="00C32FD3"/>
    <w:rsid w:val="00C330D4"/>
    <w:rsid w:val="00C331F9"/>
    <w:rsid w:val="00C34806"/>
    <w:rsid w:val="00C403BF"/>
    <w:rsid w:val="00C420C5"/>
    <w:rsid w:val="00C43EE1"/>
    <w:rsid w:val="00C44066"/>
    <w:rsid w:val="00C47E6D"/>
    <w:rsid w:val="00C51554"/>
    <w:rsid w:val="00C51CF6"/>
    <w:rsid w:val="00C629BC"/>
    <w:rsid w:val="00C63BFF"/>
    <w:rsid w:val="00C710A1"/>
    <w:rsid w:val="00C719D1"/>
    <w:rsid w:val="00C75EEB"/>
    <w:rsid w:val="00C77FC6"/>
    <w:rsid w:val="00C8448C"/>
    <w:rsid w:val="00C87F60"/>
    <w:rsid w:val="00C90918"/>
    <w:rsid w:val="00C928AB"/>
    <w:rsid w:val="00C95928"/>
    <w:rsid w:val="00C95F53"/>
    <w:rsid w:val="00C9627C"/>
    <w:rsid w:val="00C96665"/>
    <w:rsid w:val="00C971E2"/>
    <w:rsid w:val="00CA076B"/>
    <w:rsid w:val="00CA1BC9"/>
    <w:rsid w:val="00CA1FA6"/>
    <w:rsid w:val="00CA46FD"/>
    <w:rsid w:val="00CA5450"/>
    <w:rsid w:val="00CA5F16"/>
    <w:rsid w:val="00CB096F"/>
    <w:rsid w:val="00CB0F81"/>
    <w:rsid w:val="00CB1232"/>
    <w:rsid w:val="00CB1BEF"/>
    <w:rsid w:val="00CB5D27"/>
    <w:rsid w:val="00CB6395"/>
    <w:rsid w:val="00CC49BA"/>
    <w:rsid w:val="00CC4B56"/>
    <w:rsid w:val="00CC5F77"/>
    <w:rsid w:val="00CC6D57"/>
    <w:rsid w:val="00CD0C58"/>
    <w:rsid w:val="00CD34C8"/>
    <w:rsid w:val="00CD6237"/>
    <w:rsid w:val="00CE5024"/>
    <w:rsid w:val="00CE605D"/>
    <w:rsid w:val="00CE7403"/>
    <w:rsid w:val="00CE7FDE"/>
    <w:rsid w:val="00CF19FC"/>
    <w:rsid w:val="00CF5176"/>
    <w:rsid w:val="00CF6661"/>
    <w:rsid w:val="00CF6F8E"/>
    <w:rsid w:val="00CF6F9C"/>
    <w:rsid w:val="00D01CF8"/>
    <w:rsid w:val="00D023CD"/>
    <w:rsid w:val="00D02B42"/>
    <w:rsid w:val="00D03E9F"/>
    <w:rsid w:val="00D049E5"/>
    <w:rsid w:val="00D04C37"/>
    <w:rsid w:val="00D0590D"/>
    <w:rsid w:val="00D05F2C"/>
    <w:rsid w:val="00D0632B"/>
    <w:rsid w:val="00D0736F"/>
    <w:rsid w:val="00D1007B"/>
    <w:rsid w:val="00D10727"/>
    <w:rsid w:val="00D14C49"/>
    <w:rsid w:val="00D15A12"/>
    <w:rsid w:val="00D20283"/>
    <w:rsid w:val="00D2087B"/>
    <w:rsid w:val="00D21695"/>
    <w:rsid w:val="00D24274"/>
    <w:rsid w:val="00D25A21"/>
    <w:rsid w:val="00D33835"/>
    <w:rsid w:val="00D3540A"/>
    <w:rsid w:val="00D36127"/>
    <w:rsid w:val="00D361A8"/>
    <w:rsid w:val="00D36624"/>
    <w:rsid w:val="00D36CE3"/>
    <w:rsid w:val="00D3788F"/>
    <w:rsid w:val="00D429DB"/>
    <w:rsid w:val="00D44038"/>
    <w:rsid w:val="00D446C1"/>
    <w:rsid w:val="00D458C3"/>
    <w:rsid w:val="00D469B9"/>
    <w:rsid w:val="00D52567"/>
    <w:rsid w:val="00D57004"/>
    <w:rsid w:val="00D577FC"/>
    <w:rsid w:val="00D61340"/>
    <w:rsid w:val="00D61341"/>
    <w:rsid w:val="00D61BA2"/>
    <w:rsid w:val="00D63163"/>
    <w:rsid w:val="00D63F94"/>
    <w:rsid w:val="00D64A12"/>
    <w:rsid w:val="00D65BCC"/>
    <w:rsid w:val="00D66CD5"/>
    <w:rsid w:val="00D673D6"/>
    <w:rsid w:val="00D67AE0"/>
    <w:rsid w:val="00D67F57"/>
    <w:rsid w:val="00D67FDE"/>
    <w:rsid w:val="00D70709"/>
    <w:rsid w:val="00D74857"/>
    <w:rsid w:val="00D802F8"/>
    <w:rsid w:val="00D81B67"/>
    <w:rsid w:val="00D834CE"/>
    <w:rsid w:val="00D83C80"/>
    <w:rsid w:val="00D86F14"/>
    <w:rsid w:val="00D90113"/>
    <w:rsid w:val="00D910B3"/>
    <w:rsid w:val="00D94094"/>
    <w:rsid w:val="00D947DD"/>
    <w:rsid w:val="00D95E99"/>
    <w:rsid w:val="00D9624A"/>
    <w:rsid w:val="00D962EE"/>
    <w:rsid w:val="00D97441"/>
    <w:rsid w:val="00DA03C5"/>
    <w:rsid w:val="00DA3CF3"/>
    <w:rsid w:val="00DA5A64"/>
    <w:rsid w:val="00DA6C2E"/>
    <w:rsid w:val="00DB2EC1"/>
    <w:rsid w:val="00DB376C"/>
    <w:rsid w:val="00DB43F0"/>
    <w:rsid w:val="00DB4E0E"/>
    <w:rsid w:val="00DB67C9"/>
    <w:rsid w:val="00DB72BE"/>
    <w:rsid w:val="00DB7CC4"/>
    <w:rsid w:val="00DC0473"/>
    <w:rsid w:val="00DC09C4"/>
    <w:rsid w:val="00DC2376"/>
    <w:rsid w:val="00DC273A"/>
    <w:rsid w:val="00DC3FDE"/>
    <w:rsid w:val="00DC436E"/>
    <w:rsid w:val="00DC4892"/>
    <w:rsid w:val="00DC6D1E"/>
    <w:rsid w:val="00DD31CE"/>
    <w:rsid w:val="00DD4430"/>
    <w:rsid w:val="00DD4B21"/>
    <w:rsid w:val="00DD4E06"/>
    <w:rsid w:val="00DD5856"/>
    <w:rsid w:val="00DD682F"/>
    <w:rsid w:val="00DD6E76"/>
    <w:rsid w:val="00DE0022"/>
    <w:rsid w:val="00DE0CDC"/>
    <w:rsid w:val="00DE0D62"/>
    <w:rsid w:val="00DE3AC4"/>
    <w:rsid w:val="00DE57DE"/>
    <w:rsid w:val="00DE5F58"/>
    <w:rsid w:val="00DE682D"/>
    <w:rsid w:val="00DF3A10"/>
    <w:rsid w:val="00DF439C"/>
    <w:rsid w:val="00E01D4B"/>
    <w:rsid w:val="00E03FE5"/>
    <w:rsid w:val="00E0760D"/>
    <w:rsid w:val="00E100F4"/>
    <w:rsid w:val="00E12353"/>
    <w:rsid w:val="00E12CFE"/>
    <w:rsid w:val="00E13235"/>
    <w:rsid w:val="00E15B30"/>
    <w:rsid w:val="00E16882"/>
    <w:rsid w:val="00E17F8B"/>
    <w:rsid w:val="00E200C1"/>
    <w:rsid w:val="00E2080A"/>
    <w:rsid w:val="00E23127"/>
    <w:rsid w:val="00E26E5E"/>
    <w:rsid w:val="00E30DB7"/>
    <w:rsid w:val="00E30EF5"/>
    <w:rsid w:val="00E32DBC"/>
    <w:rsid w:val="00E34413"/>
    <w:rsid w:val="00E34859"/>
    <w:rsid w:val="00E3500F"/>
    <w:rsid w:val="00E36B20"/>
    <w:rsid w:val="00E4290C"/>
    <w:rsid w:val="00E4395A"/>
    <w:rsid w:val="00E43DA4"/>
    <w:rsid w:val="00E44468"/>
    <w:rsid w:val="00E4676C"/>
    <w:rsid w:val="00E50167"/>
    <w:rsid w:val="00E501DF"/>
    <w:rsid w:val="00E51861"/>
    <w:rsid w:val="00E53007"/>
    <w:rsid w:val="00E544FE"/>
    <w:rsid w:val="00E54B01"/>
    <w:rsid w:val="00E54FE1"/>
    <w:rsid w:val="00E56672"/>
    <w:rsid w:val="00E5763E"/>
    <w:rsid w:val="00E61FEC"/>
    <w:rsid w:val="00E668F4"/>
    <w:rsid w:val="00E67BAD"/>
    <w:rsid w:val="00E67C02"/>
    <w:rsid w:val="00E67F69"/>
    <w:rsid w:val="00E705FF"/>
    <w:rsid w:val="00E71C96"/>
    <w:rsid w:val="00E72BED"/>
    <w:rsid w:val="00E74FE1"/>
    <w:rsid w:val="00E75F0D"/>
    <w:rsid w:val="00E76C21"/>
    <w:rsid w:val="00E77774"/>
    <w:rsid w:val="00E824D8"/>
    <w:rsid w:val="00E826B3"/>
    <w:rsid w:val="00E8309E"/>
    <w:rsid w:val="00E836A4"/>
    <w:rsid w:val="00E83D6D"/>
    <w:rsid w:val="00E84592"/>
    <w:rsid w:val="00E849BF"/>
    <w:rsid w:val="00E85A17"/>
    <w:rsid w:val="00E9051C"/>
    <w:rsid w:val="00E93228"/>
    <w:rsid w:val="00E93A97"/>
    <w:rsid w:val="00E9484A"/>
    <w:rsid w:val="00E97A59"/>
    <w:rsid w:val="00E97B03"/>
    <w:rsid w:val="00EA09F5"/>
    <w:rsid w:val="00EA0A14"/>
    <w:rsid w:val="00EA29A4"/>
    <w:rsid w:val="00EB21FB"/>
    <w:rsid w:val="00EB221C"/>
    <w:rsid w:val="00EC5AF8"/>
    <w:rsid w:val="00EC6413"/>
    <w:rsid w:val="00EC6CF2"/>
    <w:rsid w:val="00ED110A"/>
    <w:rsid w:val="00ED4427"/>
    <w:rsid w:val="00ED464A"/>
    <w:rsid w:val="00ED6C38"/>
    <w:rsid w:val="00ED7573"/>
    <w:rsid w:val="00ED7686"/>
    <w:rsid w:val="00EE295C"/>
    <w:rsid w:val="00EE2E94"/>
    <w:rsid w:val="00EE3817"/>
    <w:rsid w:val="00EE693D"/>
    <w:rsid w:val="00EF0711"/>
    <w:rsid w:val="00EF100C"/>
    <w:rsid w:val="00EF617F"/>
    <w:rsid w:val="00EF6BFB"/>
    <w:rsid w:val="00EF722C"/>
    <w:rsid w:val="00F0153E"/>
    <w:rsid w:val="00F04F18"/>
    <w:rsid w:val="00F05F68"/>
    <w:rsid w:val="00F074C3"/>
    <w:rsid w:val="00F106F0"/>
    <w:rsid w:val="00F10AD3"/>
    <w:rsid w:val="00F11642"/>
    <w:rsid w:val="00F12071"/>
    <w:rsid w:val="00F126D2"/>
    <w:rsid w:val="00F15B30"/>
    <w:rsid w:val="00F1679B"/>
    <w:rsid w:val="00F2152D"/>
    <w:rsid w:val="00F2392A"/>
    <w:rsid w:val="00F25378"/>
    <w:rsid w:val="00F25609"/>
    <w:rsid w:val="00F26D84"/>
    <w:rsid w:val="00F27941"/>
    <w:rsid w:val="00F31CA2"/>
    <w:rsid w:val="00F32EA9"/>
    <w:rsid w:val="00F33246"/>
    <w:rsid w:val="00F336D6"/>
    <w:rsid w:val="00F34047"/>
    <w:rsid w:val="00F34E59"/>
    <w:rsid w:val="00F3784D"/>
    <w:rsid w:val="00F37B47"/>
    <w:rsid w:val="00F408F6"/>
    <w:rsid w:val="00F40C7E"/>
    <w:rsid w:val="00F40D7A"/>
    <w:rsid w:val="00F42AEA"/>
    <w:rsid w:val="00F43B31"/>
    <w:rsid w:val="00F4630F"/>
    <w:rsid w:val="00F472BE"/>
    <w:rsid w:val="00F5059B"/>
    <w:rsid w:val="00F50C5F"/>
    <w:rsid w:val="00F51965"/>
    <w:rsid w:val="00F52D20"/>
    <w:rsid w:val="00F556DF"/>
    <w:rsid w:val="00F56398"/>
    <w:rsid w:val="00F602FA"/>
    <w:rsid w:val="00F64C44"/>
    <w:rsid w:val="00F673DD"/>
    <w:rsid w:val="00F673DF"/>
    <w:rsid w:val="00F67CE8"/>
    <w:rsid w:val="00F70E0D"/>
    <w:rsid w:val="00F713B9"/>
    <w:rsid w:val="00F71A1F"/>
    <w:rsid w:val="00F7540F"/>
    <w:rsid w:val="00F801CB"/>
    <w:rsid w:val="00F806B9"/>
    <w:rsid w:val="00F82ED1"/>
    <w:rsid w:val="00F850F3"/>
    <w:rsid w:val="00F8548B"/>
    <w:rsid w:val="00F86287"/>
    <w:rsid w:val="00F869D0"/>
    <w:rsid w:val="00F87F28"/>
    <w:rsid w:val="00F91C04"/>
    <w:rsid w:val="00F94BD1"/>
    <w:rsid w:val="00F961B1"/>
    <w:rsid w:val="00F9648B"/>
    <w:rsid w:val="00F968A1"/>
    <w:rsid w:val="00F97D09"/>
    <w:rsid w:val="00FA372E"/>
    <w:rsid w:val="00FA5342"/>
    <w:rsid w:val="00FA6B81"/>
    <w:rsid w:val="00FA6FB5"/>
    <w:rsid w:val="00FA7F7D"/>
    <w:rsid w:val="00FB1014"/>
    <w:rsid w:val="00FB1732"/>
    <w:rsid w:val="00FB304E"/>
    <w:rsid w:val="00FB3D47"/>
    <w:rsid w:val="00FB4601"/>
    <w:rsid w:val="00FB54A6"/>
    <w:rsid w:val="00FB77DC"/>
    <w:rsid w:val="00FC0DFB"/>
    <w:rsid w:val="00FC1091"/>
    <w:rsid w:val="00FC1B34"/>
    <w:rsid w:val="00FC2E5B"/>
    <w:rsid w:val="00FC3CFF"/>
    <w:rsid w:val="00FC52E7"/>
    <w:rsid w:val="00FC6E35"/>
    <w:rsid w:val="00FC7C55"/>
    <w:rsid w:val="00FD0FF2"/>
    <w:rsid w:val="00FD10BA"/>
    <w:rsid w:val="00FD1B70"/>
    <w:rsid w:val="00FD3A4D"/>
    <w:rsid w:val="00FD486E"/>
    <w:rsid w:val="00FD6575"/>
    <w:rsid w:val="00FE0D71"/>
    <w:rsid w:val="00FE1837"/>
    <w:rsid w:val="00FE3E11"/>
    <w:rsid w:val="00FE4EB7"/>
    <w:rsid w:val="00FE7FBE"/>
    <w:rsid w:val="00FF01F6"/>
    <w:rsid w:val="00FF072D"/>
    <w:rsid w:val="00FF1189"/>
    <w:rsid w:val="00FF2396"/>
    <w:rsid w:val="00FF52EB"/>
    <w:rsid w:val="00FF7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005daa,#13b5ea,#c9c1b8,#ebd722,#002b5c,black,#808184"/>
    </o:shapedefaults>
    <o:shapelayout v:ext="edit">
      <o:idmap v:ext="edit" data="2"/>
    </o:shapelayout>
  </w:shapeDefaults>
  <w:doNotEmbedSmartTags/>
  <w:decimalSymbol w:val="."/>
  <w:listSeparator w:val=","/>
  <w14:docId w14:val="4E278BDE"/>
  <w15:docId w15:val="{9CC9375E-68CE-4976-A676-F2061FC7C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290C"/>
    <w:pPr>
      <w:adjustRightInd w:val="0"/>
      <w:spacing w:before="180" w:after="180" w:line="240" w:lineRule="atLeast"/>
    </w:pPr>
    <w:rPr>
      <w:rFonts w:ascii="Arial" w:eastAsia="MS Mincho" w:hAnsi="Arial"/>
      <w:kern w:val="16"/>
      <w:lang w:eastAsia="ja-JP"/>
    </w:rPr>
  </w:style>
  <w:style w:type="paragraph" w:styleId="Heading1">
    <w:name w:val="heading 1"/>
    <w:basedOn w:val="Normal"/>
    <w:next w:val="BodyText"/>
    <w:link w:val="Heading1Char"/>
    <w:qFormat/>
    <w:rsid w:val="00E4290C"/>
    <w:pPr>
      <w:keepLines/>
      <w:pageBreakBefore/>
      <w:pBdr>
        <w:bottom w:val="single" w:sz="2" w:space="2" w:color="003263"/>
      </w:pBdr>
      <w:spacing w:before="0" w:after="1080" w:line="360" w:lineRule="atLeast"/>
      <w:outlineLvl w:val="0"/>
    </w:pPr>
    <w:rPr>
      <w:color w:val="003263"/>
      <w:sz w:val="32"/>
      <w:szCs w:val="32"/>
    </w:rPr>
  </w:style>
  <w:style w:type="paragraph" w:styleId="Heading2">
    <w:name w:val="heading 2"/>
    <w:basedOn w:val="Heading1"/>
    <w:next w:val="BodyText"/>
    <w:link w:val="Heading2Char"/>
    <w:qFormat/>
    <w:rsid w:val="00E4290C"/>
    <w:pPr>
      <w:pageBreakBefore w:val="0"/>
      <w:pBdr>
        <w:bottom w:val="none" w:sz="0" w:space="0" w:color="auto"/>
      </w:pBdr>
      <w:spacing w:before="360" w:after="80" w:line="240" w:lineRule="auto"/>
      <w:outlineLvl w:val="1"/>
    </w:pPr>
    <w:rPr>
      <w:color w:val="0060A9"/>
      <w:sz w:val="25"/>
      <w:szCs w:val="25"/>
    </w:rPr>
  </w:style>
  <w:style w:type="paragraph" w:styleId="Heading3">
    <w:name w:val="heading 3"/>
    <w:basedOn w:val="Heading2"/>
    <w:next w:val="BodyText"/>
    <w:qFormat/>
    <w:rsid w:val="00E4290C"/>
    <w:pPr>
      <w:outlineLvl w:val="2"/>
    </w:pPr>
    <w:rPr>
      <w:sz w:val="23"/>
      <w:szCs w:val="23"/>
    </w:rPr>
  </w:style>
  <w:style w:type="paragraph" w:styleId="Heading4">
    <w:name w:val="heading 4"/>
    <w:basedOn w:val="Heading3"/>
    <w:next w:val="BodyText"/>
    <w:qFormat/>
    <w:rsid w:val="00E4290C"/>
    <w:pPr>
      <w:outlineLvl w:val="3"/>
    </w:pPr>
    <w:rPr>
      <w:sz w:val="21"/>
    </w:rPr>
  </w:style>
  <w:style w:type="paragraph" w:styleId="Heading5">
    <w:name w:val="heading 5"/>
    <w:basedOn w:val="Heading4"/>
    <w:next w:val="BodyText"/>
    <w:qFormat/>
    <w:rsid w:val="00E4290C"/>
    <w:pPr>
      <w:outlineLvl w:val="4"/>
    </w:pPr>
    <w:rPr>
      <w:b/>
      <w:sz w:val="20"/>
    </w:rPr>
  </w:style>
  <w:style w:type="paragraph" w:styleId="Heading6">
    <w:name w:val="heading 6"/>
    <w:basedOn w:val="Heading5"/>
    <w:next w:val="BodyText"/>
    <w:qFormat/>
    <w:rsid w:val="00E4290C"/>
    <w:pPr>
      <w:outlineLvl w:val="5"/>
    </w:pPr>
    <w:rPr>
      <w:bCs/>
      <w:sz w:val="18"/>
      <w:szCs w:val="18"/>
    </w:rPr>
  </w:style>
  <w:style w:type="paragraph" w:styleId="Heading7">
    <w:name w:val="heading 7"/>
    <w:basedOn w:val="Heading5"/>
    <w:next w:val="Normal"/>
    <w:qFormat/>
    <w:rsid w:val="00E4290C"/>
    <w:pPr>
      <w:outlineLvl w:val="6"/>
    </w:pPr>
  </w:style>
  <w:style w:type="paragraph" w:styleId="Heading8">
    <w:name w:val="heading 8"/>
    <w:basedOn w:val="Heading4"/>
    <w:next w:val="Heading9"/>
    <w:qFormat/>
    <w:rsid w:val="00E4290C"/>
    <w:pPr>
      <w:numPr>
        <w:ilvl w:val="7"/>
        <w:numId w:val="4"/>
      </w:numPr>
      <w:outlineLvl w:val="7"/>
    </w:pPr>
    <w:rPr>
      <w:iCs/>
    </w:rPr>
  </w:style>
  <w:style w:type="paragraph" w:styleId="Heading9">
    <w:name w:val="heading 9"/>
    <w:basedOn w:val="Heading7"/>
    <w:next w:val="Normal"/>
    <w:qFormat/>
    <w:rsid w:val="00E4290C"/>
    <w:pPr>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E4290C"/>
    <w:rPr>
      <w:rFonts w:ascii="Tahoma" w:hAnsi="Tahoma" w:cs="Tahoma"/>
      <w:sz w:val="16"/>
      <w:szCs w:val="16"/>
    </w:rPr>
  </w:style>
  <w:style w:type="paragraph" w:styleId="Caption">
    <w:name w:val="caption"/>
    <w:basedOn w:val="Normal"/>
    <w:next w:val="Normal"/>
    <w:qFormat/>
    <w:rsid w:val="00E4290C"/>
    <w:pPr>
      <w:spacing w:before="120"/>
    </w:pPr>
    <w:rPr>
      <w:b/>
      <w:bCs/>
    </w:rPr>
  </w:style>
  <w:style w:type="character" w:styleId="CommentReference">
    <w:name w:val="annotation reference"/>
    <w:basedOn w:val="DefaultParagraphFont"/>
    <w:semiHidden/>
    <w:rsid w:val="00E4290C"/>
    <w:rPr>
      <w:rFonts w:ascii="Arial" w:hAnsi="Arial"/>
      <w:kern w:val="0"/>
      <w:sz w:val="16"/>
      <w:szCs w:val="16"/>
      <w:lang w:val="en-GB"/>
    </w:rPr>
  </w:style>
  <w:style w:type="paragraph" w:styleId="CommentText">
    <w:name w:val="annotation text"/>
    <w:basedOn w:val="Normal"/>
    <w:semiHidden/>
    <w:rsid w:val="00E4290C"/>
  </w:style>
  <w:style w:type="paragraph" w:styleId="CommentSubject">
    <w:name w:val="annotation subject"/>
    <w:basedOn w:val="CommentText"/>
    <w:next w:val="CommentText"/>
    <w:semiHidden/>
    <w:rsid w:val="00E4290C"/>
    <w:rPr>
      <w:b/>
      <w:bCs/>
    </w:rPr>
  </w:style>
  <w:style w:type="paragraph" w:styleId="DocumentMap">
    <w:name w:val="Document Map"/>
    <w:basedOn w:val="Normal"/>
    <w:semiHidden/>
    <w:rsid w:val="00E4290C"/>
    <w:pPr>
      <w:shd w:val="clear" w:color="auto" w:fill="000080"/>
    </w:pPr>
    <w:rPr>
      <w:rFonts w:ascii="Tahoma" w:hAnsi="Tahoma" w:cs="Tahoma"/>
    </w:rPr>
  </w:style>
  <w:style w:type="character" w:styleId="EndnoteReference">
    <w:name w:val="endnote reference"/>
    <w:basedOn w:val="DefaultParagraphFont"/>
    <w:semiHidden/>
    <w:rsid w:val="00E4290C"/>
    <w:rPr>
      <w:vertAlign w:val="superscript"/>
      <w:lang w:val="en-GB"/>
    </w:rPr>
  </w:style>
  <w:style w:type="paragraph" w:styleId="EndnoteText">
    <w:name w:val="endnote text"/>
    <w:basedOn w:val="Normal"/>
    <w:semiHidden/>
    <w:rsid w:val="00E4290C"/>
  </w:style>
  <w:style w:type="paragraph" w:styleId="Header">
    <w:name w:val="header"/>
    <w:basedOn w:val="Normal"/>
    <w:semiHidden/>
    <w:rsid w:val="00E4290C"/>
    <w:pPr>
      <w:tabs>
        <w:tab w:val="center" w:pos="4320"/>
        <w:tab w:val="right" w:pos="8640"/>
      </w:tabs>
    </w:pPr>
  </w:style>
  <w:style w:type="paragraph" w:styleId="Footer">
    <w:name w:val="footer"/>
    <w:basedOn w:val="Normal"/>
    <w:link w:val="FooterChar"/>
    <w:rsid w:val="00887BA1"/>
    <w:pPr>
      <w:tabs>
        <w:tab w:val="right" w:pos="8944"/>
      </w:tabs>
      <w:adjustRightInd/>
      <w:spacing w:before="0" w:after="60" w:line="240" w:lineRule="auto"/>
    </w:pPr>
    <w:rPr>
      <w:caps/>
      <w:noProof/>
      <w:snapToGrid w:val="0"/>
      <w:color w:val="003263"/>
      <w:spacing w:val="20"/>
      <w:kern w:val="12"/>
      <w:sz w:val="12"/>
      <w:szCs w:val="12"/>
    </w:rPr>
  </w:style>
  <w:style w:type="paragraph" w:styleId="Index1">
    <w:name w:val="index 1"/>
    <w:basedOn w:val="Normal"/>
    <w:next w:val="Normal"/>
    <w:semiHidden/>
    <w:rsid w:val="00E4290C"/>
    <w:pPr>
      <w:ind w:left="240" w:hanging="240"/>
    </w:pPr>
  </w:style>
  <w:style w:type="paragraph" w:styleId="Index2">
    <w:name w:val="index 2"/>
    <w:basedOn w:val="Normal"/>
    <w:next w:val="Normal"/>
    <w:semiHidden/>
    <w:rsid w:val="00E4290C"/>
    <w:pPr>
      <w:ind w:left="480" w:hanging="240"/>
    </w:pPr>
  </w:style>
  <w:style w:type="paragraph" w:styleId="Index3">
    <w:name w:val="index 3"/>
    <w:basedOn w:val="Normal"/>
    <w:next w:val="Normal"/>
    <w:semiHidden/>
    <w:rsid w:val="00E4290C"/>
    <w:pPr>
      <w:ind w:left="720" w:hanging="240"/>
    </w:pPr>
  </w:style>
  <w:style w:type="paragraph" w:styleId="Index4">
    <w:name w:val="index 4"/>
    <w:basedOn w:val="Normal"/>
    <w:next w:val="Normal"/>
    <w:semiHidden/>
    <w:rsid w:val="00E4290C"/>
    <w:pPr>
      <w:ind w:left="960" w:hanging="240"/>
    </w:pPr>
  </w:style>
  <w:style w:type="paragraph" w:styleId="Index5">
    <w:name w:val="index 5"/>
    <w:basedOn w:val="Normal"/>
    <w:next w:val="Normal"/>
    <w:semiHidden/>
    <w:rsid w:val="00E4290C"/>
    <w:pPr>
      <w:ind w:left="1200" w:hanging="240"/>
    </w:pPr>
  </w:style>
  <w:style w:type="paragraph" w:styleId="Index6">
    <w:name w:val="index 6"/>
    <w:basedOn w:val="Normal"/>
    <w:next w:val="Normal"/>
    <w:semiHidden/>
    <w:rsid w:val="00E4290C"/>
    <w:pPr>
      <w:ind w:left="1440" w:hanging="240"/>
    </w:pPr>
  </w:style>
  <w:style w:type="paragraph" w:styleId="Index7">
    <w:name w:val="index 7"/>
    <w:basedOn w:val="Normal"/>
    <w:next w:val="Normal"/>
    <w:semiHidden/>
    <w:rsid w:val="00E4290C"/>
    <w:pPr>
      <w:ind w:left="1680" w:hanging="240"/>
    </w:pPr>
  </w:style>
  <w:style w:type="paragraph" w:styleId="Index8">
    <w:name w:val="index 8"/>
    <w:basedOn w:val="Normal"/>
    <w:next w:val="Normal"/>
    <w:semiHidden/>
    <w:rsid w:val="00E4290C"/>
    <w:pPr>
      <w:ind w:left="1920" w:hanging="240"/>
    </w:pPr>
  </w:style>
  <w:style w:type="paragraph" w:styleId="Index9">
    <w:name w:val="index 9"/>
    <w:basedOn w:val="Normal"/>
    <w:next w:val="Normal"/>
    <w:semiHidden/>
    <w:rsid w:val="00E4290C"/>
    <w:pPr>
      <w:ind w:left="2160" w:hanging="240"/>
    </w:pPr>
  </w:style>
  <w:style w:type="paragraph" w:styleId="IndexHeading">
    <w:name w:val="index heading"/>
    <w:basedOn w:val="Normal"/>
    <w:next w:val="Index1"/>
    <w:semiHidden/>
    <w:rsid w:val="00E4290C"/>
    <w:rPr>
      <w:rFonts w:cs="Arial"/>
      <w:b/>
      <w:bCs/>
    </w:rPr>
  </w:style>
  <w:style w:type="paragraph" w:styleId="MacroText">
    <w:name w:val="macro"/>
    <w:semiHidden/>
    <w:rsid w:val="00E4290C"/>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n-GB" w:eastAsia="en-GB"/>
    </w:rPr>
  </w:style>
  <w:style w:type="paragraph" w:styleId="TableofAuthorities">
    <w:name w:val="table of authorities"/>
    <w:basedOn w:val="Normal"/>
    <w:next w:val="Normal"/>
    <w:semiHidden/>
    <w:rsid w:val="00E4290C"/>
    <w:pPr>
      <w:ind w:left="240" w:hanging="240"/>
    </w:pPr>
  </w:style>
  <w:style w:type="paragraph" w:customStyle="1" w:styleId="Draft">
    <w:name w:val="Draft"/>
    <w:basedOn w:val="BodyText"/>
    <w:rsid w:val="00E4290C"/>
    <w:pPr>
      <w:spacing w:after="160"/>
      <w:ind w:left="-101" w:right="-101"/>
      <w:jc w:val="center"/>
    </w:pPr>
    <w:rPr>
      <w:b/>
      <w:color w:val="AAAAAA"/>
      <w:sz w:val="40"/>
      <w:szCs w:val="28"/>
    </w:rPr>
  </w:style>
  <w:style w:type="paragraph" w:styleId="TOAHeading">
    <w:name w:val="toa heading"/>
    <w:basedOn w:val="Normal"/>
    <w:next w:val="Normal"/>
    <w:semiHidden/>
    <w:rsid w:val="00E4290C"/>
    <w:pPr>
      <w:spacing w:before="120"/>
    </w:pPr>
    <w:rPr>
      <w:rFonts w:cs="Arial"/>
      <w:b/>
      <w:bCs/>
    </w:rPr>
  </w:style>
  <w:style w:type="paragraph" w:styleId="TOC1">
    <w:name w:val="toc 1"/>
    <w:basedOn w:val="Normal"/>
    <w:rsid w:val="00E4290C"/>
    <w:pPr>
      <w:tabs>
        <w:tab w:val="left" w:pos="473"/>
        <w:tab w:val="right" w:pos="9761"/>
      </w:tabs>
      <w:spacing w:before="480" w:after="120"/>
      <w:ind w:left="45" w:right="28"/>
    </w:pPr>
    <w:rPr>
      <w:rFonts w:cs="Arial"/>
      <w:noProof/>
      <w:color w:val="003263"/>
      <w:sz w:val="22"/>
      <w:szCs w:val="22"/>
    </w:rPr>
  </w:style>
  <w:style w:type="paragraph" w:styleId="TOC2">
    <w:name w:val="toc 2"/>
    <w:basedOn w:val="Normal"/>
    <w:rsid w:val="00E4290C"/>
    <w:pPr>
      <w:tabs>
        <w:tab w:val="left" w:pos="1032"/>
        <w:tab w:val="right" w:pos="9761"/>
      </w:tabs>
      <w:spacing w:before="60" w:after="120" w:line="200" w:lineRule="atLeast"/>
      <w:ind w:left="516" w:right="-6"/>
    </w:pPr>
    <w:rPr>
      <w:rFonts w:cs="Arial"/>
      <w:noProof/>
      <w:color w:val="0060A9"/>
      <w:sz w:val="21"/>
      <w:szCs w:val="21"/>
      <w:lang w:val="en-CA"/>
    </w:rPr>
  </w:style>
  <w:style w:type="paragraph" w:styleId="TOC3">
    <w:name w:val="toc 3"/>
    <w:basedOn w:val="TOC2"/>
    <w:rsid w:val="00E4290C"/>
    <w:pPr>
      <w:tabs>
        <w:tab w:val="clear" w:pos="1032"/>
        <w:tab w:val="left" w:pos="1806"/>
      </w:tabs>
      <w:ind w:left="1049"/>
    </w:pPr>
  </w:style>
  <w:style w:type="paragraph" w:styleId="TOC4">
    <w:name w:val="toc 4"/>
    <w:basedOn w:val="TOC3"/>
    <w:next w:val="Normal"/>
    <w:semiHidden/>
    <w:rsid w:val="00E4290C"/>
  </w:style>
  <w:style w:type="paragraph" w:styleId="TOC5">
    <w:name w:val="toc 5"/>
    <w:basedOn w:val="TOC4"/>
    <w:next w:val="Normal"/>
    <w:semiHidden/>
    <w:rsid w:val="00E4290C"/>
  </w:style>
  <w:style w:type="paragraph" w:styleId="TOC6">
    <w:name w:val="toc 6"/>
    <w:basedOn w:val="Normal"/>
    <w:next w:val="Normal"/>
    <w:semiHidden/>
    <w:rsid w:val="00E4290C"/>
    <w:pPr>
      <w:tabs>
        <w:tab w:val="right" w:leader="dot" w:pos="9019"/>
      </w:tabs>
      <w:ind w:left="1300"/>
    </w:pPr>
    <w:rPr>
      <w:noProof/>
    </w:rPr>
  </w:style>
  <w:style w:type="paragraph" w:styleId="TOC7">
    <w:name w:val="toc 7"/>
    <w:basedOn w:val="Normal"/>
    <w:next w:val="Normal"/>
    <w:semiHidden/>
    <w:rsid w:val="00E4290C"/>
    <w:pPr>
      <w:ind w:left="1200"/>
    </w:pPr>
  </w:style>
  <w:style w:type="paragraph" w:styleId="TOC8">
    <w:name w:val="toc 8"/>
    <w:basedOn w:val="Normal"/>
    <w:next w:val="Normal"/>
    <w:semiHidden/>
    <w:rsid w:val="00E4290C"/>
    <w:pPr>
      <w:ind w:left="1400"/>
    </w:pPr>
  </w:style>
  <w:style w:type="paragraph" w:styleId="TOC9">
    <w:name w:val="toc 9"/>
    <w:basedOn w:val="Normal"/>
    <w:next w:val="Normal"/>
    <w:semiHidden/>
    <w:rsid w:val="00E4290C"/>
    <w:pPr>
      <w:ind w:left="1600"/>
    </w:pPr>
  </w:style>
  <w:style w:type="table" w:styleId="TableGrid">
    <w:name w:val="Table Grid"/>
    <w:basedOn w:val="TableNormal"/>
    <w:rsid w:val="00E4290C"/>
    <w:pPr>
      <w:spacing w:line="220" w:lineRule="atLeast"/>
    </w:pPr>
    <w:rPr>
      <w:rFonts w:ascii="Arial" w:hAnsi="Arial"/>
      <w:sz w:val="18"/>
    </w:rPr>
    <w:tblPr>
      <w:tblBorders>
        <w:top w:val="single" w:sz="6" w:space="0" w:color="8499A6"/>
        <w:bottom w:val="single" w:sz="6" w:space="0" w:color="8499A6"/>
        <w:insideH w:val="single" w:sz="6" w:space="0" w:color="8499A6"/>
      </w:tblBorders>
      <w:tblCellMar>
        <w:left w:w="102" w:type="dxa"/>
        <w:right w:w="102" w:type="dxa"/>
      </w:tblCellMar>
    </w:tblPr>
    <w:trPr>
      <w:cantSplit/>
    </w:trPr>
    <w:tcPr>
      <w:shd w:val="clear" w:color="auto" w:fill="auto"/>
    </w:tcPr>
    <w:tblStylePr w:type="firstRow">
      <w:pPr>
        <w:wordWrap/>
        <w:spacing w:beforeLines="0" w:before="0" w:beforeAutospacing="0" w:afterLines="0" w:after="0" w:afterAutospacing="0" w:line="220" w:lineRule="atLeast"/>
        <w:contextualSpacing w:val="0"/>
      </w:pPr>
      <w:rPr>
        <w:rFonts w:ascii="Arial" w:hAnsi="Arial"/>
        <w:b w:val="0"/>
        <w:i w:val="0"/>
        <w:color w:val="auto"/>
        <w:sz w:val="18"/>
      </w:rPr>
      <w:tblPr/>
      <w:trPr>
        <w:cantSplit w:val="0"/>
      </w:trPr>
      <w:tcPr>
        <w:tcBorders>
          <w:top w:val="single" w:sz="2" w:space="0" w:color="8499A6"/>
          <w:left w:val="nil"/>
          <w:bottom w:val="single" w:sz="2" w:space="0" w:color="8499A6"/>
          <w:right w:val="nil"/>
          <w:insideH w:val="single" w:sz="2" w:space="0" w:color="B3C1C9"/>
          <w:insideV w:val="nil"/>
          <w:tl2br w:val="nil"/>
          <w:tr2bl w:val="nil"/>
        </w:tcBorders>
      </w:tcPr>
    </w:tblStylePr>
  </w:style>
  <w:style w:type="table" w:styleId="TableGrid1">
    <w:name w:val="Table Grid 1"/>
    <w:basedOn w:val="TableNormal"/>
    <w:semiHidden/>
    <w:rsid w:val="00E4290C"/>
    <w:rPr>
      <w:rFonts w:ascii="Verdana" w:hAnsi="Verdana"/>
      <w:color w:val="6F6E6F"/>
      <w:sz w:val="18"/>
    </w:rPr>
    <w:tblPr>
      <w:tblBorders>
        <w:top w:val="single" w:sz="6" w:space="0" w:color="6F6E6F"/>
        <w:bottom w:val="single" w:sz="6" w:space="0" w:color="6F6E6F"/>
        <w:insideH w:val="single" w:sz="6" w:space="0" w:color="6F6E6F"/>
        <w:insideV w:val="single" w:sz="6" w:space="0" w:color="6F6E6F"/>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E4290C"/>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E4290C"/>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E4290C"/>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E4290C"/>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E4290C"/>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E4290C"/>
    <w:rPr>
      <w:bCs/>
    </w:rP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E4290C"/>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NumHead1">
    <w:name w:val="NumHead 1"/>
    <w:basedOn w:val="Heading1"/>
    <w:next w:val="BodyText"/>
    <w:link w:val="NumHead1CharChar"/>
    <w:rsid w:val="00E4290C"/>
    <w:pPr>
      <w:numPr>
        <w:numId w:val="18"/>
      </w:numPr>
    </w:pPr>
  </w:style>
  <w:style w:type="character" w:customStyle="1" w:styleId="TableBullet1CharChar">
    <w:name w:val="Table Bullet 1 Char Char"/>
    <w:basedOn w:val="DefaultParagraphFont"/>
    <w:link w:val="TableBullet1"/>
    <w:rsid w:val="00E4290C"/>
    <w:rPr>
      <w:rFonts w:ascii="Arial" w:eastAsia="MS Mincho" w:hAnsi="Arial"/>
      <w:kern w:val="16"/>
      <w:sz w:val="16"/>
      <w:szCs w:val="18"/>
      <w:lang w:val="en-US" w:eastAsia="ja-JP" w:bidi="ar-SA"/>
    </w:rPr>
  </w:style>
  <w:style w:type="paragraph" w:customStyle="1" w:styleId="NumHead2">
    <w:name w:val="NumHead 2"/>
    <w:basedOn w:val="NumHead1"/>
    <w:next w:val="BodyText"/>
    <w:link w:val="NumHead2CharChar"/>
    <w:rsid w:val="00E4290C"/>
    <w:pPr>
      <w:pageBreakBefore w:val="0"/>
      <w:numPr>
        <w:ilvl w:val="1"/>
      </w:numPr>
      <w:pBdr>
        <w:bottom w:val="none" w:sz="0" w:space="0" w:color="auto"/>
      </w:pBdr>
      <w:spacing w:before="360" w:after="60" w:line="280" w:lineRule="atLeast"/>
    </w:pPr>
    <w:rPr>
      <w:rFonts w:cs="Arial"/>
      <w:color w:val="0060A9"/>
      <w:sz w:val="25"/>
      <w:szCs w:val="25"/>
    </w:rPr>
  </w:style>
  <w:style w:type="paragraph" w:customStyle="1" w:styleId="TableTitle">
    <w:name w:val="Table Title"/>
    <w:basedOn w:val="TableText"/>
    <w:autoRedefine/>
    <w:rsid w:val="000B291C"/>
    <w:pPr>
      <w:spacing w:before="120" w:line="240" w:lineRule="atLeast"/>
    </w:pPr>
    <w:rPr>
      <w:b/>
      <w:color w:val="0060A9"/>
      <w:lang w:eastAsia="zh-CN"/>
    </w:rPr>
  </w:style>
  <w:style w:type="paragraph" w:customStyle="1" w:styleId="TableSubtitle">
    <w:name w:val="Table Subtitle"/>
    <w:basedOn w:val="TableText"/>
    <w:next w:val="TableText"/>
    <w:rsid w:val="00E32DBC"/>
    <w:pPr>
      <w:spacing w:before="0"/>
    </w:pPr>
    <w:rPr>
      <w:rFonts w:cs="Arial"/>
      <w:b/>
      <w:i/>
      <w:color w:val="003263"/>
      <w:lang w:eastAsia="zh-CN"/>
    </w:rPr>
  </w:style>
  <w:style w:type="paragraph" w:customStyle="1" w:styleId="TableHeading">
    <w:name w:val="Table Heading"/>
    <w:basedOn w:val="TableText"/>
    <w:rsid w:val="00E4290C"/>
    <w:pPr>
      <w:spacing w:before="360"/>
    </w:pPr>
    <w:rPr>
      <w:b/>
    </w:rPr>
  </w:style>
  <w:style w:type="character" w:customStyle="1" w:styleId="Blue">
    <w:name w:val="Blue"/>
    <w:basedOn w:val="DefaultParagraphFont"/>
    <w:semiHidden/>
    <w:rsid w:val="00E4290C"/>
    <w:rPr>
      <w:rFonts w:ascii="Verdana" w:hAnsi="Verdana"/>
      <w:color w:val="0045A9"/>
      <w:kern w:val="0"/>
      <w:lang w:val="en-GB"/>
    </w:rPr>
  </w:style>
  <w:style w:type="paragraph" w:styleId="ListBullet">
    <w:name w:val="List Bullet"/>
    <w:basedOn w:val="List"/>
    <w:link w:val="ListBulletChar"/>
    <w:rsid w:val="00E4290C"/>
    <w:pPr>
      <w:numPr>
        <w:numId w:val="9"/>
      </w:numPr>
    </w:pPr>
    <w:rPr>
      <w:color w:val="000000"/>
    </w:rPr>
  </w:style>
  <w:style w:type="character" w:customStyle="1" w:styleId="Heading1Char">
    <w:name w:val="Heading 1 Char"/>
    <w:basedOn w:val="DefaultParagraphFont"/>
    <w:link w:val="Heading1"/>
    <w:rsid w:val="00E4290C"/>
    <w:rPr>
      <w:rFonts w:ascii="Arial" w:eastAsia="MS Mincho" w:hAnsi="Arial"/>
      <w:color w:val="003263"/>
      <w:kern w:val="16"/>
      <w:sz w:val="32"/>
      <w:szCs w:val="32"/>
      <w:lang w:val="en-US" w:eastAsia="ja-JP" w:bidi="ar-SA"/>
    </w:rPr>
  </w:style>
  <w:style w:type="paragraph" w:customStyle="1" w:styleId="NumHead3">
    <w:name w:val="NumHead 3"/>
    <w:basedOn w:val="NumHead2"/>
    <w:next w:val="BodyText"/>
    <w:link w:val="NumHead3CharChar"/>
    <w:rsid w:val="00E4290C"/>
    <w:pPr>
      <w:numPr>
        <w:ilvl w:val="2"/>
      </w:numPr>
      <w:tabs>
        <w:tab w:val="left" w:pos="851"/>
      </w:tabs>
      <w:spacing w:after="0" w:line="260" w:lineRule="atLeast"/>
    </w:pPr>
    <w:rPr>
      <w:sz w:val="22"/>
    </w:rPr>
  </w:style>
  <w:style w:type="paragraph" w:styleId="BodyText">
    <w:name w:val="Body Text"/>
    <w:basedOn w:val="Normal"/>
    <w:link w:val="BodyTextChar"/>
    <w:rsid w:val="00E4290C"/>
    <w:pPr>
      <w:spacing w:before="120" w:after="120" w:line="260" w:lineRule="atLeast"/>
    </w:pPr>
  </w:style>
  <w:style w:type="paragraph" w:styleId="ListBullet4">
    <w:name w:val="List Bullet 4"/>
    <w:basedOn w:val="Normal"/>
    <w:semiHidden/>
    <w:rsid w:val="00E4290C"/>
    <w:pPr>
      <w:numPr>
        <w:numId w:val="12"/>
      </w:numPr>
    </w:pPr>
  </w:style>
  <w:style w:type="paragraph" w:styleId="ListBullet5">
    <w:name w:val="List Bullet 5"/>
    <w:basedOn w:val="Normal"/>
    <w:semiHidden/>
    <w:rsid w:val="00E4290C"/>
    <w:pPr>
      <w:numPr>
        <w:numId w:val="13"/>
      </w:numPr>
    </w:pPr>
  </w:style>
  <w:style w:type="paragraph" w:customStyle="1" w:styleId="NumHeadI">
    <w:name w:val="NumHead I"/>
    <w:basedOn w:val="Normal"/>
    <w:next w:val="Normal"/>
    <w:semiHidden/>
    <w:rsid w:val="00E4290C"/>
    <w:pPr>
      <w:keepLines/>
      <w:tabs>
        <w:tab w:val="num" w:pos="1008"/>
      </w:tabs>
      <w:spacing w:before="360" w:line="270" w:lineRule="atLeast"/>
      <w:ind w:left="1008" w:hanging="1008"/>
    </w:pPr>
    <w:rPr>
      <w:b/>
      <w:vanish/>
      <w:color w:val="FF0000"/>
    </w:rPr>
  </w:style>
  <w:style w:type="paragraph" w:customStyle="1" w:styleId="NumHeadII">
    <w:name w:val="NumHead 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II">
    <w:name w:val="NumHead I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V">
    <w:name w:val="NumHead IV"/>
    <w:basedOn w:val="Normal"/>
    <w:next w:val="Normal"/>
    <w:semiHidden/>
    <w:rsid w:val="00E4290C"/>
    <w:pPr>
      <w:keepNext/>
      <w:keepLines/>
      <w:tabs>
        <w:tab w:val="num" w:pos="1008"/>
      </w:tabs>
      <w:spacing w:before="360" w:line="270" w:lineRule="atLeast"/>
      <w:ind w:left="1008" w:hanging="1008"/>
    </w:pPr>
    <w:rPr>
      <w:b/>
    </w:rPr>
  </w:style>
  <w:style w:type="paragraph" w:customStyle="1" w:styleId="NumHeadV">
    <w:name w:val="NumHead V"/>
    <w:basedOn w:val="Normal"/>
    <w:next w:val="Normal"/>
    <w:semiHidden/>
    <w:rsid w:val="00E4290C"/>
    <w:pPr>
      <w:keepNext/>
      <w:keepLines/>
      <w:tabs>
        <w:tab w:val="num" w:pos="1008"/>
      </w:tabs>
      <w:spacing w:before="360" w:line="270" w:lineRule="atLeast"/>
      <w:ind w:left="1008" w:hanging="1008"/>
    </w:pPr>
    <w:rPr>
      <w:b/>
    </w:rPr>
  </w:style>
  <w:style w:type="character" w:customStyle="1" w:styleId="TitleChar">
    <w:name w:val="Title Char"/>
    <w:basedOn w:val="DefaultParagraphFont"/>
    <w:link w:val="Title"/>
    <w:rsid w:val="00E4290C"/>
    <w:rPr>
      <w:rFonts w:ascii="Arial" w:eastAsia="MS Mincho" w:hAnsi="Arial" w:cs="Arial"/>
      <w:color w:val="FFFFFF"/>
      <w:kern w:val="16"/>
      <w:sz w:val="40"/>
      <w:szCs w:val="40"/>
      <w:lang w:val="en-US" w:eastAsia="ja-JP" w:bidi="ar-SA"/>
    </w:rPr>
  </w:style>
  <w:style w:type="paragraph" w:styleId="Subtitle">
    <w:name w:val="Subtitle"/>
    <w:basedOn w:val="Title"/>
    <w:link w:val="SubtitleChar"/>
    <w:qFormat/>
    <w:rsid w:val="0039777B"/>
    <w:pPr>
      <w:spacing w:after="100" w:afterAutospacing="1" w:line="360" w:lineRule="atLeast"/>
    </w:pPr>
    <w:rPr>
      <w:b/>
      <w:i/>
      <w:sz w:val="28"/>
      <w:szCs w:val="28"/>
    </w:rPr>
  </w:style>
  <w:style w:type="paragraph" w:styleId="Salutation">
    <w:name w:val="Salutation"/>
    <w:basedOn w:val="Normal"/>
    <w:next w:val="Normal"/>
    <w:semiHidden/>
    <w:rsid w:val="00E4290C"/>
  </w:style>
  <w:style w:type="paragraph" w:styleId="MessageHeader">
    <w:name w:val="Message Header"/>
    <w:basedOn w:val="Normal"/>
    <w:semiHidden/>
    <w:rsid w:val="00E4290C"/>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customStyle="1" w:styleId="NumHead4">
    <w:name w:val="NumHead 4"/>
    <w:basedOn w:val="NumHead3"/>
    <w:next w:val="BodyText"/>
    <w:link w:val="NumHead4CharChar"/>
    <w:rsid w:val="00E4290C"/>
    <w:pPr>
      <w:numPr>
        <w:ilvl w:val="3"/>
      </w:numPr>
      <w:tabs>
        <w:tab w:val="clear" w:pos="851"/>
        <w:tab w:val="left" w:pos="907"/>
      </w:tabs>
    </w:pPr>
    <w:rPr>
      <w:sz w:val="21"/>
      <w:szCs w:val="21"/>
    </w:rPr>
  </w:style>
  <w:style w:type="character" w:customStyle="1" w:styleId="SubtitleChar">
    <w:name w:val="Subtitle Char"/>
    <w:basedOn w:val="TitleChar"/>
    <w:link w:val="Subtitle"/>
    <w:rsid w:val="0039777B"/>
    <w:rPr>
      <w:rFonts w:ascii="Arial" w:eastAsia="MS Mincho" w:hAnsi="Arial" w:cs="Arial"/>
      <w:b/>
      <w:i/>
      <w:color w:val="FFFFFF"/>
      <w:kern w:val="16"/>
      <w:sz w:val="28"/>
      <w:szCs w:val="28"/>
      <w:lang w:val="en-US" w:eastAsia="ja-JP" w:bidi="ar-SA"/>
    </w:rPr>
  </w:style>
  <w:style w:type="paragraph" w:customStyle="1" w:styleId="BodyTextBold">
    <w:name w:val="Body Text Bold"/>
    <w:basedOn w:val="BlockText"/>
    <w:next w:val="BodyText"/>
    <w:rsid w:val="00E4290C"/>
    <w:pPr>
      <w:ind w:left="0"/>
    </w:pPr>
    <w:rPr>
      <w:b/>
    </w:rPr>
  </w:style>
  <w:style w:type="paragraph" w:customStyle="1" w:styleId="NumHead5">
    <w:name w:val="NumHead 5"/>
    <w:basedOn w:val="NumHead4"/>
    <w:next w:val="BodyText"/>
    <w:link w:val="NumHead5CharChar"/>
    <w:rsid w:val="00E4290C"/>
    <w:pPr>
      <w:numPr>
        <w:ilvl w:val="4"/>
      </w:numPr>
      <w:tabs>
        <w:tab w:val="clear" w:pos="907"/>
        <w:tab w:val="left" w:pos="1021"/>
      </w:tabs>
      <w:spacing w:line="240" w:lineRule="atLeast"/>
    </w:pPr>
    <w:rPr>
      <w:szCs w:val="19"/>
    </w:rPr>
  </w:style>
  <w:style w:type="character" w:customStyle="1" w:styleId="NumHead1CharChar">
    <w:name w:val="NumHead 1 Char Char"/>
    <w:basedOn w:val="DefaultParagraphFont"/>
    <w:link w:val="NumHead1"/>
    <w:rsid w:val="00E4290C"/>
    <w:rPr>
      <w:rFonts w:ascii="Arial" w:eastAsia="MS Mincho" w:hAnsi="Arial"/>
      <w:color w:val="003263"/>
      <w:kern w:val="16"/>
      <w:sz w:val="32"/>
      <w:szCs w:val="32"/>
      <w:lang w:val="en-US" w:eastAsia="ja-JP" w:bidi="ar-SA"/>
    </w:rPr>
  </w:style>
  <w:style w:type="character" w:customStyle="1" w:styleId="NumHead2CharChar">
    <w:name w:val="NumHead 2 Char Char"/>
    <w:basedOn w:val="NumHead1CharChar"/>
    <w:link w:val="NumHead2"/>
    <w:rsid w:val="00E4290C"/>
    <w:rPr>
      <w:rFonts w:ascii="Arial" w:eastAsia="MS Mincho" w:hAnsi="Arial" w:cs="Arial"/>
      <w:color w:val="0060A9"/>
      <w:kern w:val="16"/>
      <w:sz w:val="25"/>
      <w:szCs w:val="25"/>
      <w:lang w:val="en-US" w:eastAsia="ja-JP" w:bidi="ar-SA"/>
    </w:rPr>
  </w:style>
  <w:style w:type="paragraph" w:customStyle="1" w:styleId="Question1">
    <w:name w:val="Question 1"/>
    <w:basedOn w:val="Normal"/>
    <w:next w:val="BodyText"/>
    <w:rsid w:val="00E4290C"/>
    <w:pPr>
      <w:keepNext/>
      <w:keepLines/>
      <w:numPr>
        <w:numId w:val="21"/>
      </w:numPr>
      <w:pBdr>
        <w:bottom w:val="single" w:sz="2" w:space="4" w:color="8499A6"/>
      </w:pBdr>
      <w:adjustRightInd/>
      <w:spacing w:before="600" w:after="60"/>
    </w:pPr>
    <w:rPr>
      <w:color w:val="0060A9"/>
      <w:lang w:val="en-CA" w:eastAsia="en-US"/>
    </w:rPr>
  </w:style>
  <w:style w:type="paragraph" w:customStyle="1" w:styleId="Question2">
    <w:name w:val="Question 2"/>
    <w:basedOn w:val="Question1"/>
    <w:next w:val="BodyText"/>
    <w:rsid w:val="00E4290C"/>
    <w:pPr>
      <w:numPr>
        <w:numId w:val="0"/>
      </w:numPr>
    </w:pPr>
  </w:style>
  <w:style w:type="paragraph" w:styleId="List">
    <w:name w:val="List"/>
    <w:basedOn w:val="BodyText"/>
    <w:link w:val="ListChar"/>
    <w:rsid w:val="00E4290C"/>
    <w:pPr>
      <w:numPr>
        <w:numId w:val="5"/>
      </w:numPr>
      <w:spacing w:line="240" w:lineRule="atLeast"/>
    </w:pPr>
    <w:rPr>
      <w:sz w:val="19"/>
      <w:szCs w:val="19"/>
      <w:lang w:val="en-CA"/>
    </w:rPr>
  </w:style>
  <w:style w:type="paragraph" w:customStyle="1" w:styleId="DateFrontpage">
    <w:name w:val="Date Front page"/>
    <w:basedOn w:val="BodyText"/>
    <w:rsid w:val="00E4290C"/>
    <w:pPr>
      <w:framePr w:w="4043" w:h="357" w:hRule="exact" w:hSpace="181" w:wrap="notBeside" w:vAnchor="page" w:hAnchor="page" w:x="1231" w:y="5217" w:anchorLock="1"/>
      <w:spacing w:after="240"/>
    </w:pPr>
    <w:rPr>
      <w:smallCaps/>
      <w:color w:val="FFFFFF"/>
      <w:sz w:val="16"/>
      <w:szCs w:val="16"/>
    </w:rPr>
  </w:style>
  <w:style w:type="character" w:customStyle="1" w:styleId="NumHead3CharChar">
    <w:name w:val="NumHead 3 Char Char"/>
    <w:basedOn w:val="NumHead2CharChar"/>
    <w:link w:val="NumHead3"/>
    <w:rsid w:val="00E4290C"/>
    <w:rPr>
      <w:rFonts w:ascii="Arial" w:eastAsia="MS Mincho" w:hAnsi="Arial" w:cs="Arial"/>
      <w:color w:val="0060A9"/>
      <w:kern w:val="16"/>
      <w:sz w:val="22"/>
      <w:szCs w:val="25"/>
      <w:lang w:val="en-US" w:eastAsia="ja-JP" w:bidi="ar-SA"/>
    </w:rPr>
  </w:style>
  <w:style w:type="character" w:customStyle="1" w:styleId="NumHead4CharChar">
    <w:name w:val="NumHead 4 Char Char"/>
    <w:basedOn w:val="NumHead3CharChar"/>
    <w:link w:val="NumHead4"/>
    <w:rsid w:val="00E4290C"/>
    <w:rPr>
      <w:rFonts w:ascii="Arial" w:eastAsia="MS Mincho" w:hAnsi="Arial" w:cs="Arial"/>
      <w:color w:val="0060A9"/>
      <w:kern w:val="16"/>
      <w:sz w:val="21"/>
      <w:szCs w:val="21"/>
      <w:lang w:val="en-US" w:eastAsia="ja-JP" w:bidi="ar-SA"/>
    </w:rPr>
  </w:style>
  <w:style w:type="character" w:customStyle="1" w:styleId="BodyTextChar">
    <w:name w:val="Body Text Char"/>
    <w:basedOn w:val="DefaultParagraphFont"/>
    <w:link w:val="BodyText"/>
    <w:rsid w:val="00E4290C"/>
    <w:rPr>
      <w:rFonts w:ascii="Arial" w:eastAsia="MS Mincho" w:hAnsi="Arial"/>
      <w:kern w:val="16"/>
      <w:lang w:val="en-US" w:eastAsia="ja-JP" w:bidi="ar-SA"/>
    </w:rPr>
  </w:style>
  <w:style w:type="paragraph" w:styleId="PlainText">
    <w:name w:val="Plain Text"/>
    <w:basedOn w:val="Normal"/>
    <w:semiHidden/>
    <w:rsid w:val="00E4290C"/>
    <w:rPr>
      <w:rFonts w:ascii="Courier New" w:hAnsi="Courier New" w:cs="Courier New"/>
    </w:rPr>
  </w:style>
  <w:style w:type="numbering" w:styleId="111111">
    <w:name w:val="Outline List 2"/>
    <w:basedOn w:val="NoList"/>
    <w:semiHidden/>
    <w:rsid w:val="00E4290C"/>
    <w:pPr>
      <w:numPr>
        <w:numId w:val="1"/>
      </w:numPr>
    </w:pPr>
  </w:style>
  <w:style w:type="paragraph" w:styleId="BlockText">
    <w:name w:val="Block Text"/>
    <w:basedOn w:val="Normal"/>
    <w:semiHidden/>
    <w:rsid w:val="00E4290C"/>
    <w:pPr>
      <w:ind w:left="1440" w:right="1440"/>
    </w:pPr>
  </w:style>
  <w:style w:type="character" w:customStyle="1" w:styleId="NumHead5CharChar">
    <w:name w:val="NumHead 5 Char Char"/>
    <w:basedOn w:val="NumHead4CharChar"/>
    <w:link w:val="NumHead5"/>
    <w:rsid w:val="00E4290C"/>
    <w:rPr>
      <w:rFonts w:ascii="Arial" w:eastAsia="MS Mincho" w:hAnsi="Arial" w:cs="Arial"/>
      <w:color w:val="0060A9"/>
      <w:kern w:val="16"/>
      <w:sz w:val="21"/>
      <w:szCs w:val="19"/>
      <w:lang w:val="en-US" w:eastAsia="ja-JP" w:bidi="ar-SA"/>
    </w:rPr>
  </w:style>
  <w:style w:type="character" w:customStyle="1" w:styleId="Heading1CharChar">
    <w:name w:val="Heading 1 Char Char"/>
    <w:basedOn w:val="DefaultParagraphFont"/>
    <w:rsid w:val="00541410"/>
    <w:rPr>
      <w:rFonts w:ascii="Arial" w:eastAsia="MS Mincho" w:hAnsi="Arial"/>
      <w:color w:val="003263"/>
      <w:kern w:val="16"/>
      <w:sz w:val="32"/>
      <w:szCs w:val="32"/>
      <w:lang w:val="en-US" w:eastAsia="ja-JP" w:bidi="ar-SA"/>
    </w:rPr>
  </w:style>
  <w:style w:type="paragraph" w:customStyle="1" w:styleId="Question3">
    <w:name w:val="Question 3"/>
    <w:basedOn w:val="Question1"/>
    <w:next w:val="BodyText"/>
    <w:rsid w:val="00E4290C"/>
    <w:pPr>
      <w:numPr>
        <w:numId w:val="22"/>
      </w:numPr>
    </w:pPr>
  </w:style>
  <w:style w:type="paragraph" w:customStyle="1" w:styleId="Question5">
    <w:name w:val="Question 5"/>
    <w:basedOn w:val="Question1"/>
    <w:next w:val="BodyText"/>
    <w:rsid w:val="00E4290C"/>
    <w:pPr>
      <w:numPr>
        <w:numId w:val="24"/>
      </w:numPr>
    </w:pPr>
  </w:style>
  <w:style w:type="paragraph" w:customStyle="1" w:styleId="Question4">
    <w:name w:val="Question 4"/>
    <w:basedOn w:val="Question1"/>
    <w:next w:val="BodyText"/>
    <w:rsid w:val="00E4290C"/>
    <w:pPr>
      <w:numPr>
        <w:numId w:val="23"/>
      </w:numPr>
    </w:pPr>
  </w:style>
  <w:style w:type="character" w:customStyle="1" w:styleId="Heading2Char">
    <w:name w:val="Heading 2 Char"/>
    <w:basedOn w:val="Heading1Char"/>
    <w:link w:val="Heading2"/>
    <w:rsid w:val="00E4290C"/>
    <w:rPr>
      <w:rFonts w:ascii="Arial" w:eastAsia="MS Mincho" w:hAnsi="Arial"/>
      <w:color w:val="0060A9"/>
      <w:kern w:val="16"/>
      <w:sz w:val="25"/>
      <w:szCs w:val="25"/>
      <w:lang w:val="en-US" w:eastAsia="ja-JP" w:bidi="ar-SA"/>
    </w:rPr>
  </w:style>
  <w:style w:type="paragraph" w:customStyle="1" w:styleId="Redtext">
    <w:name w:val="Red text"/>
    <w:basedOn w:val="BodyText"/>
    <w:rsid w:val="00E4290C"/>
    <w:rPr>
      <w:i/>
      <w:color w:val="FF0000"/>
    </w:rPr>
  </w:style>
  <w:style w:type="paragraph" w:customStyle="1" w:styleId="TitleDisclaimer">
    <w:name w:val="Title Disclaimer"/>
    <w:basedOn w:val="Heading1"/>
    <w:rsid w:val="00E4290C"/>
  </w:style>
  <w:style w:type="paragraph" w:customStyle="1" w:styleId="Quotation">
    <w:name w:val="Quotation"/>
    <w:basedOn w:val="SubHeading"/>
    <w:rsid w:val="0039777B"/>
    <w:pPr>
      <w:spacing w:after="120" w:line="280" w:lineRule="atLeast"/>
    </w:pPr>
    <w:rPr>
      <w:sz w:val="18"/>
    </w:rPr>
  </w:style>
  <w:style w:type="character" w:customStyle="1" w:styleId="ListChar">
    <w:name w:val="List Char"/>
    <w:basedOn w:val="DefaultParagraphFont"/>
    <w:link w:val="List"/>
    <w:rsid w:val="00E4290C"/>
    <w:rPr>
      <w:rFonts w:ascii="Arial" w:eastAsia="MS Mincho" w:hAnsi="Arial"/>
      <w:kern w:val="16"/>
      <w:sz w:val="19"/>
      <w:szCs w:val="19"/>
      <w:lang w:val="en-CA" w:eastAsia="ja-JP" w:bidi="ar-SA"/>
    </w:rPr>
  </w:style>
  <w:style w:type="character" w:customStyle="1" w:styleId="ListBulletChar">
    <w:name w:val="List Bullet Char"/>
    <w:basedOn w:val="DefaultParagraphFont"/>
    <w:link w:val="ListBullet"/>
    <w:rsid w:val="004A21A3"/>
    <w:rPr>
      <w:rFonts w:ascii="Arial" w:eastAsia="MS Mincho" w:hAnsi="Arial"/>
      <w:color w:val="000000"/>
      <w:kern w:val="16"/>
      <w:sz w:val="19"/>
      <w:szCs w:val="19"/>
      <w:lang w:val="en-CA" w:eastAsia="ja-JP" w:bidi="ar-SA"/>
    </w:rPr>
  </w:style>
  <w:style w:type="numbering" w:customStyle="1" w:styleId="NumHeadListChapter">
    <w:name w:val="NumHead List Chapter"/>
    <w:basedOn w:val="NoList"/>
    <w:semiHidden/>
    <w:rsid w:val="00E4290C"/>
    <w:pPr>
      <w:numPr>
        <w:numId w:val="29"/>
      </w:numPr>
    </w:pPr>
  </w:style>
  <w:style w:type="numbering" w:customStyle="1" w:styleId="NumHeadListAppendix">
    <w:name w:val="NumHead List Appendix"/>
    <w:basedOn w:val="NoList"/>
    <w:semiHidden/>
    <w:rsid w:val="00E4290C"/>
    <w:pPr>
      <w:numPr>
        <w:numId w:val="19"/>
      </w:numPr>
    </w:pPr>
  </w:style>
  <w:style w:type="character" w:customStyle="1" w:styleId="ListBullet2Char">
    <w:name w:val="List Bullet 2 Char"/>
    <w:basedOn w:val="ListBulletChar"/>
    <w:link w:val="ListBullet2"/>
    <w:rsid w:val="00E4290C"/>
    <w:rPr>
      <w:rFonts w:ascii="Arial" w:eastAsia="MS Mincho" w:hAnsi="Arial"/>
      <w:color w:val="000000"/>
      <w:kern w:val="16"/>
      <w:sz w:val="19"/>
      <w:szCs w:val="19"/>
      <w:lang w:val="en-CA" w:eastAsia="ja-JP" w:bidi="ar-SA"/>
    </w:rPr>
  </w:style>
  <w:style w:type="character" w:customStyle="1" w:styleId="TableTextCharChar">
    <w:name w:val="Table Text Char Char"/>
    <w:basedOn w:val="DefaultParagraphFont"/>
    <w:link w:val="TableText"/>
    <w:rsid w:val="00E4290C"/>
    <w:rPr>
      <w:rFonts w:ascii="Arial" w:eastAsia="MS Mincho" w:hAnsi="Arial"/>
      <w:kern w:val="16"/>
      <w:sz w:val="18"/>
      <w:szCs w:val="18"/>
      <w:lang w:val="en-US" w:eastAsia="ja-JP" w:bidi="ar-SA"/>
    </w:rPr>
  </w:style>
  <w:style w:type="paragraph" w:customStyle="1" w:styleId="SubHeading">
    <w:name w:val="Sub Heading"/>
    <w:next w:val="BodyText"/>
    <w:rsid w:val="0039777B"/>
    <w:pPr>
      <w:spacing w:before="120" w:after="1080" w:line="260" w:lineRule="atLeast"/>
    </w:pPr>
    <w:rPr>
      <w:rFonts w:ascii="Arial" w:eastAsia="MS Mincho" w:hAnsi="Arial"/>
      <w:b/>
      <w:i/>
      <w:color w:val="0060A9"/>
      <w:kern w:val="16"/>
      <w:sz w:val="24"/>
      <w:szCs w:val="24"/>
      <w:lang w:eastAsia="ja-JP"/>
    </w:rPr>
  </w:style>
  <w:style w:type="paragraph" w:customStyle="1" w:styleId="FootnoteSeparator">
    <w:name w:val="Footnote Separator"/>
    <w:basedOn w:val="Normal"/>
    <w:semiHidden/>
    <w:rsid w:val="00E4290C"/>
    <w:pPr>
      <w:keepLines/>
    </w:pPr>
    <w:rPr>
      <w:rFonts w:cs="Arial"/>
      <w:noProof/>
      <w:sz w:val="10"/>
      <w:szCs w:val="10"/>
      <w:lang w:eastAsia="en-GB"/>
    </w:rPr>
  </w:style>
  <w:style w:type="paragraph" w:customStyle="1" w:styleId="Default">
    <w:name w:val="Default"/>
    <w:semiHidden/>
    <w:rsid w:val="00E4290C"/>
    <w:pPr>
      <w:autoSpaceDE w:val="0"/>
      <w:autoSpaceDN w:val="0"/>
      <w:adjustRightInd w:val="0"/>
    </w:pPr>
    <w:rPr>
      <w:rFonts w:ascii="Arial" w:eastAsia="Times New Roman" w:hAnsi="Arial" w:cs="Arial"/>
      <w:color w:val="000000"/>
      <w:sz w:val="24"/>
      <w:szCs w:val="24"/>
    </w:rPr>
  </w:style>
  <w:style w:type="paragraph" w:customStyle="1" w:styleId="Heading1Spacer">
    <w:name w:val="Heading 1_Spacer"/>
    <w:basedOn w:val="Heading1"/>
    <w:next w:val="BodyText"/>
    <w:rsid w:val="00E4290C"/>
    <w:pPr>
      <w:pBdr>
        <w:bottom w:val="none" w:sz="0" w:space="0" w:color="auto"/>
      </w:pBdr>
      <w:ind w:left="578" w:hanging="578"/>
    </w:pPr>
    <w:rPr>
      <w:color w:val="FFFFFF"/>
      <w:sz w:val="36"/>
    </w:rPr>
  </w:style>
  <w:style w:type="character" w:styleId="Hyperlink">
    <w:name w:val="Hyperlink"/>
    <w:basedOn w:val="DefaultParagraphFont"/>
    <w:rsid w:val="00E4290C"/>
    <w:rPr>
      <w:rFonts w:ascii="Arial" w:hAnsi="Arial"/>
      <w:b/>
      <w:color w:val="000000"/>
      <w:sz w:val="20"/>
      <w:u w:val="none"/>
      <w:lang w:val="en-GB"/>
    </w:rPr>
  </w:style>
  <w:style w:type="character" w:customStyle="1" w:styleId="FooterChar">
    <w:name w:val="Footer Char"/>
    <w:basedOn w:val="DefaultParagraphFont"/>
    <w:link w:val="Footer"/>
    <w:rsid w:val="00887BA1"/>
    <w:rPr>
      <w:rFonts w:ascii="Arial" w:eastAsia="MS Mincho" w:hAnsi="Arial"/>
      <w:caps/>
      <w:noProof/>
      <w:snapToGrid w:val="0"/>
      <w:color w:val="003263"/>
      <w:spacing w:val="20"/>
      <w:kern w:val="12"/>
      <w:sz w:val="12"/>
      <w:szCs w:val="12"/>
      <w:lang w:eastAsia="ja-JP"/>
    </w:rPr>
  </w:style>
  <w:style w:type="paragraph" w:styleId="ListBullet2">
    <w:name w:val="List Bullet 2"/>
    <w:basedOn w:val="ListBullet"/>
    <w:link w:val="ListBullet2Char"/>
    <w:rsid w:val="00E4290C"/>
    <w:pPr>
      <w:numPr>
        <w:numId w:val="10"/>
      </w:numPr>
    </w:pPr>
  </w:style>
  <w:style w:type="paragraph" w:styleId="ListBullet3">
    <w:name w:val="List Bullet 3"/>
    <w:basedOn w:val="ListBullet2"/>
    <w:rsid w:val="00E4290C"/>
    <w:pPr>
      <w:numPr>
        <w:numId w:val="11"/>
      </w:numPr>
    </w:pPr>
    <w:rPr>
      <w:color w:val="auto"/>
    </w:rPr>
  </w:style>
  <w:style w:type="character" w:styleId="PageNumber">
    <w:name w:val="page number"/>
    <w:semiHidden/>
    <w:rsid w:val="00E4290C"/>
  </w:style>
  <w:style w:type="paragraph" w:customStyle="1" w:styleId="TableMultipleColumnTitle">
    <w:name w:val="Table Multiple Column Title"/>
    <w:basedOn w:val="Normal"/>
    <w:semiHidden/>
    <w:rsid w:val="00E4290C"/>
    <w:pPr>
      <w:keepNext/>
      <w:keepLines/>
      <w:spacing w:before="50" w:after="30"/>
      <w:jc w:val="center"/>
    </w:pPr>
    <w:rPr>
      <w:b/>
      <w:sz w:val="17"/>
      <w:szCs w:val="17"/>
    </w:rPr>
  </w:style>
  <w:style w:type="paragraph" w:customStyle="1" w:styleId="TableHeaderRowBlue">
    <w:name w:val="Table Header Row Blue"/>
    <w:basedOn w:val="TableHeaderRowBrightBlue"/>
    <w:next w:val="TableText"/>
    <w:link w:val="TableHeaderRowBlueChar"/>
    <w:rsid w:val="00E32DBC"/>
    <w:rPr>
      <w:bCs/>
      <w:color w:val="003263"/>
      <w:lang w:eastAsia="ja-JP"/>
    </w:rPr>
  </w:style>
  <w:style w:type="paragraph" w:customStyle="1" w:styleId="TableHeaderRowBrightBlue">
    <w:name w:val="Table Header Row Bright Blue"/>
    <w:next w:val="TableText"/>
    <w:link w:val="TableHeaderRowBrightBlueChar"/>
    <w:rsid w:val="00E32DBC"/>
    <w:pPr>
      <w:spacing w:before="40" w:after="40" w:line="200" w:lineRule="atLeast"/>
      <w:jc w:val="center"/>
    </w:pPr>
    <w:rPr>
      <w:rFonts w:ascii="Arial" w:eastAsia="MS Mincho" w:hAnsi="Arial" w:cs="Arial"/>
      <w:b/>
      <w:color w:val="0060A9"/>
      <w:kern w:val="16"/>
      <w:sz w:val="16"/>
      <w:szCs w:val="18"/>
      <w:lang w:eastAsia="zh-CN"/>
    </w:rPr>
  </w:style>
  <w:style w:type="paragraph" w:customStyle="1" w:styleId="Disclaimer">
    <w:name w:val="Disclaimer"/>
    <w:basedOn w:val="BodyText"/>
    <w:rsid w:val="00E4290C"/>
    <w:pPr>
      <w:framePr w:hSpace="181" w:wrap="around" w:vAnchor="page" w:hAnchor="text" w:y="13402"/>
      <w:spacing w:before="80" w:after="80" w:line="240" w:lineRule="auto"/>
      <w:jc w:val="both"/>
    </w:pPr>
    <w:rPr>
      <w:rFonts w:eastAsia="Times New Roman"/>
      <w:sz w:val="13"/>
      <w:szCs w:val="13"/>
    </w:rPr>
  </w:style>
  <w:style w:type="paragraph" w:customStyle="1" w:styleId="FooterCopyright">
    <w:name w:val="Footer Copyright"/>
    <w:basedOn w:val="FooterBackcover"/>
    <w:rsid w:val="00E4290C"/>
    <w:pPr>
      <w:jc w:val="right"/>
    </w:pPr>
    <w:rPr>
      <w:sz w:val="18"/>
    </w:rPr>
  </w:style>
  <w:style w:type="paragraph" w:customStyle="1" w:styleId="TableMultipleTitle">
    <w:name w:val="Table Multiple Title"/>
    <w:basedOn w:val="Normal"/>
    <w:next w:val="EndnoteText"/>
    <w:semiHidden/>
    <w:rsid w:val="00E4290C"/>
    <w:pPr>
      <w:keepNext/>
      <w:spacing w:before="300" w:after="30" w:line="230" w:lineRule="atLeast"/>
      <w:jc w:val="center"/>
    </w:pPr>
    <w:rPr>
      <w:b/>
      <w:szCs w:val="18"/>
    </w:rPr>
  </w:style>
  <w:style w:type="paragraph" w:customStyle="1" w:styleId="Heading1Sub-Heading">
    <w:name w:val="Heading 1 + Sub-Heading"/>
    <w:basedOn w:val="Heading1"/>
    <w:rsid w:val="00E4290C"/>
    <w:pPr>
      <w:spacing w:after="120"/>
    </w:pPr>
  </w:style>
  <w:style w:type="character" w:customStyle="1" w:styleId="Lead-inEmphasis">
    <w:name w:val="Lead-in Emphasis"/>
    <w:rsid w:val="00E4290C"/>
    <w:rPr>
      <w:rFonts w:ascii="Arial Black" w:hAnsi="Arial Black"/>
      <w:spacing w:val="-4"/>
      <w:sz w:val="18"/>
    </w:rPr>
  </w:style>
  <w:style w:type="paragraph" w:customStyle="1" w:styleId="RAGRed">
    <w:name w:val="RAG Red"/>
    <w:rsid w:val="00E4290C"/>
    <w:rPr>
      <w:rFonts w:ascii="Wingdings" w:eastAsia="MS Mincho" w:hAnsi="Wingdings"/>
      <w:color w:val="F93F26"/>
      <w:kern w:val="16"/>
      <w:szCs w:val="18"/>
      <w:lang w:eastAsia="ja-JP"/>
    </w:rPr>
  </w:style>
  <w:style w:type="paragraph" w:customStyle="1" w:styleId="RAGAmber">
    <w:name w:val="RAG Amber"/>
    <w:basedOn w:val="RAGRed"/>
    <w:rsid w:val="00E4290C"/>
    <w:rPr>
      <w:color w:val="FCA311"/>
    </w:rPr>
  </w:style>
  <w:style w:type="paragraph" w:customStyle="1" w:styleId="RAGGreen">
    <w:name w:val="RAG Green"/>
    <w:basedOn w:val="RAGAmber"/>
    <w:rsid w:val="00E4290C"/>
    <w:rPr>
      <w:color w:val="C0D30B"/>
    </w:rPr>
  </w:style>
  <w:style w:type="character" w:styleId="FootnoteReference">
    <w:name w:val="footnote reference"/>
    <w:basedOn w:val="DefaultParagraphFont"/>
    <w:semiHidden/>
    <w:rsid w:val="00E4290C"/>
    <w:rPr>
      <w:vertAlign w:val="superscript"/>
      <w:lang w:val="en-GB"/>
    </w:rPr>
  </w:style>
  <w:style w:type="table" w:customStyle="1" w:styleId="RBCFigureTable">
    <w:name w:val="RBC Figure Table"/>
    <w:basedOn w:val="TableNormal"/>
    <w:rsid w:val="00E4290C"/>
    <w:pPr>
      <w:spacing w:before="60" w:after="60"/>
    </w:pPr>
    <w:rPr>
      <w:rFonts w:ascii="Arial" w:eastAsia="Times New Roman" w:hAnsi="Arial"/>
    </w:rPr>
    <w:tblPr>
      <w:tblStyleRowBandSize w:val="1"/>
      <w:tblStyleColBandSize w:val="3"/>
    </w:tblPr>
    <w:tcPr>
      <w:shd w:val="clear" w:color="auto" w:fill="auto"/>
    </w:tcPr>
    <w:tblStylePr w:type="firstRow">
      <w:pPr>
        <w:jc w:val="left"/>
      </w:pPr>
      <w:rPr>
        <w:rFonts w:ascii="Arial" w:hAnsi="Arial"/>
        <w:b/>
        <w:color w:val="FFFFFF"/>
        <w:sz w:val="18"/>
      </w:rPr>
      <w:tblPr/>
      <w:tcPr>
        <w:tcBorders>
          <w:top w:val="nil"/>
          <w:left w:val="nil"/>
          <w:bottom w:val="nil"/>
          <w:right w:val="nil"/>
          <w:insideH w:val="nil"/>
          <w:insideV w:val="nil"/>
          <w:tl2br w:val="nil"/>
          <w:tr2bl w:val="nil"/>
        </w:tcBorders>
        <w:shd w:val="clear" w:color="auto" w:fill="00254B"/>
      </w:tcPr>
    </w:tblStylePr>
    <w:tblStylePr w:type="lastRow">
      <w:pPr>
        <w:wordWrap/>
        <w:spacing w:beforeLines="0" w:before="0" w:beforeAutospacing="0"/>
        <w:ind w:leftChars="0" w:left="0" w:rightChars="0" w:right="0"/>
      </w:pPr>
      <w:rPr>
        <w:rFonts w:ascii="Arial" w:hAnsi="Arial"/>
        <w:b/>
        <w:sz w:val="18"/>
      </w:rPr>
      <w:tblPr/>
      <w:tcPr>
        <w:tcBorders>
          <w:top w:val="single" w:sz="6" w:space="0" w:color="A29989"/>
          <w:bottom w:val="single" w:sz="6" w:space="0" w:color="auto"/>
        </w:tcBorders>
        <w:shd w:val="clear" w:color="auto" w:fill="auto"/>
      </w:tcPr>
    </w:tblStylePr>
    <w:tblStylePr w:type="firstCol">
      <w:tblPr/>
      <w:tcPr>
        <w:tcBorders>
          <w:top w:val="nil"/>
          <w:left w:val="nil"/>
          <w:bottom w:val="nil"/>
          <w:right w:val="nil"/>
          <w:insideH w:val="nil"/>
          <w:insideV w:val="nil"/>
        </w:tcBorders>
        <w:shd w:val="clear" w:color="auto" w:fill="auto"/>
      </w:tcPr>
    </w:tblStylePr>
  </w:style>
  <w:style w:type="character" w:customStyle="1" w:styleId="TableBullet2CharChar">
    <w:name w:val="Table Bullet 2 Char Char"/>
    <w:basedOn w:val="TableBullet1CharChar"/>
    <w:link w:val="TableBullet2"/>
    <w:rsid w:val="00E4290C"/>
    <w:rPr>
      <w:rFonts w:ascii="Arial" w:eastAsia="MS Mincho" w:hAnsi="Arial"/>
      <w:kern w:val="16"/>
      <w:sz w:val="16"/>
      <w:szCs w:val="18"/>
      <w:lang w:val="en-CA" w:eastAsia="ja-JP" w:bidi="ar-SA"/>
    </w:rPr>
  </w:style>
  <w:style w:type="numbering" w:styleId="1ai">
    <w:name w:val="Outline List 1"/>
    <w:basedOn w:val="NoList"/>
    <w:semiHidden/>
    <w:rsid w:val="00E4290C"/>
    <w:pPr>
      <w:numPr>
        <w:numId w:val="2"/>
      </w:numPr>
    </w:pPr>
  </w:style>
  <w:style w:type="numbering" w:styleId="ArticleSection">
    <w:name w:val="Outline List 3"/>
    <w:basedOn w:val="NoList"/>
    <w:semiHidden/>
    <w:rsid w:val="00E4290C"/>
    <w:pPr>
      <w:numPr>
        <w:numId w:val="3"/>
      </w:numPr>
    </w:pPr>
  </w:style>
  <w:style w:type="paragraph" w:styleId="BodyText2">
    <w:name w:val="Body Text 2"/>
    <w:basedOn w:val="Normal"/>
    <w:semiHidden/>
    <w:rsid w:val="00E4290C"/>
    <w:pPr>
      <w:spacing w:line="480" w:lineRule="auto"/>
    </w:pPr>
  </w:style>
  <w:style w:type="paragraph" w:styleId="BodyText3">
    <w:name w:val="Body Text 3"/>
    <w:basedOn w:val="Normal"/>
    <w:semiHidden/>
    <w:rsid w:val="00E4290C"/>
    <w:rPr>
      <w:sz w:val="16"/>
      <w:szCs w:val="16"/>
    </w:rPr>
  </w:style>
  <w:style w:type="paragraph" w:styleId="BodyTextFirstIndent">
    <w:name w:val="Body Text First Indent"/>
    <w:basedOn w:val="BodyText"/>
    <w:semiHidden/>
    <w:rsid w:val="00E4290C"/>
    <w:pPr>
      <w:ind w:firstLine="210"/>
    </w:pPr>
  </w:style>
  <w:style w:type="paragraph" w:styleId="BodyTextIndent">
    <w:name w:val="Body Text Indent"/>
    <w:basedOn w:val="Normal"/>
    <w:semiHidden/>
    <w:rsid w:val="00E4290C"/>
    <w:pPr>
      <w:ind w:left="283"/>
    </w:pPr>
  </w:style>
  <w:style w:type="paragraph" w:styleId="BodyTextFirstIndent2">
    <w:name w:val="Body Text First Indent 2"/>
    <w:basedOn w:val="BodyTextIndent"/>
    <w:semiHidden/>
    <w:rsid w:val="00E4290C"/>
    <w:pPr>
      <w:ind w:firstLine="210"/>
    </w:pPr>
  </w:style>
  <w:style w:type="paragraph" w:styleId="BodyTextIndent2">
    <w:name w:val="Body Text Indent 2"/>
    <w:basedOn w:val="Normal"/>
    <w:semiHidden/>
    <w:rsid w:val="00E4290C"/>
    <w:pPr>
      <w:spacing w:line="480" w:lineRule="auto"/>
      <w:ind w:left="283"/>
    </w:pPr>
  </w:style>
  <w:style w:type="paragraph" w:styleId="BodyTextIndent3">
    <w:name w:val="Body Text Indent 3"/>
    <w:basedOn w:val="Normal"/>
    <w:semiHidden/>
    <w:rsid w:val="00E4290C"/>
    <w:pPr>
      <w:ind w:left="283"/>
    </w:pPr>
    <w:rPr>
      <w:sz w:val="16"/>
      <w:szCs w:val="16"/>
    </w:rPr>
  </w:style>
  <w:style w:type="paragraph" w:styleId="Closing">
    <w:name w:val="Closing"/>
    <w:basedOn w:val="Normal"/>
    <w:semiHidden/>
    <w:rsid w:val="00E4290C"/>
    <w:pPr>
      <w:ind w:left="4252"/>
    </w:pPr>
  </w:style>
  <w:style w:type="paragraph" w:styleId="Date">
    <w:name w:val="Date"/>
    <w:basedOn w:val="Normal"/>
    <w:next w:val="Normal"/>
    <w:semiHidden/>
    <w:rsid w:val="00E4290C"/>
  </w:style>
  <w:style w:type="paragraph" w:styleId="E-mailSignature">
    <w:name w:val="E-mail Signature"/>
    <w:basedOn w:val="Normal"/>
    <w:semiHidden/>
    <w:rsid w:val="00E4290C"/>
  </w:style>
  <w:style w:type="character" w:styleId="Emphasis">
    <w:name w:val="Emphasis"/>
    <w:basedOn w:val="DefaultParagraphFont"/>
    <w:qFormat/>
    <w:rsid w:val="00E4290C"/>
    <w:rPr>
      <w:i/>
      <w:iCs/>
      <w:lang w:val="en-GB"/>
    </w:rPr>
  </w:style>
  <w:style w:type="paragraph" w:styleId="EnvelopeAddress">
    <w:name w:val="envelope address"/>
    <w:basedOn w:val="Normal"/>
    <w:semiHidden/>
    <w:rsid w:val="00E4290C"/>
    <w:pPr>
      <w:framePr w:w="7920" w:h="1980" w:hRule="exact" w:hSpace="180" w:wrap="auto" w:hAnchor="page" w:xAlign="center" w:yAlign="bottom"/>
      <w:ind w:left="2880"/>
    </w:pPr>
    <w:rPr>
      <w:rFonts w:cs="Arial"/>
    </w:rPr>
  </w:style>
  <w:style w:type="paragraph" w:styleId="EnvelopeReturn">
    <w:name w:val="envelope return"/>
    <w:basedOn w:val="Normal"/>
    <w:semiHidden/>
    <w:rsid w:val="00E4290C"/>
    <w:rPr>
      <w:rFonts w:cs="Arial"/>
    </w:rPr>
  </w:style>
  <w:style w:type="character" w:styleId="FollowedHyperlink">
    <w:name w:val="FollowedHyperlink"/>
    <w:basedOn w:val="DefaultParagraphFont"/>
    <w:semiHidden/>
    <w:rsid w:val="00E4290C"/>
    <w:rPr>
      <w:color w:val="800080"/>
      <w:u w:val="single"/>
      <w:lang w:val="en-GB"/>
    </w:rPr>
  </w:style>
  <w:style w:type="character" w:styleId="HTMLAcronym">
    <w:name w:val="HTML Acronym"/>
    <w:basedOn w:val="DefaultParagraphFont"/>
    <w:semiHidden/>
    <w:rsid w:val="00E4290C"/>
    <w:rPr>
      <w:lang w:val="en-GB"/>
    </w:rPr>
  </w:style>
  <w:style w:type="paragraph" w:styleId="HTMLAddress">
    <w:name w:val="HTML Address"/>
    <w:basedOn w:val="Normal"/>
    <w:semiHidden/>
    <w:rsid w:val="00E4290C"/>
    <w:rPr>
      <w:i/>
      <w:iCs/>
    </w:rPr>
  </w:style>
  <w:style w:type="character" w:styleId="HTMLCite">
    <w:name w:val="HTML Cite"/>
    <w:basedOn w:val="DefaultParagraphFont"/>
    <w:semiHidden/>
    <w:rsid w:val="00E4290C"/>
    <w:rPr>
      <w:i/>
      <w:iCs/>
      <w:lang w:val="en-GB"/>
    </w:rPr>
  </w:style>
  <w:style w:type="character" w:styleId="HTMLCode">
    <w:name w:val="HTML Code"/>
    <w:basedOn w:val="DefaultParagraphFont"/>
    <w:semiHidden/>
    <w:rsid w:val="00E4290C"/>
    <w:rPr>
      <w:rFonts w:ascii="Courier New" w:hAnsi="Courier New" w:cs="Courier New"/>
      <w:sz w:val="20"/>
      <w:szCs w:val="20"/>
      <w:lang w:val="en-GB"/>
    </w:rPr>
  </w:style>
  <w:style w:type="character" w:styleId="HTMLDefinition">
    <w:name w:val="HTML Definition"/>
    <w:basedOn w:val="DefaultParagraphFont"/>
    <w:semiHidden/>
    <w:rsid w:val="00E4290C"/>
    <w:rPr>
      <w:i/>
      <w:iCs/>
      <w:lang w:val="en-GB"/>
    </w:rPr>
  </w:style>
  <w:style w:type="character" w:styleId="HTMLKeyboard">
    <w:name w:val="HTML Keyboard"/>
    <w:basedOn w:val="DefaultParagraphFont"/>
    <w:semiHidden/>
    <w:rsid w:val="00E4290C"/>
    <w:rPr>
      <w:rFonts w:ascii="Courier New" w:hAnsi="Courier New" w:cs="Courier New"/>
      <w:sz w:val="20"/>
      <w:szCs w:val="20"/>
      <w:lang w:val="en-GB"/>
    </w:rPr>
  </w:style>
  <w:style w:type="paragraph" w:styleId="HTMLPreformatted">
    <w:name w:val="HTML Preformatted"/>
    <w:basedOn w:val="Normal"/>
    <w:semiHidden/>
    <w:rsid w:val="00E4290C"/>
    <w:rPr>
      <w:rFonts w:ascii="Courier New" w:hAnsi="Courier New" w:cs="Courier New"/>
    </w:rPr>
  </w:style>
  <w:style w:type="character" w:styleId="HTMLSample">
    <w:name w:val="HTML Sample"/>
    <w:basedOn w:val="DefaultParagraphFont"/>
    <w:semiHidden/>
    <w:rsid w:val="00E4290C"/>
    <w:rPr>
      <w:rFonts w:ascii="Courier New" w:hAnsi="Courier New" w:cs="Courier New"/>
      <w:lang w:val="en-GB"/>
    </w:rPr>
  </w:style>
  <w:style w:type="character" w:styleId="HTMLTypewriter">
    <w:name w:val="HTML Typewriter"/>
    <w:basedOn w:val="DefaultParagraphFont"/>
    <w:semiHidden/>
    <w:rsid w:val="00E4290C"/>
    <w:rPr>
      <w:rFonts w:ascii="Courier New" w:hAnsi="Courier New" w:cs="Courier New"/>
      <w:sz w:val="20"/>
      <w:szCs w:val="20"/>
      <w:lang w:val="en-GB"/>
    </w:rPr>
  </w:style>
  <w:style w:type="character" w:styleId="HTMLVariable">
    <w:name w:val="HTML Variable"/>
    <w:basedOn w:val="DefaultParagraphFont"/>
    <w:semiHidden/>
    <w:rsid w:val="00E4290C"/>
    <w:rPr>
      <w:i/>
      <w:iCs/>
      <w:lang w:val="en-GB"/>
    </w:rPr>
  </w:style>
  <w:style w:type="character" w:styleId="LineNumber">
    <w:name w:val="line number"/>
    <w:basedOn w:val="DefaultParagraphFont"/>
    <w:semiHidden/>
    <w:rsid w:val="00E4290C"/>
    <w:rPr>
      <w:lang w:val="en-GB"/>
    </w:rPr>
  </w:style>
  <w:style w:type="paragraph" w:styleId="List2">
    <w:name w:val="List 2"/>
    <w:basedOn w:val="List"/>
    <w:rsid w:val="00E4290C"/>
    <w:pPr>
      <w:numPr>
        <w:numId w:val="6"/>
      </w:numPr>
    </w:pPr>
  </w:style>
  <w:style w:type="paragraph" w:styleId="List3">
    <w:name w:val="List 3"/>
    <w:basedOn w:val="List2"/>
    <w:rsid w:val="00E4290C"/>
    <w:pPr>
      <w:numPr>
        <w:numId w:val="7"/>
      </w:numPr>
    </w:pPr>
  </w:style>
  <w:style w:type="paragraph" w:styleId="List4">
    <w:name w:val="List 4"/>
    <w:basedOn w:val="List3"/>
    <w:rsid w:val="00E4290C"/>
    <w:pPr>
      <w:numPr>
        <w:numId w:val="8"/>
      </w:numPr>
    </w:pPr>
    <w:rPr>
      <w:rFonts w:cs="Arial"/>
    </w:rPr>
  </w:style>
  <w:style w:type="paragraph" w:styleId="List5">
    <w:name w:val="List 5"/>
    <w:basedOn w:val="Normal"/>
    <w:semiHidden/>
    <w:rsid w:val="00E4290C"/>
    <w:pPr>
      <w:ind w:left="1415" w:hanging="283"/>
    </w:pPr>
  </w:style>
  <w:style w:type="paragraph" w:styleId="ListContinue">
    <w:name w:val="List Continue"/>
    <w:basedOn w:val="Normal"/>
    <w:semiHidden/>
    <w:rsid w:val="00E4290C"/>
    <w:pPr>
      <w:ind w:left="283"/>
    </w:pPr>
  </w:style>
  <w:style w:type="paragraph" w:styleId="ListContinue2">
    <w:name w:val="List Continue 2"/>
    <w:basedOn w:val="Normal"/>
    <w:semiHidden/>
    <w:rsid w:val="00E4290C"/>
    <w:pPr>
      <w:ind w:left="566"/>
    </w:pPr>
  </w:style>
  <w:style w:type="paragraph" w:styleId="ListContinue3">
    <w:name w:val="List Continue 3"/>
    <w:basedOn w:val="Normal"/>
    <w:semiHidden/>
    <w:rsid w:val="00E4290C"/>
    <w:pPr>
      <w:ind w:left="849"/>
    </w:pPr>
  </w:style>
  <w:style w:type="paragraph" w:styleId="ListContinue4">
    <w:name w:val="List Continue 4"/>
    <w:basedOn w:val="Normal"/>
    <w:semiHidden/>
    <w:rsid w:val="00E4290C"/>
    <w:pPr>
      <w:ind w:left="1132"/>
    </w:pPr>
  </w:style>
  <w:style w:type="paragraph" w:styleId="ListContinue5">
    <w:name w:val="List Continue 5"/>
    <w:basedOn w:val="Normal"/>
    <w:semiHidden/>
    <w:rsid w:val="00E4290C"/>
    <w:pPr>
      <w:ind w:left="1415"/>
    </w:pPr>
  </w:style>
  <w:style w:type="paragraph" w:styleId="ListNumber">
    <w:name w:val="List Number"/>
    <w:basedOn w:val="List"/>
    <w:rsid w:val="00E4290C"/>
    <w:pPr>
      <w:numPr>
        <w:numId w:val="14"/>
      </w:numPr>
      <w:spacing w:before="60"/>
    </w:pPr>
  </w:style>
  <w:style w:type="paragraph" w:styleId="ListNumber2">
    <w:name w:val="List Number 2"/>
    <w:basedOn w:val="Normal"/>
    <w:semiHidden/>
    <w:rsid w:val="00E4290C"/>
    <w:pPr>
      <w:numPr>
        <w:numId w:val="15"/>
      </w:numPr>
    </w:pPr>
  </w:style>
  <w:style w:type="paragraph" w:styleId="ListNumber3">
    <w:name w:val="List Number 3"/>
    <w:basedOn w:val="Normal"/>
    <w:semiHidden/>
    <w:rsid w:val="00E4290C"/>
    <w:pPr>
      <w:numPr>
        <w:numId w:val="16"/>
      </w:numPr>
    </w:pPr>
  </w:style>
  <w:style w:type="paragraph" w:styleId="ListNumber4">
    <w:name w:val="List Number 4"/>
    <w:basedOn w:val="Normal"/>
    <w:semiHidden/>
    <w:rsid w:val="00E4290C"/>
  </w:style>
  <w:style w:type="paragraph" w:styleId="ListNumber5">
    <w:name w:val="List Number 5"/>
    <w:basedOn w:val="Normal"/>
    <w:semiHidden/>
    <w:rsid w:val="00E4290C"/>
    <w:pPr>
      <w:numPr>
        <w:numId w:val="17"/>
      </w:numPr>
    </w:pPr>
  </w:style>
  <w:style w:type="paragraph" w:styleId="NormalWeb">
    <w:name w:val="Normal (Web)"/>
    <w:basedOn w:val="Normal"/>
    <w:semiHidden/>
    <w:rsid w:val="00E4290C"/>
  </w:style>
  <w:style w:type="paragraph" w:styleId="NormalIndent">
    <w:name w:val="Normal Indent"/>
    <w:basedOn w:val="Normal"/>
    <w:semiHidden/>
    <w:rsid w:val="00E4290C"/>
    <w:pPr>
      <w:ind w:left="720"/>
    </w:pPr>
  </w:style>
  <w:style w:type="paragraph" w:styleId="NoteHeading">
    <w:name w:val="Note Heading"/>
    <w:basedOn w:val="Normal"/>
    <w:next w:val="Normal"/>
    <w:semiHidden/>
    <w:rsid w:val="00E4290C"/>
  </w:style>
  <w:style w:type="paragraph" w:styleId="Signature">
    <w:name w:val="Signature"/>
    <w:basedOn w:val="Normal"/>
    <w:semiHidden/>
    <w:rsid w:val="00E4290C"/>
    <w:pPr>
      <w:ind w:left="4252"/>
    </w:pPr>
  </w:style>
  <w:style w:type="character" w:styleId="Strong">
    <w:name w:val="Strong"/>
    <w:basedOn w:val="DefaultParagraphFont"/>
    <w:qFormat/>
    <w:rsid w:val="00E4290C"/>
    <w:rPr>
      <w:rFonts w:ascii="Verdana" w:hAnsi="Verdana"/>
      <w:b/>
      <w:bCs/>
      <w:lang w:val="en-GB"/>
    </w:rPr>
  </w:style>
  <w:style w:type="table" w:styleId="Table3Deffects1">
    <w:name w:val="Table 3D effects 1"/>
    <w:basedOn w:val="TableNormal"/>
    <w:semiHidden/>
    <w:rsid w:val="00E4290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E4290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E4290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E4290C"/>
    <w:rPr>
      <w:rFonts w:ascii="Verdana" w:hAnsi="Verdana"/>
      <w:color w:val="6F6E6F"/>
      <w:sz w:val="18"/>
    </w:rPr>
    <w:tblPr>
      <w:tblBorders>
        <w:top w:val="single" w:sz="6" w:space="0" w:color="6F6E6F"/>
        <w:left w:val="single" w:sz="6" w:space="0" w:color="6F6E6F"/>
        <w:bottom w:val="single" w:sz="6" w:space="0" w:color="6F6E6F"/>
        <w:right w:val="single" w:sz="6" w:space="0" w:color="6F6E6F"/>
        <w:insideH w:val="single" w:sz="6" w:space="0" w:color="6F6E6F"/>
        <w:insideV w:val="single" w:sz="6" w:space="0" w:color="6F6E6F"/>
      </w:tblBorders>
      <w:tblCellMar>
        <w:left w:w="115" w:type="dxa"/>
        <w:right w:w="115"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E4290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E4290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E4290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E4290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E4290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E4290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E4290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E4290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E4290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E4290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E4290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E4290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E4290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List1">
    <w:name w:val="Table List 1"/>
    <w:basedOn w:val="TableNormal"/>
    <w:semiHidden/>
    <w:rsid w:val="00E4290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E4290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E4290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E4290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E4290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E4290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E4290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E4290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E4290C"/>
    <w:rPr>
      <w:rFonts w:ascii="Verdana" w:hAnsi="Verdana"/>
      <w:sz w:val="18"/>
    </w:rPr>
    <w:tblPr>
      <w:tblBorders>
        <w:top w:val="single" w:sz="6" w:space="0" w:color="6F6E6F"/>
        <w:bottom w:val="single" w:sz="6" w:space="0" w:color="6F6E6F"/>
        <w:insideH w:val="single" w:sz="6" w:space="0" w:color="6F6E6F"/>
        <w:insideV w:val="single" w:sz="6" w:space="0" w:color="6F6E6F"/>
      </w:tblBorders>
    </w:tblPr>
    <w:tcPr>
      <w:shd w:val="clear" w:color="auto" w:fill="FFFFFF"/>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E4290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E4290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E4290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E4290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E4290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E4290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E4290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E4290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Subtitle"/>
    <w:link w:val="TitleChar"/>
    <w:qFormat/>
    <w:rsid w:val="00E4290C"/>
    <w:pPr>
      <w:spacing w:before="240" w:after="240" w:line="240" w:lineRule="auto"/>
      <w:ind w:right="5778"/>
    </w:pPr>
    <w:rPr>
      <w:rFonts w:cs="Arial"/>
      <w:color w:val="FFFFFF"/>
      <w:sz w:val="40"/>
      <w:szCs w:val="40"/>
    </w:rPr>
  </w:style>
  <w:style w:type="table" w:styleId="TableTheme">
    <w:name w:val="Table Theme"/>
    <w:basedOn w:val="TableNormal"/>
    <w:semiHidden/>
    <w:rsid w:val="00E42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ondlevelSubtitle">
    <w:name w:val="Second level Subtitle"/>
    <w:basedOn w:val="BodyText"/>
    <w:rsid w:val="00E4290C"/>
    <w:rPr>
      <w:rFonts w:ascii="Arial Bold" w:hAnsi="Arial Bold"/>
      <w:b/>
      <w:color w:val="FFFFFF"/>
    </w:rPr>
  </w:style>
  <w:style w:type="character" w:customStyle="1" w:styleId="SubtitleDateChar">
    <w:name w:val="Subtitle Date Char"/>
    <w:basedOn w:val="SubtitleChar"/>
    <w:link w:val="SubtitleDate"/>
    <w:rsid w:val="00E4290C"/>
    <w:rPr>
      <w:rFonts w:ascii="Georgia" w:eastAsia="MS Mincho" w:hAnsi="Georgia" w:cs="Arial"/>
      <w:b/>
      <w:i/>
      <w:color w:val="FFFFFF"/>
      <w:kern w:val="16"/>
      <w:sz w:val="28"/>
      <w:szCs w:val="28"/>
      <w:lang w:val="en-US" w:eastAsia="ja-JP" w:bidi="ar-SA"/>
    </w:rPr>
  </w:style>
  <w:style w:type="paragraph" w:customStyle="1" w:styleId="TableCharttitle">
    <w:name w:val="Table Chart title"/>
    <w:basedOn w:val="TableTitle"/>
    <w:rsid w:val="00E32DBC"/>
    <w:pPr>
      <w:spacing w:before="40"/>
      <w:jc w:val="center"/>
    </w:pPr>
  </w:style>
  <w:style w:type="character" w:customStyle="1" w:styleId="TableHeaderRowBlueChar">
    <w:name w:val="Table Header Row Blue Char"/>
    <w:basedOn w:val="TableTextCharChar"/>
    <w:link w:val="TableHeaderRowBlue"/>
    <w:rsid w:val="00E32DBC"/>
    <w:rPr>
      <w:rFonts w:ascii="Arial" w:eastAsia="MS Mincho" w:hAnsi="Arial" w:cs="Arial"/>
      <w:b/>
      <w:bCs/>
      <w:color w:val="003263"/>
      <w:kern w:val="16"/>
      <w:sz w:val="16"/>
      <w:szCs w:val="18"/>
      <w:lang w:val="en-US" w:eastAsia="ja-JP" w:bidi="ar-SA"/>
    </w:rPr>
  </w:style>
  <w:style w:type="character" w:customStyle="1" w:styleId="TableHeaderRowBrightBlueChar">
    <w:name w:val="Table Header Row Bright Blue Char"/>
    <w:basedOn w:val="TableTextCharChar"/>
    <w:link w:val="TableHeaderRowBrightBlue"/>
    <w:rsid w:val="00E32DBC"/>
    <w:rPr>
      <w:rFonts w:ascii="Arial" w:eastAsia="MS Mincho" w:hAnsi="Arial" w:cs="Arial"/>
      <w:b/>
      <w:color w:val="0060A9"/>
      <w:kern w:val="16"/>
      <w:sz w:val="16"/>
      <w:szCs w:val="18"/>
      <w:lang w:val="en-US" w:eastAsia="zh-CN" w:bidi="ar-SA"/>
    </w:rPr>
  </w:style>
  <w:style w:type="paragraph" w:customStyle="1" w:styleId="TableTextRightAlign">
    <w:name w:val="Table Text Right Align"/>
    <w:basedOn w:val="TableText"/>
    <w:rsid w:val="00E4290C"/>
    <w:pPr>
      <w:jc w:val="right"/>
    </w:pPr>
  </w:style>
  <w:style w:type="paragraph" w:customStyle="1" w:styleId="TableTitle1">
    <w:name w:val="Table Title 1"/>
    <w:basedOn w:val="TableText"/>
    <w:rsid w:val="00E4290C"/>
    <w:rPr>
      <w:b/>
      <w:color w:val="0060A9"/>
      <w:lang w:eastAsia="zh-CN"/>
    </w:rPr>
  </w:style>
  <w:style w:type="paragraph" w:customStyle="1" w:styleId="TableTitle2">
    <w:name w:val="Table Title 2"/>
    <w:basedOn w:val="TableTitle1"/>
    <w:rsid w:val="00E4290C"/>
    <w:rPr>
      <w:color w:val="FFFFFF"/>
    </w:rPr>
  </w:style>
  <w:style w:type="paragraph" w:customStyle="1" w:styleId="BioName">
    <w:name w:val="Bio Name"/>
    <w:basedOn w:val="Normal"/>
    <w:next w:val="Normal"/>
    <w:rsid w:val="00E4290C"/>
    <w:pPr>
      <w:adjustRightInd/>
      <w:spacing w:before="120" w:after="60" w:line="240" w:lineRule="auto"/>
    </w:pPr>
    <w:rPr>
      <w:b/>
      <w:color w:val="003263"/>
      <w:kern w:val="14"/>
      <w:sz w:val="16"/>
      <w:szCs w:val="16"/>
    </w:rPr>
  </w:style>
  <w:style w:type="paragraph" w:customStyle="1" w:styleId="BioTitle">
    <w:name w:val="Bio Title"/>
    <w:basedOn w:val="BioName"/>
    <w:next w:val="BodyText"/>
    <w:rsid w:val="00E4290C"/>
    <w:pPr>
      <w:spacing w:before="0" w:after="120"/>
    </w:pPr>
    <w:rPr>
      <w:rFonts w:eastAsia="Times New Roman"/>
      <w:color w:val="5A5A5A"/>
    </w:rPr>
  </w:style>
  <w:style w:type="character" w:customStyle="1" w:styleId="GraphicCharChar">
    <w:name w:val="Graphic Char Char"/>
    <w:basedOn w:val="TableTextCharChar"/>
    <w:link w:val="Graphic"/>
    <w:rsid w:val="00E4290C"/>
    <w:rPr>
      <w:rFonts w:ascii="Arial" w:eastAsia="MS Mincho" w:hAnsi="Arial"/>
      <w:kern w:val="16"/>
      <w:sz w:val="18"/>
      <w:szCs w:val="18"/>
      <w:lang w:val="en-US" w:eastAsia="ja-JP" w:bidi="ar-SA"/>
    </w:rPr>
  </w:style>
  <w:style w:type="paragraph" w:customStyle="1" w:styleId="TableBullet3">
    <w:name w:val="Table Bullet 3"/>
    <w:basedOn w:val="TableBullet2"/>
    <w:rsid w:val="00E4290C"/>
    <w:pPr>
      <w:numPr>
        <w:numId w:val="27"/>
      </w:numPr>
      <w:tabs>
        <w:tab w:val="left" w:pos="595"/>
      </w:tabs>
    </w:pPr>
  </w:style>
  <w:style w:type="paragraph" w:customStyle="1" w:styleId="TableText">
    <w:name w:val="Table Text"/>
    <w:basedOn w:val="BodyText"/>
    <w:link w:val="TableTextCharChar"/>
    <w:rsid w:val="00E4290C"/>
    <w:pPr>
      <w:spacing w:before="80" w:after="80" w:line="180" w:lineRule="atLeast"/>
    </w:pPr>
    <w:rPr>
      <w:sz w:val="18"/>
      <w:szCs w:val="18"/>
    </w:rPr>
  </w:style>
  <w:style w:type="paragraph" w:customStyle="1" w:styleId="Graphic">
    <w:name w:val="Graphic"/>
    <w:basedOn w:val="BodyText"/>
    <w:next w:val="BodyText"/>
    <w:link w:val="GraphicCharChar"/>
    <w:rsid w:val="00E4290C"/>
    <w:pPr>
      <w:spacing w:before="20" w:after="20" w:line="240" w:lineRule="auto"/>
      <w:ind w:left="-58" w:right="-58"/>
      <w:jc w:val="center"/>
    </w:pPr>
    <w:rPr>
      <w:sz w:val="18"/>
      <w:szCs w:val="18"/>
    </w:rPr>
  </w:style>
  <w:style w:type="paragraph" w:customStyle="1" w:styleId="MiniMarker">
    <w:name w:val="Mini Marker"/>
    <w:basedOn w:val="BodyText"/>
    <w:next w:val="BodyText"/>
    <w:rsid w:val="00E4290C"/>
    <w:pPr>
      <w:spacing w:before="0" w:after="0" w:line="240" w:lineRule="auto"/>
    </w:pPr>
    <w:rPr>
      <w:sz w:val="10"/>
    </w:rPr>
  </w:style>
  <w:style w:type="paragraph" w:customStyle="1" w:styleId="Headingpage2">
    <w:name w:val="Heading_page2"/>
    <w:basedOn w:val="Heading1"/>
    <w:next w:val="Normal"/>
    <w:link w:val="Headingpage2CharChar"/>
    <w:semiHidden/>
    <w:rsid w:val="00E4290C"/>
    <w:pPr>
      <w:tabs>
        <w:tab w:val="left" w:pos="216"/>
      </w:tabs>
      <w:spacing w:after="240" w:line="240" w:lineRule="atLeast"/>
      <w:ind w:left="216" w:hanging="216"/>
    </w:pPr>
    <w:rPr>
      <w:bCs/>
      <w:color w:val="6F6E6E"/>
      <w:sz w:val="16"/>
    </w:rPr>
  </w:style>
  <w:style w:type="paragraph" w:customStyle="1" w:styleId="TableFootnote">
    <w:name w:val="Table Footnote"/>
    <w:rsid w:val="00E4290C"/>
    <w:pPr>
      <w:spacing w:before="40"/>
    </w:pPr>
    <w:rPr>
      <w:rFonts w:ascii="Arial" w:eastAsia="MS Mincho" w:hAnsi="Arial"/>
      <w:kern w:val="16"/>
      <w:sz w:val="14"/>
      <w:szCs w:val="14"/>
      <w:lang w:eastAsia="zh-CN"/>
    </w:rPr>
  </w:style>
  <w:style w:type="paragraph" w:customStyle="1" w:styleId="TableSource">
    <w:name w:val="Table Source"/>
    <w:basedOn w:val="TableFootnote"/>
    <w:rsid w:val="00E4290C"/>
    <w:rPr>
      <w:i/>
    </w:rPr>
  </w:style>
  <w:style w:type="paragraph" w:customStyle="1" w:styleId="TableBulletNumeric">
    <w:name w:val="Table Bullet Numeric"/>
    <w:basedOn w:val="TableText"/>
    <w:rsid w:val="00E4290C"/>
    <w:pPr>
      <w:numPr>
        <w:numId w:val="28"/>
      </w:numPr>
      <w:spacing w:line="240" w:lineRule="auto"/>
      <w:contextualSpacing/>
    </w:pPr>
    <w:rPr>
      <w:sz w:val="16"/>
    </w:rPr>
  </w:style>
  <w:style w:type="paragraph" w:customStyle="1" w:styleId="TableBullet1">
    <w:name w:val="Table Bullet 1"/>
    <w:basedOn w:val="TableText"/>
    <w:link w:val="TableBullet1CharChar"/>
    <w:rsid w:val="00E4290C"/>
    <w:pPr>
      <w:numPr>
        <w:numId w:val="25"/>
      </w:numPr>
      <w:spacing w:line="200" w:lineRule="atLeast"/>
      <w:contextualSpacing/>
    </w:pPr>
    <w:rPr>
      <w:sz w:val="16"/>
    </w:rPr>
  </w:style>
  <w:style w:type="paragraph" w:customStyle="1" w:styleId="TableBullet2">
    <w:name w:val="Table Bullet 2"/>
    <w:basedOn w:val="TableBullet1"/>
    <w:link w:val="TableBullet2CharChar"/>
    <w:rsid w:val="00E4290C"/>
    <w:pPr>
      <w:numPr>
        <w:numId w:val="26"/>
      </w:numPr>
    </w:pPr>
    <w:rPr>
      <w:lang w:val="en-CA"/>
    </w:rPr>
  </w:style>
  <w:style w:type="paragraph" w:customStyle="1" w:styleId="SubtitleDate">
    <w:name w:val="Subtitle Date"/>
    <w:basedOn w:val="Subtitle"/>
    <w:next w:val="BodyText"/>
    <w:link w:val="SubtitleDateChar"/>
    <w:rsid w:val="00E4290C"/>
    <w:pPr>
      <w:spacing w:before="120"/>
    </w:pPr>
  </w:style>
  <w:style w:type="character" w:customStyle="1" w:styleId="Headingpage2CharChar">
    <w:name w:val="Heading_page2 Char Char"/>
    <w:basedOn w:val="DefaultParagraphFont"/>
    <w:link w:val="Headingpage2"/>
    <w:rsid w:val="00E4290C"/>
    <w:rPr>
      <w:rFonts w:ascii="Arial" w:eastAsia="MS Mincho" w:hAnsi="Arial"/>
      <w:bCs/>
      <w:color w:val="6F6E6E"/>
      <w:kern w:val="16"/>
      <w:sz w:val="16"/>
      <w:szCs w:val="32"/>
      <w:lang w:val="en-US" w:eastAsia="ja-JP" w:bidi="ar-SA"/>
    </w:rPr>
  </w:style>
  <w:style w:type="paragraph" w:styleId="TOCHeading">
    <w:name w:val="TOC Heading"/>
    <w:basedOn w:val="Heading1"/>
    <w:next w:val="BodyText"/>
    <w:qFormat/>
    <w:rsid w:val="00E4290C"/>
  </w:style>
  <w:style w:type="paragraph" w:customStyle="1" w:styleId="FooterBackcover">
    <w:name w:val="Footer Backcover"/>
    <w:basedOn w:val="Normal"/>
    <w:rsid w:val="00E4290C"/>
    <w:pPr>
      <w:spacing w:before="0" w:after="60" w:line="240" w:lineRule="auto"/>
    </w:pPr>
    <w:rPr>
      <w:rFonts w:cs="Arial"/>
      <w:color w:val="002144"/>
      <w:spacing w:val="4"/>
      <w:szCs w:val="16"/>
      <w:lang w:val="en-CA"/>
    </w:rPr>
  </w:style>
  <w:style w:type="paragraph" w:customStyle="1" w:styleId="Sub-heading">
    <w:name w:val="Sub-heading"/>
    <w:basedOn w:val="SubHeading"/>
    <w:link w:val="Sub-headingChar"/>
    <w:qFormat/>
    <w:rsid w:val="00BC14D8"/>
    <w:rPr>
      <w:lang w:val="en-CA"/>
    </w:rPr>
  </w:style>
  <w:style w:type="character" w:customStyle="1" w:styleId="Sub-headingChar">
    <w:name w:val="Sub-heading Char"/>
    <w:basedOn w:val="DefaultParagraphFont"/>
    <w:link w:val="Sub-heading"/>
    <w:rsid w:val="00BC14D8"/>
    <w:rPr>
      <w:rFonts w:ascii="Arial" w:eastAsia="MS Mincho" w:hAnsi="Arial"/>
      <w:b/>
      <w:i/>
      <w:color w:val="0060A9"/>
      <w:kern w:val="16"/>
      <w:sz w:val="24"/>
      <w:szCs w:val="24"/>
      <w:lang w:val="en-CA" w:eastAsia="ja-JP"/>
    </w:rPr>
  </w:style>
  <w:style w:type="paragraph" w:styleId="ListParagraph">
    <w:name w:val="List Paragraph"/>
    <w:basedOn w:val="Normal"/>
    <w:uiPriority w:val="34"/>
    <w:qFormat/>
    <w:rsid w:val="00694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041350">
      <w:bodyDiv w:val="1"/>
      <w:marLeft w:val="0"/>
      <w:marRight w:val="0"/>
      <w:marTop w:val="0"/>
      <w:marBottom w:val="0"/>
      <w:divBdr>
        <w:top w:val="none" w:sz="0" w:space="0" w:color="auto"/>
        <w:left w:val="none" w:sz="0" w:space="0" w:color="auto"/>
        <w:bottom w:val="none" w:sz="0" w:space="0" w:color="auto"/>
        <w:right w:val="none" w:sz="0" w:space="0" w:color="auto"/>
      </w:divBdr>
    </w:div>
    <w:div w:id="250508782">
      <w:bodyDiv w:val="1"/>
      <w:marLeft w:val="0"/>
      <w:marRight w:val="0"/>
      <w:marTop w:val="0"/>
      <w:marBottom w:val="0"/>
      <w:divBdr>
        <w:top w:val="none" w:sz="0" w:space="0" w:color="auto"/>
        <w:left w:val="none" w:sz="0" w:space="0" w:color="auto"/>
        <w:bottom w:val="none" w:sz="0" w:space="0" w:color="auto"/>
        <w:right w:val="none" w:sz="0" w:space="0" w:color="auto"/>
      </w:divBdr>
    </w:div>
    <w:div w:id="419108262">
      <w:bodyDiv w:val="1"/>
      <w:marLeft w:val="0"/>
      <w:marRight w:val="0"/>
      <w:marTop w:val="0"/>
      <w:marBottom w:val="0"/>
      <w:divBdr>
        <w:top w:val="none" w:sz="0" w:space="0" w:color="auto"/>
        <w:left w:val="none" w:sz="0" w:space="0" w:color="auto"/>
        <w:bottom w:val="none" w:sz="0" w:space="0" w:color="auto"/>
        <w:right w:val="none" w:sz="0" w:space="0" w:color="auto"/>
      </w:divBdr>
      <w:divsChild>
        <w:div w:id="1908610550">
          <w:marLeft w:val="0"/>
          <w:marRight w:val="0"/>
          <w:marTop w:val="0"/>
          <w:marBottom w:val="0"/>
          <w:divBdr>
            <w:top w:val="none" w:sz="0" w:space="0" w:color="auto"/>
            <w:left w:val="none" w:sz="0" w:space="0" w:color="auto"/>
            <w:bottom w:val="none" w:sz="0" w:space="0" w:color="auto"/>
            <w:right w:val="none" w:sz="0" w:space="0" w:color="auto"/>
          </w:divBdr>
          <w:divsChild>
            <w:div w:id="43568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96913">
      <w:bodyDiv w:val="1"/>
      <w:marLeft w:val="0"/>
      <w:marRight w:val="0"/>
      <w:marTop w:val="0"/>
      <w:marBottom w:val="0"/>
      <w:divBdr>
        <w:top w:val="none" w:sz="0" w:space="0" w:color="auto"/>
        <w:left w:val="none" w:sz="0" w:space="0" w:color="auto"/>
        <w:bottom w:val="none" w:sz="0" w:space="0" w:color="auto"/>
        <w:right w:val="none" w:sz="0" w:space="0" w:color="auto"/>
      </w:divBdr>
      <w:divsChild>
        <w:div w:id="1492678865">
          <w:marLeft w:val="0"/>
          <w:marRight w:val="0"/>
          <w:marTop w:val="0"/>
          <w:marBottom w:val="0"/>
          <w:divBdr>
            <w:top w:val="none" w:sz="0" w:space="0" w:color="auto"/>
            <w:left w:val="none" w:sz="0" w:space="0" w:color="auto"/>
            <w:bottom w:val="none" w:sz="0" w:space="0" w:color="auto"/>
            <w:right w:val="none" w:sz="0" w:space="0" w:color="auto"/>
          </w:divBdr>
        </w:div>
      </w:divsChild>
    </w:div>
    <w:div w:id="473179177">
      <w:bodyDiv w:val="1"/>
      <w:marLeft w:val="0"/>
      <w:marRight w:val="0"/>
      <w:marTop w:val="0"/>
      <w:marBottom w:val="0"/>
      <w:divBdr>
        <w:top w:val="none" w:sz="0" w:space="0" w:color="auto"/>
        <w:left w:val="none" w:sz="0" w:space="0" w:color="auto"/>
        <w:bottom w:val="none" w:sz="0" w:space="0" w:color="auto"/>
        <w:right w:val="none" w:sz="0" w:space="0" w:color="auto"/>
      </w:divBdr>
      <w:divsChild>
        <w:div w:id="2101171430">
          <w:marLeft w:val="0"/>
          <w:marRight w:val="0"/>
          <w:marTop w:val="0"/>
          <w:marBottom w:val="0"/>
          <w:divBdr>
            <w:top w:val="none" w:sz="0" w:space="0" w:color="auto"/>
            <w:left w:val="none" w:sz="0" w:space="0" w:color="auto"/>
            <w:bottom w:val="none" w:sz="0" w:space="0" w:color="auto"/>
            <w:right w:val="none" w:sz="0" w:space="0" w:color="auto"/>
          </w:divBdr>
        </w:div>
      </w:divsChild>
    </w:div>
    <w:div w:id="532115178">
      <w:bodyDiv w:val="1"/>
      <w:marLeft w:val="0"/>
      <w:marRight w:val="0"/>
      <w:marTop w:val="0"/>
      <w:marBottom w:val="0"/>
      <w:divBdr>
        <w:top w:val="none" w:sz="0" w:space="0" w:color="auto"/>
        <w:left w:val="none" w:sz="0" w:space="0" w:color="auto"/>
        <w:bottom w:val="none" w:sz="0" w:space="0" w:color="auto"/>
        <w:right w:val="none" w:sz="0" w:space="0" w:color="auto"/>
      </w:divBdr>
    </w:div>
    <w:div w:id="557667598">
      <w:bodyDiv w:val="1"/>
      <w:marLeft w:val="0"/>
      <w:marRight w:val="0"/>
      <w:marTop w:val="0"/>
      <w:marBottom w:val="0"/>
      <w:divBdr>
        <w:top w:val="none" w:sz="0" w:space="0" w:color="auto"/>
        <w:left w:val="none" w:sz="0" w:space="0" w:color="auto"/>
        <w:bottom w:val="none" w:sz="0" w:space="0" w:color="auto"/>
        <w:right w:val="none" w:sz="0" w:space="0" w:color="auto"/>
      </w:divBdr>
      <w:divsChild>
        <w:div w:id="431826404">
          <w:marLeft w:val="0"/>
          <w:marRight w:val="0"/>
          <w:marTop w:val="0"/>
          <w:marBottom w:val="0"/>
          <w:divBdr>
            <w:top w:val="none" w:sz="0" w:space="0" w:color="auto"/>
            <w:left w:val="none" w:sz="0" w:space="0" w:color="auto"/>
            <w:bottom w:val="none" w:sz="0" w:space="0" w:color="auto"/>
            <w:right w:val="none" w:sz="0" w:space="0" w:color="auto"/>
          </w:divBdr>
          <w:divsChild>
            <w:div w:id="4946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423">
      <w:bodyDiv w:val="1"/>
      <w:marLeft w:val="0"/>
      <w:marRight w:val="0"/>
      <w:marTop w:val="0"/>
      <w:marBottom w:val="0"/>
      <w:divBdr>
        <w:top w:val="none" w:sz="0" w:space="0" w:color="auto"/>
        <w:left w:val="none" w:sz="0" w:space="0" w:color="auto"/>
        <w:bottom w:val="none" w:sz="0" w:space="0" w:color="auto"/>
        <w:right w:val="none" w:sz="0" w:space="0" w:color="auto"/>
      </w:divBdr>
    </w:div>
    <w:div w:id="608969601">
      <w:bodyDiv w:val="1"/>
      <w:marLeft w:val="0"/>
      <w:marRight w:val="0"/>
      <w:marTop w:val="0"/>
      <w:marBottom w:val="0"/>
      <w:divBdr>
        <w:top w:val="none" w:sz="0" w:space="0" w:color="auto"/>
        <w:left w:val="none" w:sz="0" w:space="0" w:color="auto"/>
        <w:bottom w:val="none" w:sz="0" w:space="0" w:color="auto"/>
        <w:right w:val="none" w:sz="0" w:space="0" w:color="auto"/>
      </w:divBdr>
      <w:divsChild>
        <w:div w:id="2128503102">
          <w:marLeft w:val="0"/>
          <w:marRight w:val="0"/>
          <w:marTop w:val="0"/>
          <w:marBottom w:val="0"/>
          <w:divBdr>
            <w:top w:val="none" w:sz="0" w:space="0" w:color="auto"/>
            <w:left w:val="none" w:sz="0" w:space="0" w:color="auto"/>
            <w:bottom w:val="none" w:sz="0" w:space="0" w:color="auto"/>
            <w:right w:val="none" w:sz="0" w:space="0" w:color="auto"/>
          </w:divBdr>
          <w:divsChild>
            <w:div w:id="14109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9747">
      <w:bodyDiv w:val="1"/>
      <w:marLeft w:val="0"/>
      <w:marRight w:val="0"/>
      <w:marTop w:val="100"/>
      <w:marBottom w:val="100"/>
      <w:divBdr>
        <w:top w:val="none" w:sz="0" w:space="0" w:color="auto"/>
        <w:left w:val="none" w:sz="0" w:space="0" w:color="auto"/>
        <w:bottom w:val="none" w:sz="0" w:space="0" w:color="auto"/>
        <w:right w:val="none" w:sz="0" w:space="0" w:color="auto"/>
      </w:divBdr>
      <w:divsChild>
        <w:div w:id="759569598">
          <w:marLeft w:val="0"/>
          <w:marRight w:val="0"/>
          <w:marTop w:val="100"/>
          <w:marBottom w:val="100"/>
          <w:divBdr>
            <w:top w:val="none" w:sz="0" w:space="0" w:color="auto"/>
            <w:left w:val="none" w:sz="0" w:space="0" w:color="auto"/>
            <w:bottom w:val="none" w:sz="0" w:space="0" w:color="auto"/>
            <w:right w:val="none" w:sz="0" w:space="0" w:color="auto"/>
          </w:divBdr>
          <w:divsChild>
            <w:div w:id="410006576">
              <w:marLeft w:val="0"/>
              <w:marRight w:val="0"/>
              <w:marTop w:val="100"/>
              <w:marBottom w:val="100"/>
              <w:divBdr>
                <w:top w:val="none" w:sz="0" w:space="0" w:color="auto"/>
                <w:left w:val="none" w:sz="0" w:space="0" w:color="auto"/>
                <w:bottom w:val="none" w:sz="0" w:space="0" w:color="auto"/>
                <w:right w:val="none" w:sz="0" w:space="0" w:color="auto"/>
              </w:divBdr>
              <w:divsChild>
                <w:div w:id="1976328166">
                  <w:marLeft w:val="635"/>
                  <w:marRight w:val="0"/>
                  <w:marTop w:val="311"/>
                  <w:marBottom w:val="0"/>
                  <w:divBdr>
                    <w:top w:val="none" w:sz="0" w:space="0" w:color="auto"/>
                    <w:left w:val="none" w:sz="0" w:space="0" w:color="auto"/>
                    <w:bottom w:val="none" w:sz="0" w:space="0" w:color="auto"/>
                    <w:right w:val="none" w:sz="0" w:space="0" w:color="auto"/>
                  </w:divBdr>
                </w:div>
              </w:divsChild>
            </w:div>
          </w:divsChild>
        </w:div>
      </w:divsChild>
    </w:div>
    <w:div w:id="866721202">
      <w:bodyDiv w:val="1"/>
      <w:marLeft w:val="0"/>
      <w:marRight w:val="0"/>
      <w:marTop w:val="0"/>
      <w:marBottom w:val="0"/>
      <w:divBdr>
        <w:top w:val="none" w:sz="0" w:space="0" w:color="auto"/>
        <w:left w:val="none" w:sz="0" w:space="0" w:color="auto"/>
        <w:bottom w:val="none" w:sz="0" w:space="0" w:color="auto"/>
        <w:right w:val="none" w:sz="0" w:space="0" w:color="auto"/>
      </w:divBdr>
    </w:div>
    <w:div w:id="917983250">
      <w:bodyDiv w:val="1"/>
      <w:marLeft w:val="0"/>
      <w:marRight w:val="0"/>
      <w:marTop w:val="0"/>
      <w:marBottom w:val="0"/>
      <w:divBdr>
        <w:top w:val="none" w:sz="0" w:space="0" w:color="auto"/>
        <w:left w:val="none" w:sz="0" w:space="0" w:color="auto"/>
        <w:bottom w:val="none" w:sz="0" w:space="0" w:color="auto"/>
        <w:right w:val="none" w:sz="0" w:space="0" w:color="auto"/>
      </w:divBdr>
      <w:divsChild>
        <w:div w:id="1799034166">
          <w:marLeft w:val="0"/>
          <w:marRight w:val="0"/>
          <w:marTop w:val="0"/>
          <w:marBottom w:val="0"/>
          <w:divBdr>
            <w:top w:val="none" w:sz="0" w:space="0" w:color="auto"/>
            <w:left w:val="none" w:sz="0" w:space="0" w:color="auto"/>
            <w:bottom w:val="none" w:sz="0" w:space="0" w:color="auto"/>
            <w:right w:val="none" w:sz="0" w:space="0" w:color="auto"/>
          </w:divBdr>
        </w:div>
      </w:divsChild>
    </w:div>
    <w:div w:id="995374417">
      <w:bodyDiv w:val="1"/>
      <w:marLeft w:val="0"/>
      <w:marRight w:val="0"/>
      <w:marTop w:val="0"/>
      <w:marBottom w:val="0"/>
      <w:divBdr>
        <w:top w:val="none" w:sz="0" w:space="0" w:color="auto"/>
        <w:left w:val="none" w:sz="0" w:space="0" w:color="auto"/>
        <w:bottom w:val="none" w:sz="0" w:space="0" w:color="auto"/>
        <w:right w:val="none" w:sz="0" w:space="0" w:color="auto"/>
      </w:divBdr>
      <w:divsChild>
        <w:div w:id="477695605">
          <w:marLeft w:val="0"/>
          <w:marRight w:val="0"/>
          <w:marTop w:val="0"/>
          <w:marBottom w:val="0"/>
          <w:divBdr>
            <w:top w:val="none" w:sz="0" w:space="0" w:color="auto"/>
            <w:left w:val="none" w:sz="0" w:space="0" w:color="auto"/>
            <w:bottom w:val="none" w:sz="0" w:space="0" w:color="auto"/>
            <w:right w:val="none" w:sz="0" w:space="0" w:color="auto"/>
          </w:divBdr>
          <w:divsChild>
            <w:div w:id="824978076">
              <w:marLeft w:val="0"/>
              <w:marRight w:val="0"/>
              <w:marTop w:val="0"/>
              <w:marBottom w:val="0"/>
              <w:divBdr>
                <w:top w:val="none" w:sz="0" w:space="0" w:color="auto"/>
                <w:left w:val="none" w:sz="0" w:space="0" w:color="auto"/>
                <w:bottom w:val="none" w:sz="0" w:space="0" w:color="auto"/>
                <w:right w:val="none" w:sz="0" w:space="0" w:color="auto"/>
              </w:divBdr>
            </w:div>
            <w:div w:id="9071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45331">
      <w:bodyDiv w:val="1"/>
      <w:marLeft w:val="0"/>
      <w:marRight w:val="0"/>
      <w:marTop w:val="0"/>
      <w:marBottom w:val="0"/>
      <w:divBdr>
        <w:top w:val="none" w:sz="0" w:space="0" w:color="auto"/>
        <w:left w:val="none" w:sz="0" w:space="0" w:color="auto"/>
        <w:bottom w:val="none" w:sz="0" w:space="0" w:color="auto"/>
        <w:right w:val="none" w:sz="0" w:space="0" w:color="auto"/>
      </w:divBdr>
      <w:divsChild>
        <w:div w:id="434524781">
          <w:marLeft w:val="0"/>
          <w:marRight w:val="0"/>
          <w:marTop w:val="0"/>
          <w:marBottom w:val="0"/>
          <w:divBdr>
            <w:top w:val="none" w:sz="0" w:space="0" w:color="auto"/>
            <w:left w:val="none" w:sz="0" w:space="0" w:color="auto"/>
            <w:bottom w:val="none" w:sz="0" w:space="0" w:color="auto"/>
            <w:right w:val="none" w:sz="0" w:space="0" w:color="auto"/>
          </w:divBdr>
          <w:divsChild>
            <w:div w:id="597058011">
              <w:marLeft w:val="0"/>
              <w:marRight w:val="0"/>
              <w:marTop w:val="0"/>
              <w:marBottom w:val="0"/>
              <w:divBdr>
                <w:top w:val="none" w:sz="0" w:space="0" w:color="auto"/>
                <w:left w:val="none" w:sz="0" w:space="0" w:color="auto"/>
                <w:bottom w:val="none" w:sz="0" w:space="0" w:color="auto"/>
                <w:right w:val="none" w:sz="0" w:space="0" w:color="auto"/>
              </w:divBdr>
            </w:div>
            <w:div w:id="939728170">
              <w:marLeft w:val="0"/>
              <w:marRight w:val="0"/>
              <w:marTop w:val="0"/>
              <w:marBottom w:val="0"/>
              <w:divBdr>
                <w:top w:val="none" w:sz="0" w:space="0" w:color="auto"/>
                <w:left w:val="none" w:sz="0" w:space="0" w:color="auto"/>
                <w:bottom w:val="none" w:sz="0" w:space="0" w:color="auto"/>
                <w:right w:val="none" w:sz="0" w:space="0" w:color="auto"/>
              </w:divBdr>
            </w:div>
            <w:div w:id="1556968030">
              <w:marLeft w:val="0"/>
              <w:marRight w:val="0"/>
              <w:marTop w:val="0"/>
              <w:marBottom w:val="0"/>
              <w:divBdr>
                <w:top w:val="none" w:sz="0" w:space="0" w:color="auto"/>
                <w:left w:val="none" w:sz="0" w:space="0" w:color="auto"/>
                <w:bottom w:val="none" w:sz="0" w:space="0" w:color="auto"/>
                <w:right w:val="none" w:sz="0" w:space="0" w:color="auto"/>
              </w:divBdr>
            </w:div>
            <w:div w:id="209357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2897">
      <w:bodyDiv w:val="1"/>
      <w:marLeft w:val="0"/>
      <w:marRight w:val="0"/>
      <w:marTop w:val="0"/>
      <w:marBottom w:val="0"/>
      <w:divBdr>
        <w:top w:val="none" w:sz="0" w:space="0" w:color="auto"/>
        <w:left w:val="none" w:sz="0" w:space="0" w:color="auto"/>
        <w:bottom w:val="none" w:sz="0" w:space="0" w:color="auto"/>
        <w:right w:val="none" w:sz="0" w:space="0" w:color="auto"/>
      </w:divBdr>
      <w:divsChild>
        <w:div w:id="689648905">
          <w:marLeft w:val="0"/>
          <w:marRight w:val="0"/>
          <w:marTop w:val="0"/>
          <w:marBottom w:val="0"/>
          <w:divBdr>
            <w:top w:val="none" w:sz="0" w:space="0" w:color="auto"/>
            <w:left w:val="none" w:sz="0" w:space="0" w:color="auto"/>
            <w:bottom w:val="none" w:sz="0" w:space="0" w:color="auto"/>
            <w:right w:val="none" w:sz="0" w:space="0" w:color="auto"/>
          </w:divBdr>
        </w:div>
      </w:divsChild>
    </w:div>
    <w:div w:id="1113355612">
      <w:bodyDiv w:val="1"/>
      <w:marLeft w:val="0"/>
      <w:marRight w:val="0"/>
      <w:marTop w:val="0"/>
      <w:marBottom w:val="0"/>
      <w:divBdr>
        <w:top w:val="none" w:sz="0" w:space="0" w:color="auto"/>
        <w:left w:val="none" w:sz="0" w:space="0" w:color="auto"/>
        <w:bottom w:val="none" w:sz="0" w:space="0" w:color="auto"/>
        <w:right w:val="none" w:sz="0" w:space="0" w:color="auto"/>
      </w:divBdr>
    </w:div>
    <w:div w:id="1135752704">
      <w:bodyDiv w:val="1"/>
      <w:marLeft w:val="0"/>
      <w:marRight w:val="0"/>
      <w:marTop w:val="0"/>
      <w:marBottom w:val="0"/>
      <w:divBdr>
        <w:top w:val="none" w:sz="0" w:space="0" w:color="auto"/>
        <w:left w:val="none" w:sz="0" w:space="0" w:color="auto"/>
        <w:bottom w:val="none" w:sz="0" w:space="0" w:color="auto"/>
        <w:right w:val="none" w:sz="0" w:space="0" w:color="auto"/>
      </w:divBdr>
      <w:divsChild>
        <w:div w:id="1218709456">
          <w:marLeft w:val="0"/>
          <w:marRight w:val="0"/>
          <w:marTop w:val="0"/>
          <w:marBottom w:val="0"/>
          <w:divBdr>
            <w:top w:val="none" w:sz="0" w:space="0" w:color="auto"/>
            <w:left w:val="none" w:sz="0" w:space="0" w:color="auto"/>
            <w:bottom w:val="none" w:sz="0" w:space="0" w:color="auto"/>
            <w:right w:val="none" w:sz="0" w:space="0" w:color="auto"/>
          </w:divBdr>
          <w:divsChild>
            <w:div w:id="17503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0639">
      <w:bodyDiv w:val="1"/>
      <w:marLeft w:val="0"/>
      <w:marRight w:val="0"/>
      <w:marTop w:val="0"/>
      <w:marBottom w:val="0"/>
      <w:divBdr>
        <w:top w:val="none" w:sz="0" w:space="0" w:color="auto"/>
        <w:left w:val="none" w:sz="0" w:space="0" w:color="auto"/>
        <w:bottom w:val="none" w:sz="0" w:space="0" w:color="auto"/>
        <w:right w:val="none" w:sz="0" w:space="0" w:color="auto"/>
      </w:divBdr>
      <w:divsChild>
        <w:div w:id="1110130324">
          <w:marLeft w:val="0"/>
          <w:marRight w:val="0"/>
          <w:marTop w:val="0"/>
          <w:marBottom w:val="0"/>
          <w:divBdr>
            <w:top w:val="none" w:sz="0" w:space="0" w:color="auto"/>
            <w:left w:val="none" w:sz="0" w:space="0" w:color="auto"/>
            <w:bottom w:val="none" w:sz="0" w:space="0" w:color="auto"/>
            <w:right w:val="none" w:sz="0" w:space="0" w:color="auto"/>
          </w:divBdr>
          <w:divsChild>
            <w:div w:id="12521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44934">
      <w:bodyDiv w:val="1"/>
      <w:marLeft w:val="0"/>
      <w:marRight w:val="0"/>
      <w:marTop w:val="0"/>
      <w:marBottom w:val="0"/>
      <w:divBdr>
        <w:top w:val="none" w:sz="0" w:space="0" w:color="auto"/>
        <w:left w:val="none" w:sz="0" w:space="0" w:color="auto"/>
        <w:bottom w:val="none" w:sz="0" w:space="0" w:color="auto"/>
        <w:right w:val="none" w:sz="0" w:space="0" w:color="auto"/>
      </w:divBdr>
      <w:divsChild>
        <w:div w:id="127478066">
          <w:marLeft w:val="0"/>
          <w:marRight w:val="0"/>
          <w:marTop w:val="0"/>
          <w:marBottom w:val="0"/>
          <w:divBdr>
            <w:top w:val="none" w:sz="0" w:space="0" w:color="auto"/>
            <w:left w:val="none" w:sz="0" w:space="0" w:color="auto"/>
            <w:bottom w:val="none" w:sz="0" w:space="0" w:color="auto"/>
            <w:right w:val="none" w:sz="0" w:space="0" w:color="auto"/>
          </w:divBdr>
        </w:div>
      </w:divsChild>
    </w:div>
    <w:div w:id="1497306478">
      <w:bodyDiv w:val="1"/>
      <w:marLeft w:val="0"/>
      <w:marRight w:val="0"/>
      <w:marTop w:val="0"/>
      <w:marBottom w:val="0"/>
      <w:divBdr>
        <w:top w:val="none" w:sz="0" w:space="0" w:color="auto"/>
        <w:left w:val="none" w:sz="0" w:space="0" w:color="auto"/>
        <w:bottom w:val="none" w:sz="0" w:space="0" w:color="auto"/>
        <w:right w:val="none" w:sz="0" w:space="0" w:color="auto"/>
      </w:divBdr>
      <w:divsChild>
        <w:div w:id="1600328631">
          <w:marLeft w:val="0"/>
          <w:marRight w:val="0"/>
          <w:marTop w:val="0"/>
          <w:marBottom w:val="0"/>
          <w:divBdr>
            <w:top w:val="none" w:sz="0" w:space="0" w:color="auto"/>
            <w:left w:val="none" w:sz="0" w:space="0" w:color="auto"/>
            <w:bottom w:val="none" w:sz="0" w:space="0" w:color="auto"/>
            <w:right w:val="none" w:sz="0" w:space="0" w:color="auto"/>
          </w:divBdr>
          <w:divsChild>
            <w:div w:id="181434422">
              <w:marLeft w:val="0"/>
              <w:marRight w:val="0"/>
              <w:marTop w:val="74"/>
              <w:marBottom w:val="0"/>
              <w:divBdr>
                <w:top w:val="single" w:sz="4" w:space="4" w:color="666666"/>
                <w:left w:val="none" w:sz="0" w:space="0" w:color="auto"/>
                <w:bottom w:val="none" w:sz="0" w:space="0" w:color="auto"/>
                <w:right w:val="none" w:sz="0" w:space="0" w:color="auto"/>
              </w:divBdr>
            </w:div>
          </w:divsChild>
        </w:div>
      </w:divsChild>
    </w:div>
    <w:div w:id="1567449875">
      <w:bodyDiv w:val="1"/>
      <w:marLeft w:val="0"/>
      <w:marRight w:val="0"/>
      <w:marTop w:val="0"/>
      <w:marBottom w:val="0"/>
      <w:divBdr>
        <w:top w:val="none" w:sz="0" w:space="0" w:color="auto"/>
        <w:left w:val="none" w:sz="0" w:space="0" w:color="auto"/>
        <w:bottom w:val="none" w:sz="0" w:space="0" w:color="auto"/>
        <w:right w:val="none" w:sz="0" w:space="0" w:color="auto"/>
      </w:divBdr>
      <w:divsChild>
        <w:div w:id="24059681">
          <w:marLeft w:val="0"/>
          <w:marRight w:val="0"/>
          <w:marTop w:val="0"/>
          <w:marBottom w:val="0"/>
          <w:divBdr>
            <w:top w:val="none" w:sz="0" w:space="0" w:color="auto"/>
            <w:left w:val="none" w:sz="0" w:space="0" w:color="auto"/>
            <w:bottom w:val="none" w:sz="0" w:space="0" w:color="auto"/>
            <w:right w:val="none" w:sz="0" w:space="0" w:color="auto"/>
          </w:divBdr>
        </w:div>
        <w:div w:id="362680426">
          <w:marLeft w:val="0"/>
          <w:marRight w:val="0"/>
          <w:marTop w:val="0"/>
          <w:marBottom w:val="0"/>
          <w:divBdr>
            <w:top w:val="none" w:sz="0" w:space="0" w:color="auto"/>
            <w:left w:val="none" w:sz="0" w:space="0" w:color="auto"/>
            <w:bottom w:val="none" w:sz="0" w:space="0" w:color="auto"/>
            <w:right w:val="none" w:sz="0" w:space="0" w:color="auto"/>
          </w:divBdr>
        </w:div>
        <w:div w:id="669286088">
          <w:marLeft w:val="0"/>
          <w:marRight w:val="0"/>
          <w:marTop w:val="0"/>
          <w:marBottom w:val="0"/>
          <w:divBdr>
            <w:top w:val="none" w:sz="0" w:space="0" w:color="auto"/>
            <w:left w:val="none" w:sz="0" w:space="0" w:color="auto"/>
            <w:bottom w:val="none" w:sz="0" w:space="0" w:color="auto"/>
            <w:right w:val="none" w:sz="0" w:space="0" w:color="auto"/>
          </w:divBdr>
        </w:div>
        <w:div w:id="783769970">
          <w:marLeft w:val="0"/>
          <w:marRight w:val="0"/>
          <w:marTop w:val="0"/>
          <w:marBottom w:val="0"/>
          <w:divBdr>
            <w:top w:val="none" w:sz="0" w:space="0" w:color="auto"/>
            <w:left w:val="none" w:sz="0" w:space="0" w:color="auto"/>
            <w:bottom w:val="none" w:sz="0" w:space="0" w:color="auto"/>
            <w:right w:val="none" w:sz="0" w:space="0" w:color="auto"/>
          </w:divBdr>
        </w:div>
        <w:div w:id="1308901566">
          <w:marLeft w:val="0"/>
          <w:marRight w:val="0"/>
          <w:marTop w:val="0"/>
          <w:marBottom w:val="0"/>
          <w:divBdr>
            <w:top w:val="none" w:sz="0" w:space="0" w:color="auto"/>
            <w:left w:val="none" w:sz="0" w:space="0" w:color="auto"/>
            <w:bottom w:val="none" w:sz="0" w:space="0" w:color="auto"/>
            <w:right w:val="none" w:sz="0" w:space="0" w:color="auto"/>
          </w:divBdr>
        </w:div>
        <w:div w:id="1362585728">
          <w:marLeft w:val="0"/>
          <w:marRight w:val="0"/>
          <w:marTop w:val="0"/>
          <w:marBottom w:val="0"/>
          <w:divBdr>
            <w:top w:val="none" w:sz="0" w:space="0" w:color="auto"/>
            <w:left w:val="none" w:sz="0" w:space="0" w:color="auto"/>
            <w:bottom w:val="none" w:sz="0" w:space="0" w:color="auto"/>
            <w:right w:val="none" w:sz="0" w:space="0" w:color="auto"/>
          </w:divBdr>
        </w:div>
        <w:div w:id="1398363345">
          <w:marLeft w:val="0"/>
          <w:marRight w:val="0"/>
          <w:marTop w:val="0"/>
          <w:marBottom w:val="0"/>
          <w:divBdr>
            <w:top w:val="none" w:sz="0" w:space="0" w:color="auto"/>
            <w:left w:val="none" w:sz="0" w:space="0" w:color="auto"/>
            <w:bottom w:val="none" w:sz="0" w:space="0" w:color="auto"/>
            <w:right w:val="none" w:sz="0" w:space="0" w:color="auto"/>
          </w:divBdr>
        </w:div>
        <w:div w:id="1751657061">
          <w:marLeft w:val="0"/>
          <w:marRight w:val="0"/>
          <w:marTop w:val="0"/>
          <w:marBottom w:val="0"/>
          <w:divBdr>
            <w:top w:val="none" w:sz="0" w:space="0" w:color="auto"/>
            <w:left w:val="none" w:sz="0" w:space="0" w:color="auto"/>
            <w:bottom w:val="none" w:sz="0" w:space="0" w:color="auto"/>
            <w:right w:val="none" w:sz="0" w:space="0" w:color="auto"/>
          </w:divBdr>
        </w:div>
        <w:div w:id="1759254752">
          <w:marLeft w:val="0"/>
          <w:marRight w:val="0"/>
          <w:marTop w:val="0"/>
          <w:marBottom w:val="0"/>
          <w:divBdr>
            <w:top w:val="none" w:sz="0" w:space="0" w:color="auto"/>
            <w:left w:val="none" w:sz="0" w:space="0" w:color="auto"/>
            <w:bottom w:val="none" w:sz="0" w:space="0" w:color="auto"/>
            <w:right w:val="none" w:sz="0" w:space="0" w:color="auto"/>
          </w:divBdr>
        </w:div>
        <w:div w:id="1797790076">
          <w:marLeft w:val="0"/>
          <w:marRight w:val="0"/>
          <w:marTop w:val="0"/>
          <w:marBottom w:val="0"/>
          <w:divBdr>
            <w:top w:val="none" w:sz="0" w:space="0" w:color="auto"/>
            <w:left w:val="none" w:sz="0" w:space="0" w:color="auto"/>
            <w:bottom w:val="none" w:sz="0" w:space="0" w:color="auto"/>
            <w:right w:val="none" w:sz="0" w:space="0" w:color="auto"/>
          </w:divBdr>
        </w:div>
        <w:div w:id="2082293364">
          <w:marLeft w:val="0"/>
          <w:marRight w:val="0"/>
          <w:marTop w:val="0"/>
          <w:marBottom w:val="0"/>
          <w:divBdr>
            <w:top w:val="none" w:sz="0" w:space="0" w:color="auto"/>
            <w:left w:val="none" w:sz="0" w:space="0" w:color="auto"/>
            <w:bottom w:val="none" w:sz="0" w:space="0" w:color="auto"/>
            <w:right w:val="none" w:sz="0" w:space="0" w:color="auto"/>
          </w:divBdr>
        </w:div>
        <w:div w:id="2126189436">
          <w:marLeft w:val="0"/>
          <w:marRight w:val="0"/>
          <w:marTop w:val="0"/>
          <w:marBottom w:val="0"/>
          <w:divBdr>
            <w:top w:val="none" w:sz="0" w:space="0" w:color="auto"/>
            <w:left w:val="none" w:sz="0" w:space="0" w:color="auto"/>
            <w:bottom w:val="none" w:sz="0" w:space="0" w:color="auto"/>
            <w:right w:val="none" w:sz="0" w:space="0" w:color="auto"/>
          </w:divBdr>
        </w:div>
      </w:divsChild>
    </w:div>
    <w:div w:id="1594778829">
      <w:bodyDiv w:val="1"/>
      <w:marLeft w:val="0"/>
      <w:marRight w:val="0"/>
      <w:marTop w:val="0"/>
      <w:marBottom w:val="0"/>
      <w:divBdr>
        <w:top w:val="none" w:sz="0" w:space="0" w:color="auto"/>
        <w:left w:val="none" w:sz="0" w:space="0" w:color="auto"/>
        <w:bottom w:val="none" w:sz="0" w:space="0" w:color="auto"/>
        <w:right w:val="none" w:sz="0" w:space="0" w:color="auto"/>
      </w:divBdr>
    </w:div>
    <w:div w:id="1598517815">
      <w:bodyDiv w:val="1"/>
      <w:marLeft w:val="0"/>
      <w:marRight w:val="0"/>
      <w:marTop w:val="0"/>
      <w:marBottom w:val="0"/>
      <w:divBdr>
        <w:top w:val="none" w:sz="0" w:space="0" w:color="auto"/>
        <w:left w:val="none" w:sz="0" w:space="0" w:color="auto"/>
        <w:bottom w:val="none" w:sz="0" w:space="0" w:color="auto"/>
        <w:right w:val="none" w:sz="0" w:space="0" w:color="auto"/>
      </w:divBdr>
      <w:divsChild>
        <w:div w:id="144275757">
          <w:marLeft w:val="0"/>
          <w:marRight w:val="0"/>
          <w:marTop w:val="0"/>
          <w:marBottom w:val="0"/>
          <w:divBdr>
            <w:top w:val="none" w:sz="0" w:space="0" w:color="auto"/>
            <w:left w:val="none" w:sz="0" w:space="0" w:color="auto"/>
            <w:bottom w:val="none" w:sz="0" w:space="0" w:color="auto"/>
            <w:right w:val="none" w:sz="0" w:space="0" w:color="auto"/>
          </w:divBdr>
        </w:div>
        <w:div w:id="362245376">
          <w:marLeft w:val="0"/>
          <w:marRight w:val="0"/>
          <w:marTop w:val="0"/>
          <w:marBottom w:val="0"/>
          <w:divBdr>
            <w:top w:val="none" w:sz="0" w:space="0" w:color="auto"/>
            <w:left w:val="none" w:sz="0" w:space="0" w:color="auto"/>
            <w:bottom w:val="none" w:sz="0" w:space="0" w:color="auto"/>
            <w:right w:val="none" w:sz="0" w:space="0" w:color="auto"/>
          </w:divBdr>
        </w:div>
        <w:div w:id="475610597">
          <w:marLeft w:val="0"/>
          <w:marRight w:val="0"/>
          <w:marTop w:val="0"/>
          <w:marBottom w:val="0"/>
          <w:divBdr>
            <w:top w:val="none" w:sz="0" w:space="0" w:color="auto"/>
            <w:left w:val="none" w:sz="0" w:space="0" w:color="auto"/>
            <w:bottom w:val="none" w:sz="0" w:space="0" w:color="auto"/>
            <w:right w:val="none" w:sz="0" w:space="0" w:color="auto"/>
          </w:divBdr>
        </w:div>
        <w:div w:id="1409383683">
          <w:marLeft w:val="0"/>
          <w:marRight w:val="0"/>
          <w:marTop w:val="0"/>
          <w:marBottom w:val="0"/>
          <w:divBdr>
            <w:top w:val="none" w:sz="0" w:space="0" w:color="auto"/>
            <w:left w:val="none" w:sz="0" w:space="0" w:color="auto"/>
            <w:bottom w:val="none" w:sz="0" w:space="0" w:color="auto"/>
            <w:right w:val="none" w:sz="0" w:space="0" w:color="auto"/>
          </w:divBdr>
        </w:div>
        <w:div w:id="1572888649">
          <w:marLeft w:val="0"/>
          <w:marRight w:val="0"/>
          <w:marTop w:val="0"/>
          <w:marBottom w:val="0"/>
          <w:divBdr>
            <w:top w:val="none" w:sz="0" w:space="0" w:color="auto"/>
            <w:left w:val="none" w:sz="0" w:space="0" w:color="auto"/>
            <w:bottom w:val="none" w:sz="0" w:space="0" w:color="auto"/>
            <w:right w:val="none" w:sz="0" w:space="0" w:color="auto"/>
          </w:divBdr>
        </w:div>
        <w:div w:id="1724214722">
          <w:marLeft w:val="0"/>
          <w:marRight w:val="0"/>
          <w:marTop w:val="0"/>
          <w:marBottom w:val="0"/>
          <w:divBdr>
            <w:top w:val="none" w:sz="0" w:space="0" w:color="auto"/>
            <w:left w:val="none" w:sz="0" w:space="0" w:color="auto"/>
            <w:bottom w:val="none" w:sz="0" w:space="0" w:color="auto"/>
            <w:right w:val="none" w:sz="0" w:space="0" w:color="auto"/>
          </w:divBdr>
        </w:div>
      </w:divsChild>
    </w:div>
    <w:div w:id="1719820229">
      <w:bodyDiv w:val="1"/>
      <w:marLeft w:val="0"/>
      <w:marRight w:val="0"/>
      <w:marTop w:val="0"/>
      <w:marBottom w:val="0"/>
      <w:divBdr>
        <w:top w:val="none" w:sz="0" w:space="0" w:color="auto"/>
        <w:left w:val="none" w:sz="0" w:space="0" w:color="auto"/>
        <w:bottom w:val="none" w:sz="0" w:space="0" w:color="auto"/>
        <w:right w:val="none" w:sz="0" w:space="0" w:color="auto"/>
      </w:divBdr>
      <w:divsChild>
        <w:div w:id="2896992">
          <w:marLeft w:val="0"/>
          <w:marRight w:val="0"/>
          <w:marTop w:val="0"/>
          <w:marBottom w:val="0"/>
          <w:divBdr>
            <w:top w:val="none" w:sz="0" w:space="0" w:color="auto"/>
            <w:left w:val="none" w:sz="0" w:space="0" w:color="auto"/>
            <w:bottom w:val="none" w:sz="0" w:space="0" w:color="auto"/>
            <w:right w:val="none" w:sz="0" w:space="0" w:color="auto"/>
          </w:divBdr>
        </w:div>
        <w:div w:id="52048736">
          <w:marLeft w:val="0"/>
          <w:marRight w:val="0"/>
          <w:marTop w:val="0"/>
          <w:marBottom w:val="0"/>
          <w:divBdr>
            <w:top w:val="none" w:sz="0" w:space="0" w:color="auto"/>
            <w:left w:val="none" w:sz="0" w:space="0" w:color="auto"/>
            <w:bottom w:val="none" w:sz="0" w:space="0" w:color="auto"/>
            <w:right w:val="none" w:sz="0" w:space="0" w:color="auto"/>
          </w:divBdr>
        </w:div>
        <w:div w:id="63795057">
          <w:marLeft w:val="0"/>
          <w:marRight w:val="0"/>
          <w:marTop w:val="0"/>
          <w:marBottom w:val="0"/>
          <w:divBdr>
            <w:top w:val="none" w:sz="0" w:space="0" w:color="auto"/>
            <w:left w:val="none" w:sz="0" w:space="0" w:color="auto"/>
            <w:bottom w:val="none" w:sz="0" w:space="0" w:color="auto"/>
            <w:right w:val="none" w:sz="0" w:space="0" w:color="auto"/>
          </w:divBdr>
        </w:div>
        <w:div w:id="69425370">
          <w:marLeft w:val="0"/>
          <w:marRight w:val="0"/>
          <w:marTop w:val="0"/>
          <w:marBottom w:val="0"/>
          <w:divBdr>
            <w:top w:val="none" w:sz="0" w:space="0" w:color="auto"/>
            <w:left w:val="none" w:sz="0" w:space="0" w:color="auto"/>
            <w:bottom w:val="none" w:sz="0" w:space="0" w:color="auto"/>
            <w:right w:val="none" w:sz="0" w:space="0" w:color="auto"/>
          </w:divBdr>
        </w:div>
        <w:div w:id="77823492">
          <w:marLeft w:val="0"/>
          <w:marRight w:val="0"/>
          <w:marTop w:val="0"/>
          <w:marBottom w:val="0"/>
          <w:divBdr>
            <w:top w:val="none" w:sz="0" w:space="0" w:color="auto"/>
            <w:left w:val="none" w:sz="0" w:space="0" w:color="auto"/>
            <w:bottom w:val="none" w:sz="0" w:space="0" w:color="auto"/>
            <w:right w:val="none" w:sz="0" w:space="0" w:color="auto"/>
          </w:divBdr>
        </w:div>
        <w:div w:id="174151798">
          <w:marLeft w:val="0"/>
          <w:marRight w:val="0"/>
          <w:marTop w:val="0"/>
          <w:marBottom w:val="0"/>
          <w:divBdr>
            <w:top w:val="none" w:sz="0" w:space="0" w:color="auto"/>
            <w:left w:val="none" w:sz="0" w:space="0" w:color="auto"/>
            <w:bottom w:val="none" w:sz="0" w:space="0" w:color="auto"/>
            <w:right w:val="none" w:sz="0" w:space="0" w:color="auto"/>
          </w:divBdr>
        </w:div>
        <w:div w:id="182518230">
          <w:marLeft w:val="0"/>
          <w:marRight w:val="0"/>
          <w:marTop w:val="0"/>
          <w:marBottom w:val="0"/>
          <w:divBdr>
            <w:top w:val="none" w:sz="0" w:space="0" w:color="auto"/>
            <w:left w:val="none" w:sz="0" w:space="0" w:color="auto"/>
            <w:bottom w:val="none" w:sz="0" w:space="0" w:color="auto"/>
            <w:right w:val="none" w:sz="0" w:space="0" w:color="auto"/>
          </w:divBdr>
        </w:div>
        <w:div w:id="195968634">
          <w:marLeft w:val="0"/>
          <w:marRight w:val="0"/>
          <w:marTop w:val="0"/>
          <w:marBottom w:val="0"/>
          <w:divBdr>
            <w:top w:val="none" w:sz="0" w:space="0" w:color="auto"/>
            <w:left w:val="none" w:sz="0" w:space="0" w:color="auto"/>
            <w:bottom w:val="none" w:sz="0" w:space="0" w:color="auto"/>
            <w:right w:val="none" w:sz="0" w:space="0" w:color="auto"/>
          </w:divBdr>
        </w:div>
        <w:div w:id="254098916">
          <w:marLeft w:val="0"/>
          <w:marRight w:val="0"/>
          <w:marTop w:val="0"/>
          <w:marBottom w:val="0"/>
          <w:divBdr>
            <w:top w:val="none" w:sz="0" w:space="0" w:color="auto"/>
            <w:left w:val="none" w:sz="0" w:space="0" w:color="auto"/>
            <w:bottom w:val="none" w:sz="0" w:space="0" w:color="auto"/>
            <w:right w:val="none" w:sz="0" w:space="0" w:color="auto"/>
          </w:divBdr>
        </w:div>
        <w:div w:id="263461039">
          <w:marLeft w:val="0"/>
          <w:marRight w:val="0"/>
          <w:marTop w:val="0"/>
          <w:marBottom w:val="0"/>
          <w:divBdr>
            <w:top w:val="none" w:sz="0" w:space="0" w:color="auto"/>
            <w:left w:val="none" w:sz="0" w:space="0" w:color="auto"/>
            <w:bottom w:val="none" w:sz="0" w:space="0" w:color="auto"/>
            <w:right w:val="none" w:sz="0" w:space="0" w:color="auto"/>
          </w:divBdr>
        </w:div>
        <w:div w:id="290020716">
          <w:marLeft w:val="0"/>
          <w:marRight w:val="0"/>
          <w:marTop w:val="0"/>
          <w:marBottom w:val="0"/>
          <w:divBdr>
            <w:top w:val="none" w:sz="0" w:space="0" w:color="auto"/>
            <w:left w:val="none" w:sz="0" w:space="0" w:color="auto"/>
            <w:bottom w:val="none" w:sz="0" w:space="0" w:color="auto"/>
            <w:right w:val="none" w:sz="0" w:space="0" w:color="auto"/>
          </w:divBdr>
        </w:div>
        <w:div w:id="294607663">
          <w:marLeft w:val="0"/>
          <w:marRight w:val="0"/>
          <w:marTop w:val="0"/>
          <w:marBottom w:val="0"/>
          <w:divBdr>
            <w:top w:val="none" w:sz="0" w:space="0" w:color="auto"/>
            <w:left w:val="none" w:sz="0" w:space="0" w:color="auto"/>
            <w:bottom w:val="none" w:sz="0" w:space="0" w:color="auto"/>
            <w:right w:val="none" w:sz="0" w:space="0" w:color="auto"/>
          </w:divBdr>
        </w:div>
        <w:div w:id="296492174">
          <w:marLeft w:val="0"/>
          <w:marRight w:val="0"/>
          <w:marTop w:val="0"/>
          <w:marBottom w:val="0"/>
          <w:divBdr>
            <w:top w:val="none" w:sz="0" w:space="0" w:color="auto"/>
            <w:left w:val="none" w:sz="0" w:space="0" w:color="auto"/>
            <w:bottom w:val="none" w:sz="0" w:space="0" w:color="auto"/>
            <w:right w:val="none" w:sz="0" w:space="0" w:color="auto"/>
          </w:divBdr>
        </w:div>
        <w:div w:id="309481675">
          <w:marLeft w:val="0"/>
          <w:marRight w:val="0"/>
          <w:marTop w:val="0"/>
          <w:marBottom w:val="0"/>
          <w:divBdr>
            <w:top w:val="none" w:sz="0" w:space="0" w:color="auto"/>
            <w:left w:val="none" w:sz="0" w:space="0" w:color="auto"/>
            <w:bottom w:val="none" w:sz="0" w:space="0" w:color="auto"/>
            <w:right w:val="none" w:sz="0" w:space="0" w:color="auto"/>
          </w:divBdr>
        </w:div>
        <w:div w:id="348528201">
          <w:marLeft w:val="0"/>
          <w:marRight w:val="0"/>
          <w:marTop w:val="0"/>
          <w:marBottom w:val="0"/>
          <w:divBdr>
            <w:top w:val="none" w:sz="0" w:space="0" w:color="auto"/>
            <w:left w:val="none" w:sz="0" w:space="0" w:color="auto"/>
            <w:bottom w:val="none" w:sz="0" w:space="0" w:color="auto"/>
            <w:right w:val="none" w:sz="0" w:space="0" w:color="auto"/>
          </w:divBdr>
        </w:div>
        <w:div w:id="447239116">
          <w:marLeft w:val="0"/>
          <w:marRight w:val="0"/>
          <w:marTop w:val="0"/>
          <w:marBottom w:val="0"/>
          <w:divBdr>
            <w:top w:val="none" w:sz="0" w:space="0" w:color="auto"/>
            <w:left w:val="none" w:sz="0" w:space="0" w:color="auto"/>
            <w:bottom w:val="none" w:sz="0" w:space="0" w:color="auto"/>
            <w:right w:val="none" w:sz="0" w:space="0" w:color="auto"/>
          </w:divBdr>
        </w:div>
        <w:div w:id="535041968">
          <w:marLeft w:val="0"/>
          <w:marRight w:val="0"/>
          <w:marTop w:val="0"/>
          <w:marBottom w:val="0"/>
          <w:divBdr>
            <w:top w:val="none" w:sz="0" w:space="0" w:color="auto"/>
            <w:left w:val="none" w:sz="0" w:space="0" w:color="auto"/>
            <w:bottom w:val="none" w:sz="0" w:space="0" w:color="auto"/>
            <w:right w:val="none" w:sz="0" w:space="0" w:color="auto"/>
          </w:divBdr>
        </w:div>
        <w:div w:id="551042670">
          <w:marLeft w:val="0"/>
          <w:marRight w:val="0"/>
          <w:marTop w:val="0"/>
          <w:marBottom w:val="0"/>
          <w:divBdr>
            <w:top w:val="none" w:sz="0" w:space="0" w:color="auto"/>
            <w:left w:val="none" w:sz="0" w:space="0" w:color="auto"/>
            <w:bottom w:val="none" w:sz="0" w:space="0" w:color="auto"/>
            <w:right w:val="none" w:sz="0" w:space="0" w:color="auto"/>
          </w:divBdr>
        </w:div>
        <w:div w:id="577204511">
          <w:marLeft w:val="0"/>
          <w:marRight w:val="0"/>
          <w:marTop w:val="0"/>
          <w:marBottom w:val="0"/>
          <w:divBdr>
            <w:top w:val="none" w:sz="0" w:space="0" w:color="auto"/>
            <w:left w:val="none" w:sz="0" w:space="0" w:color="auto"/>
            <w:bottom w:val="none" w:sz="0" w:space="0" w:color="auto"/>
            <w:right w:val="none" w:sz="0" w:space="0" w:color="auto"/>
          </w:divBdr>
        </w:div>
        <w:div w:id="725839089">
          <w:marLeft w:val="0"/>
          <w:marRight w:val="0"/>
          <w:marTop w:val="0"/>
          <w:marBottom w:val="0"/>
          <w:divBdr>
            <w:top w:val="none" w:sz="0" w:space="0" w:color="auto"/>
            <w:left w:val="none" w:sz="0" w:space="0" w:color="auto"/>
            <w:bottom w:val="none" w:sz="0" w:space="0" w:color="auto"/>
            <w:right w:val="none" w:sz="0" w:space="0" w:color="auto"/>
          </w:divBdr>
        </w:div>
        <w:div w:id="935402510">
          <w:marLeft w:val="0"/>
          <w:marRight w:val="0"/>
          <w:marTop w:val="0"/>
          <w:marBottom w:val="0"/>
          <w:divBdr>
            <w:top w:val="none" w:sz="0" w:space="0" w:color="auto"/>
            <w:left w:val="none" w:sz="0" w:space="0" w:color="auto"/>
            <w:bottom w:val="none" w:sz="0" w:space="0" w:color="auto"/>
            <w:right w:val="none" w:sz="0" w:space="0" w:color="auto"/>
          </w:divBdr>
        </w:div>
        <w:div w:id="1001470634">
          <w:marLeft w:val="0"/>
          <w:marRight w:val="0"/>
          <w:marTop w:val="0"/>
          <w:marBottom w:val="0"/>
          <w:divBdr>
            <w:top w:val="none" w:sz="0" w:space="0" w:color="auto"/>
            <w:left w:val="none" w:sz="0" w:space="0" w:color="auto"/>
            <w:bottom w:val="none" w:sz="0" w:space="0" w:color="auto"/>
            <w:right w:val="none" w:sz="0" w:space="0" w:color="auto"/>
          </w:divBdr>
        </w:div>
        <w:div w:id="1057126209">
          <w:marLeft w:val="0"/>
          <w:marRight w:val="0"/>
          <w:marTop w:val="0"/>
          <w:marBottom w:val="0"/>
          <w:divBdr>
            <w:top w:val="none" w:sz="0" w:space="0" w:color="auto"/>
            <w:left w:val="none" w:sz="0" w:space="0" w:color="auto"/>
            <w:bottom w:val="none" w:sz="0" w:space="0" w:color="auto"/>
            <w:right w:val="none" w:sz="0" w:space="0" w:color="auto"/>
          </w:divBdr>
        </w:div>
        <w:div w:id="1061290244">
          <w:marLeft w:val="0"/>
          <w:marRight w:val="0"/>
          <w:marTop w:val="0"/>
          <w:marBottom w:val="0"/>
          <w:divBdr>
            <w:top w:val="none" w:sz="0" w:space="0" w:color="auto"/>
            <w:left w:val="none" w:sz="0" w:space="0" w:color="auto"/>
            <w:bottom w:val="none" w:sz="0" w:space="0" w:color="auto"/>
            <w:right w:val="none" w:sz="0" w:space="0" w:color="auto"/>
          </w:divBdr>
        </w:div>
        <w:div w:id="1181168057">
          <w:marLeft w:val="0"/>
          <w:marRight w:val="0"/>
          <w:marTop w:val="0"/>
          <w:marBottom w:val="0"/>
          <w:divBdr>
            <w:top w:val="none" w:sz="0" w:space="0" w:color="auto"/>
            <w:left w:val="none" w:sz="0" w:space="0" w:color="auto"/>
            <w:bottom w:val="none" w:sz="0" w:space="0" w:color="auto"/>
            <w:right w:val="none" w:sz="0" w:space="0" w:color="auto"/>
          </w:divBdr>
        </w:div>
        <w:div w:id="1227915195">
          <w:marLeft w:val="0"/>
          <w:marRight w:val="0"/>
          <w:marTop w:val="0"/>
          <w:marBottom w:val="0"/>
          <w:divBdr>
            <w:top w:val="none" w:sz="0" w:space="0" w:color="auto"/>
            <w:left w:val="none" w:sz="0" w:space="0" w:color="auto"/>
            <w:bottom w:val="none" w:sz="0" w:space="0" w:color="auto"/>
            <w:right w:val="none" w:sz="0" w:space="0" w:color="auto"/>
          </w:divBdr>
        </w:div>
        <w:div w:id="1235623801">
          <w:marLeft w:val="0"/>
          <w:marRight w:val="0"/>
          <w:marTop w:val="0"/>
          <w:marBottom w:val="0"/>
          <w:divBdr>
            <w:top w:val="none" w:sz="0" w:space="0" w:color="auto"/>
            <w:left w:val="none" w:sz="0" w:space="0" w:color="auto"/>
            <w:bottom w:val="none" w:sz="0" w:space="0" w:color="auto"/>
            <w:right w:val="none" w:sz="0" w:space="0" w:color="auto"/>
          </w:divBdr>
        </w:div>
        <w:div w:id="1301151983">
          <w:marLeft w:val="0"/>
          <w:marRight w:val="0"/>
          <w:marTop w:val="0"/>
          <w:marBottom w:val="0"/>
          <w:divBdr>
            <w:top w:val="none" w:sz="0" w:space="0" w:color="auto"/>
            <w:left w:val="none" w:sz="0" w:space="0" w:color="auto"/>
            <w:bottom w:val="none" w:sz="0" w:space="0" w:color="auto"/>
            <w:right w:val="none" w:sz="0" w:space="0" w:color="auto"/>
          </w:divBdr>
        </w:div>
        <w:div w:id="1302079560">
          <w:marLeft w:val="0"/>
          <w:marRight w:val="0"/>
          <w:marTop w:val="0"/>
          <w:marBottom w:val="0"/>
          <w:divBdr>
            <w:top w:val="none" w:sz="0" w:space="0" w:color="auto"/>
            <w:left w:val="none" w:sz="0" w:space="0" w:color="auto"/>
            <w:bottom w:val="none" w:sz="0" w:space="0" w:color="auto"/>
            <w:right w:val="none" w:sz="0" w:space="0" w:color="auto"/>
          </w:divBdr>
        </w:div>
        <w:div w:id="1310670914">
          <w:marLeft w:val="0"/>
          <w:marRight w:val="0"/>
          <w:marTop w:val="0"/>
          <w:marBottom w:val="0"/>
          <w:divBdr>
            <w:top w:val="none" w:sz="0" w:space="0" w:color="auto"/>
            <w:left w:val="none" w:sz="0" w:space="0" w:color="auto"/>
            <w:bottom w:val="none" w:sz="0" w:space="0" w:color="auto"/>
            <w:right w:val="none" w:sz="0" w:space="0" w:color="auto"/>
          </w:divBdr>
        </w:div>
        <w:div w:id="1352990786">
          <w:marLeft w:val="0"/>
          <w:marRight w:val="0"/>
          <w:marTop w:val="0"/>
          <w:marBottom w:val="0"/>
          <w:divBdr>
            <w:top w:val="none" w:sz="0" w:space="0" w:color="auto"/>
            <w:left w:val="none" w:sz="0" w:space="0" w:color="auto"/>
            <w:bottom w:val="none" w:sz="0" w:space="0" w:color="auto"/>
            <w:right w:val="none" w:sz="0" w:space="0" w:color="auto"/>
          </w:divBdr>
        </w:div>
        <w:div w:id="1355810021">
          <w:marLeft w:val="0"/>
          <w:marRight w:val="0"/>
          <w:marTop w:val="0"/>
          <w:marBottom w:val="0"/>
          <w:divBdr>
            <w:top w:val="none" w:sz="0" w:space="0" w:color="auto"/>
            <w:left w:val="none" w:sz="0" w:space="0" w:color="auto"/>
            <w:bottom w:val="none" w:sz="0" w:space="0" w:color="auto"/>
            <w:right w:val="none" w:sz="0" w:space="0" w:color="auto"/>
          </w:divBdr>
        </w:div>
        <w:div w:id="1447772350">
          <w:marLeft w:val="0"/>
          <w:marRight w:val="0"/>
          <w:marTop w:val="0"/>
          <w:marBottom w:val="0"/>
          <w:divBdr>
            <w:top w:val="none" w:sz="0" w:space="0" w:color="auto"/>
            <w:left w:val="none" w:sz="0" w:space="0" w:color="auto"/>
            <w:bottom w:val="none" w:sz="0" w:space="0" w:color="auto"/>
            <w:right w:val="none" w:sz="0" w:space="0" w:color="auto"/>
          </w:divBdr>
        </w:div>
        <w:div w:id="1453136110">
          <w:marLeft w:val="0"/>
          <w:marRight w:val="0"/>
          <w:marTop w:val="0"/>
          <w:marBottom w:val="0"/>
          <w:divBdr>
            <w:top w:val="none" w:sz="0" w:space="0" w:color="auto"/>
            <w:left w:val="none" w:sz="0" w:space="0" w:color="auto"/>
            <w:bottom w:val="none" w:sz="0" w:space="0" w:color="auto"/>
            <w:right w:val="none" w:sz="0" w:space="0" w:color="auto"/>
          </w:divBdr>
        </w:div>
        <w:div w:id="1454789510">
          <w:marLeft w:val="0"/>
          <w:marRight w:val="0"/>
          <w:marTop w:val="0"/>
          <w:marBottom w:val="0"/>
          <w:divBdr>
            <w:top w:val="none" w:sz="0" w:space="0" w:color="auto"/>
            <w:left w:val="none" w:sz="0" w:space="0" w:color="auto"/>
            <w:bottom w:val="none" w:sz="0" w:space="0" w:color="auto"/>
            <w:right w:val="none" w:sz="0" w:space="0" w:color="auto"/>
          </w:divBdr>
        </w:div>
        <w:div w:id="1484391543">
          <w:marLeft w:val="0"/>
          <w:marRight w:val="0"/>
          <w:marTop w:val="0"/>
          <w:marBottom w:val="0"/>
          <w:divBdr>
            <w:top w:val="none" w:sz="0" w:space="0" w:color="auto"/>
            <w:left w:val="none" w:sz="0" w:space="0" w:color="auto"/>
            <w:bottom w:val="none" w:sz="0" w:space="0" w:color="auto"/>
            <w:right w:val="none" w:sz="0" w:space="0" w:color="auto"/>
          </w:divBdr>
        </w:div>
        <w:div w:id="1491672737">
          <w:marLeft w:val="0"/>
          <w:marRight w:val="0"/>
          <w:marTop w:val="0"/>
          <w:marBottom w:val="0"/>
          <w:divBdr>
            <w:top w:val="none" w:sz="0" w:space="0" w:color="auto"/>
            <w:left w:val="none" w:sz="0" w:space="0" w:color="auto"/>
            <w:bottom w:val="none" w:sz="0" w:space="0" w:color="auto"/>
            <w:right w:val="none" w:sz="0" w:space="0" w:color="auto"/>
          </w:divBdr>
        </w:div>
        <w:div w:id="1517117482">
          <w:marLeft w:val="0"/>
          <w:marRight w:val="0"/>
          <w:marTop w:val="0"/>
          <w:marBottom w:val="0"/>
          <w:divBdr>
            <w:top w:val="none" w:sz="0" w:space="0" w:color="auto"/>
            <w:left w:val="none" w:sz="0" w:space="0" w:color="auto"/>
            <w:bottom w:val="none" w:sz="0" w:space="0" w:color="auto"/>
            <w:right w:val="none" w:sz="0" w:space="0" w:color="auto"/>
          </w:divBdr>
        </w:div>
        <w:div w:id="1526792641">
          <w:marLeft w:val="0"/>
          <w:marRight w:val="0"/>
          <w:marTop w:val="0"/>
          <w:marBottom w:val="0"/>
          <w:divBdr>
            <w:top w:val="none" w:sz="0" w:space="0" w:color="auto"/>
            <w:left w:val="none" w:sz="0" w:space="0" w:color="auto"/>
            <w:bottom w:val="none" w:sz="0" w:space="0" w:color="auto"/>
            <w:right w:val="none" w:sz="0" w:space="0" w:color="auto"/>
          </w:divBdr>
        </w:div>
        <w:div w:id="1541816134">
          <w:marLeft w:val="0"/>
          <w:marRight w:val="0"/>
          <w:marTop w:val="0"/>
          <w:marBottom w:val="0"/>
          <w:divBdr>
            <w:top w:val="none" w:sz="0" w:space="0" w:color="auto"/>
            <w:left w:val="none" w:sz="0" w:space="0" w:color="auto"/>
            <w:bottom w:val="none" w:sz="0" w:space="0" w:color="auto"/>
            <w:right w:val="none" w:sz="0" w:space="0" w:color="auto"/>
          </w:divBdr>
        </w:div>
        <w:div w:id="1551727928">
          <w:marLeft w:val="0"/>
          <w:marRight w:val="0"/>
          <w:marTop w:val="0"/>
          <w:marBottom w:val="0"/>
          <w:divBdr>
            <w:top w:val="none" w:sz="0" w:space="0" w:color="auto"/>
            <w:left w:val="none" w:sz="0" w:space="0" w:color="auto"/>
            <w:bottom w:val="none" w:sz="0" w:space="0" w:color="auto"/>
            <w:right w:val="none" w:sz="0" w:space="0" w:color="auto"/>
          </w:divBdr>
        </w:div>
        <w:div w:id="1559168186">
          <w:marLeft w:val="0"/>
          <w:marRight w:val="0"/>
          <w:marTop w:val="0"/>
          <w:marBottom w:val="0"/>
          <w:divBdr>
            <w:top w:val="none" w:sz="0" w:space="0" w:color="auto"/>
            <w:left w:val="none" w:sz="0" w:space="0" w:color="auto"/>
            <w:bottom w:val="none" w:sz="0" w:space="0" w:color="auto"/>
            <w:right w:val="none" w:sz="0" w:space="0" w:color="auto"/>
          </w:divBdr>
        </w:div>
        <w:div w:id="1595817545">
          <w:marLeft w:val="0"/>
          <w:marRight w:val="0"/>
          <w:marTop w:val="0"/>
          <w:marBottom w:val="0"/>
          <w:divBdr>
            <w:top w:val="none" w:sz="0" w:space="0" w:color="auto"/>
            <w:left w:val="none" w:sz="0" w:space="0" w:color="auto"/>
            <w:bottom w:val="none" w:sz="0" w:space="0" w:color="auto"/>
            <w:right w:val="none" w:sz="0" w:space="0" w:color="auto"/>
          </w:divBdr>
        </w:div>
        <w:div w:id="1662612360">
          <w:marLeft w:val="0"/>
          <w:marRight w:val="0"/>
          <w:marTop w:val="0"/>
          <w:marBottom w:val="0"/>
          <w:divBdr>
            <w:top w:val="none" w:sz="0" w:space="0" w:color="auto"/>
            <w:left w:val="none" w:sz="0" w:space="0" w:color="auto"/>
            <w:bottom w:val="none" w:sz="0" w:space="0" w:color="auto"/>
            <w:right w:val="none" w:sz="0" w:space="0" w:color="auto"/>
          </w:divBdr>
        </w:div>
        <w:div w:id="1717312299">
          <w:marLeft w:val="0"/>
          <w:marRight w:val="0"/>
          <w:marTop w:val="0"/>
          <w:marBottom w:val="0"/>
          <w:divBdr>
            <w:top w:val="none" w:sz="0" w:space="0" w:color="auto"/>
            <w:left w:val="none" w:sz="0" w:space="0" w:color="auto"/>
            <w:bottom w:val="none" w:sz="0" w:space="0" w:color="auto"/>
            <w:right w:val="none" w:sz="0" w:space="0" w:color="auto"/>
          </w:divBdr>
        </w:div>
        <w:div w:id="1724864039">
          <w:marLeft w:val="0"/>
          <w:marRight w:val="0"/>
          <w:marTop w:val="0"/>
          <w:marBottom w:val="0"/>
          <w:divBdr>
            <w:top w:val="none" w:sz="0" w:space="0" w:color="auto"/>
            <w:left w:val="none" w:sz="0" w:space="0" w:color="auto"/>
            <w:bottom w:val="none" w:sz="0" w:space="0" w:color="auto"/>
            <w:right w:val="none" w:sz="0" w:space="0" w:color="auto"/>
          </w:divBdr>
        </w:div>
        <w:div w:id="1814641099">
          <w:marLeft w:val="0"/>
          <w:marRight w:val="0"/>
          <w:marTop w:val="0"/>
          <w:marBottom w:val="0"/>
          <w:divBdr>
            <w:top w:val="none" w:sz="0" w:space="0" w:color="auto"/>
            <w:left w:val="none" w:sz="0" w:space="0" w:color="auto"/>
            <w:bottom w:val="none" w:sz="0" w:space="0" w:color="auto"/>
            <w:right w:val="none" w:sz="0" w:space="0" w:color="auto"/>
          </w:divBdr>
        </w:div>
        <w:div w:id="1823112067">
          <w:marLeft w:val="0"/>
          <w:marRight w:val="0"/>
          <w:marTop w:val="0"/>
          <w:marBottom w:val="0"/>
          <w:divBdr>
            <w:top w:val="none" w:sz="0" w:space="0" w:color="auto"/>
            <w:left w:val="none" w:sz="0" w:space="0" w:color="auto"/>
            <w:bottom w:val="none" w:sz="0" w:space="0" w:color="auto"/>
            <w:right w:val="none" w:sz="0" w:space="0" w:color="auto"/>
          </w:divBdr>
        </w:div>
        <w:div w:id="1896505024">
          <w:marLeft w:val="0"/>
          <w:marRight w:val="0"/>
          <w:marTop w:val="0"/>
          <w:marBottom w:val="0"/>
          <w:divBdr>
            <w:top w:val="none" w:sz="0" w:space="0" w:color="auto"/>
            <w:left w:val="none" w:sz="0" w:space="0" w:color="auto"/>
            <w:bottom w:val="none" w:sz="0" w:space="0" w:color="auto"/>
            <w:right w:val="none" w:sz="0" w:space="0" w:color="auto"/>
          </w:divBdr>
        </w:div>
        <w:div w:id="1942181553">
          <w:marLeft w:val="0"/>
          <w:marRight w:val="0"/>
          <w:marTop w:val="0"/>
          <w:marBottom w:val="0"/>
          <w:divBdr>
            <w:top w:val="none" w:sz="0" w:space="0" w:color="auto"/>
            <w:left w:val="none" w:sz="0" w:space="0" w:color="auto"/>
            <w:bottom w:val="none" w:sz="0" w:space="0" w:color="auto"/>
            <w:right w:val="none" w:sz="0" w:space="0" w:color="auto"/>
          </w:divBdr>
        </w:div>
        <w:div w:id="1980649254">
          <w:marLeft w:val="0"/>
          <w:marRight w:val="0"/>
          <w:marTop w:val="0"/>
          <w:marBottom w:val="0"/>
          <w:divBdr>
            <w:top w:val="none" w:sz="0" w:space="0" w:color="auto"/>
            <w:left w:val="none" w:sz="0" w:space="0" w:color="auto"/>
            <w:bottom w:val="none" w:sz="0" w:space="0" w:color="auto"/>
            <w:right w:val="none" w:sz="0" w:space="0" w:color="auto"/>
          </w:divBdr>
        </w:div>
        <w:div w:id="2032489911">
          <w:marLeft w:val="0"/>
          <w:marRight w:val="0"/>
          <w:marTop w:val="0"/>
          <w:marBottom w:val="0"/>
          <w:divBdr>
            <w:top w:val="none" w:sz="0" w:space="0" w:color="auto"/>
            <w:left w:val="none" w:sz="0" w:space="0" w:color="auto"/>
            <w:bottom w:val="none" w:sz="0" w:space="0" w:color="auto"/>
            <w:right w:val="none" w:sz="0" w:space="0" w:color="auto"/>
          </w:divBdr>
        </w:div>
        <w:div w:id="2111511900">
          <w:marLeft w:val="0"/>
          <w:marRight w:val="0"/>
          <w:marTop w:val="0"/>
          <w:marBottom w:val="0"/>
          <w:divBdr>
            <w:top w:val="none" w:sz="0" w:space="0" w:color="auto"/>
            <w:left w:val="none" w:sz="0" w:space="0" w:color="auto"/>
            <w:bottom w:val="none" w:sz="0" w:space="0" w:color="auto"/>
            <w:right w:val="none" w:sz="0" w:space="0" w:color="auto"/>
          </w:divBdr>
        </w:div>
        <w:div w:id="2118671631">
          <w:marLeft w:val="0"/>
          <w:marRight w:val="0"/>
          <w:marTop w:val="0"/>
          <w:marBottom w:val="0"/>
          <w:divBdr>
            <w:top w:val="none" w:sz="0" w:space="0" w:color="auto"/>
            <w:left w:val="none" w:sz="0" w:space="0" w:color="auto"/>
            <w:bottom w:val="none" w:sz="0" w:space="0" w:color="auto"/>
            <w:right w:val="none" w:sz="0" w:space="0" w:color="auto"/>
          </w:divBdr>
        </w:div>
      </w:divsChild>
    </w:div>
    <w:div w:id="1741564372">
      <w:bodyDiv w:val="1"/>
      <w:marLeft w:val="0"/>
      <w:marRight w:val="0"/>
      <w:marTop w:val="0"/>
      <w:marBottom w:val="0"/>
      <w:divBdr>
        <w:top w:val="none" w:sz="0" w:space="0" w:color="auto"/>
        <w:left w:val="none" w:sz="0" w:space="0" w:color="auto"/>
        <w:bottom w:val="none" w:sz="0" w:space="0" w:color="auto"/>
        <w:right w:val="none" w:sz="0" w:space="0" w:color="auto"/>
      </w:divBdr>
      <w:divsChild>
        <w:div w:id="2014213291">
          <w:marLeft w:val="0"/>
          <w:marRight w:val="0"/>
          <w:marTop w:val="0"/>
          <w:marBottom w:val="0"/>
          <w:divBdr>
            <w:top w:val="none" w:sz="0" w:space="0" w:color="auto"/>
            <w:left w:val="none" w:sz="0" w:space="0" w:color="auto"/>
            <w:bottom w:val="none" w:sz="0" w:space="0" w:color="auto"/>
            <w:right w:val="none" w:sz="0" w:space="0" w:color="auto"/>
          </w:divBdr>
          <w:divsChild>
            <w:div w:id="68486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1054">
      <w:bodyDiv w:val="1"/>
      <w:marLeft w:val="0"/>
      <w:marRight w:val="0"/>
      <w:marTop w:val="0"/>
      <w:marBottom w:val="0"/>
      <w:divBdr>
        <w:top w:val="none" w:sz="0" w:space="0" w:color="auto"/>
        <w:left w:val="none" w:sz="0" w:space="0" w:color="auto"/>
        <w:bottom w:val="none" w:sz="0" w:space="0" w:color="auto"/>
        <w:right w:val="none" w:sz="0" w:space="0" w:color="auto"/>
      </w:divBdr>
    </w:div>
    <w:div w:id="1799180390">
      <w:bodyDiv w:val="1"/>
      <w:marLeft w:val="0"/>
      <w:marRight w:val="0"/>
      <w:marTop w:val="0"/>
      <w:marBottom w:val="0"/>
      <w:divBdr>
        <w:top w:val="none" w:sz="0" w:space="0" w:color="auto"/>
        <w:left w:val="none" w:sz="0" w:space="0" w:color="auto"/>
        <w:bottom w:val="none" w:sz="0" w:space="0" w:color="auto"/>
        <w:right w:val="none" w:sz="0" w:space="0" w:color="auto"/>
      </w:divBdr>
      <w:divsChild>
        <w:div w:id="531386562">
          <w:marLeft w:val="0"/>
          <w:marRight w:val="0"/>
          <w:marTop w:val="0"/>
          <w:marBottom w:val="0"/>
          <w:divBdr>
            <w:top w:val="none" w:sz="0" w:space="0" w:color="auto"/>
            <w:left w:val="none" w:sz="0" w:space="0" w:color="auto"/>
            <w:bottom w:val="none" w:sz="0" w:space="0" w:color="auto"/>
            <w:right w:val="none" w:sz="0" w:space="0" w:color="auto"/>
          </w:divBdr>
        </w:div>
        <w:div w:id="970090116">
          <w:marLeft w:val="0"/>
          <w:marRight w:val="0"/>
          <w:marTop w:val="0"/>
          <w:marBottom w:val="0"/>
          <w:divBdr>
            <w:top w:val="none" w:sz="0" w:space="0" w:color="auto"/>
            <w:left w:val="none" w:sz="0" w:space="0" w:color="auto"/>
            <w:bottom w:val="none" w:sz="0" w:space="0" w:color="auto"/>
            <w:right w:val="none" w:sz="0" w:space="0" w:color="auto"/>
          </w:divBdr>
        </w:div>
        <w:div w:id="1244293965">
          <w:marLeft w:val="0"/>
          <w:marRight w:val="0"/>
          <w:marTop w:val="0"/>
          <w:marBottom w:val="0"/>
          <w:divBdr>
            <w:top w:val="none" w:sz="0" w:space="0" w:color="auto"/>
            <w:left w:val="none" w:sz="0" w:space="0" w:color="auto"/>
            <w:bottom w:val="none" w:sz="0" w:space="0" w:color="auto"/>
            <w:right w:val="none" w:sz="0" w:space="0" w:color="auto"/>
          </w:divBdr>
        </w:div>
        <w:div w:id="1635214568">
          <w:marLeft w:val="0"/>
          <w:marRight w:val="0"/>
          <w:marTop w:val="0"/>
          <w:marBottom w:val="0"/>
          <w:divBdr>
            <w:top w:val="none" w:sz="0" w:space="0" w:color="auto"/>
            <w:left w:val="none" w:sz="0" w:space="0" w:color="auto"/>
            <w:bottom w:val="none" w:sz="0" w:space="0" w:color="auto"/>
            <w:right w:val="none" w:sz="0" w:space="0" w:color="auto"/>
          </w:divBdr>
        </w:div>
      </w:divsChild>
    </w:div>
    <w:div w:id="1802310048">
      <w:bodyDiv w:val="1"/>
      <w:marLeft w:val="0"/>
      <w:marRight w:val="0"/>
      <w:marTop w:val="0"/>
      <w:marBottom w:val="0"/>
      <w:divBdr>
        <w:top w:val="none" w:sz="0" w:space="0" w:color="auto"/>
        <w:left w:val="none" w:sz="0" w:space="0" w:color="auto"/>
        <w:bottom w:val="none" w:sz="0" w:space="0" w:color="auto"/>
        <w:right w:val="none" w:sz="0" w:space="0" w:color="auto"/>
      </w:divBdr>
      <w:divsChild>
        <w:div w:id="397634921">
          <w:marLeft w:val="0"/>
          <w:marRight w:val="0"/>
          <w:marTop w:val="0"/>
          <w:marBottom w:val="0"/>
          <w:divBdr>
            <w:top w:val="none" w:sz="0" w:space="0" w:color="auto"/>
            <w:left w:val="none" w:sz="0" w:space="0" w:color="auto"/>
            <w:bottom w:val="none" w:sz="0" w:space="0" w:color="auto"/>
            <w:right w:val="none" w:sz="0" w:space="0" w:color="auto"/>
          </w:divBdr>
          <w:divsChild>
            <w:div w:id="58600572">
              <w:marLeft w:val="0"/>
              <w:marRight w:val="0"/>
              <w:marTop w:val="0"/>
              <w:marBottom w:val="0"/>
              <w:divBdr>
                <w:top w:val="none" w:sz="0" w:space="0" w:color="auto"/>
                <w:left w:val="none" w:sz="0" w:space="0" w:color="auto"/>
                <w:bottom w:val="none" w:sz="0" w:space="0" w:color="auto"/>
                <w:right w:val="none" w:sz="0" w:space="0" w:color="auto"/>
              </w:divBdr>
            </w:div>
            <w:div w:id="520898690">
              <w:marLeft w:val="0"/>
              <w:marRight w:val="0"/>
              <w:marTop w:val="0"/>
              <w:marBottom w:val="0"/>
              <w:divBdr>
                <w:top w:val="none" w:sz="0" w:space="0" w:color="auto"/>
                <w:left w:val="none" w:sz="0" w:space="0" w:color="auto"/>
                <w:bottom w:val="none" w:sz="0" w:space="0" w:color="auto"/>
                <w:right w:val="none" w:sz="0" w:space="0" w:color="auto"/>
              </w:divBdr>
            </w:div>
            <w:div w:id="799373901">
              <w:marLeft w:val="0"/>
              <w:marRight w:val="0"/>
              <w:marTop w:val="0"/>
              <w:marBottom w:val="0"/>
              <w:divBdr>
                <w:top w:val="none" w:sz="0" w:space="0" w:color="auto"/>
                <w:left w:val="none" w:sz="0" w:space="0" w:color="auto"/>
                <w:bottom w:val="none" w:sz="0" w:space="0" w:color="auto"/>
                <w:right w:val="none" w:sz="0" w:space="0" w:color="auto"/>
              </w:divBdr>
            </w:div>
            <w:div w:id="19920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1904">
      <w:bodyDiv w:val="1"/>
      <w:marLeft w:val="0"/>
      <w:marRight w:val="0"/>
      <w:marTop w:val="0"/>
      <w:marBottom w:val="0"/>
      <w:divBdr>
        <w:top w:val="none" w:sz="0" w:space="0" w:color="auto"/>
        <w:left w:val="none" w:sz="0" w:space="0" w:color="auto"/>
        <w:bottom w:val="none" w:sz="0" w:space="0" w:color="auto"/>
        <w:right w:val="none" w:sz="0" w:space="0" w:color="auto"/>
      </w:divBdr>
      <w:divsChild>
        <w:div w:id="1200269">
          <w:marLeft w:val="0"/>
          <w:marRight w:val="0"/>
          <w:marTop w:val="0"/>
          <w:marBottom w:val="0"/>
          <w:divBdr>
            <w:top w:val="none" w:sz="0" w:space="0" w:color="auto"/>
            <w:left w:val="none" w:sz="0" w:space="0" w:color="auto"/>
            <w:bottom w:val="none" w:sz="0" w:space="0" w:color="auto"/>
            <w:right w:val="none" w:sz="0" w:space="0" w:color="auto"/>
          </w:divBdr>
        </w:div>
        <w:div w:id="9570430">
          <w:marLeft w:val="0"/>
          <w:marRight w:val="0"/>
          <w:marTop w:val="0"/>
          <w:marBottom w:val="0"/>
          <w:divBdr>
            <w:top w:val="none" w:sz="0" w:space="0" w:color="auto"/>
            <w:left w:val="none" w:sz="0" w:space="0" w:color="auto"/>
            <w:bottom w:val="none" w:sz="0" w:space="0" w:color="auto"/>
            <w:right w:val="none" w:sz="0" w:space="0" w:color="auto"/>
          </w:divBdr>
        </w:div>
        <w:div w:id="14696009">
          <w:marLeft w:val="0"/>
          <w:marRight w:val="0"/>
          <w:marTop w:val="0"/>
          <w:marBottom w:val="0"/>
          <w:divBdr>
            <w:top w:val="none" w:sz="0" w:space="0" w:color="auto"/>
            <w:left w:val="none" w:sz="0" w:space="0" w:color="auto"/>
            <w:bottom w:val="none" w:sz="0" w:space="0" w:color="auto"/>
            <w:right w:val="none" w:sz="0" w:space="0" w:color="auto"/>
          </w:divBdr>
        </w:div>
        <w:div w:id="15694440">
          <w:marLeft w:val="0"/>
          <w:marRight w:val="0"/>
          <w:marTop w:val="0"/>
          <w:marBottom w:val="0"/>
          <w:divBdr>
            <w:top w:val="none" w:sz="0" w:space="0" w:color="auto"/>
            <w:left w:val="none" w:sz="0" w:space="0" w:color="auto"/>
            <w:bottom w:val="none" w:sz="0" w:space="0" w:color="auto"/>
            <w:right w:val="none" w:sz="0" w:space="0" w:color="auto"/>
          </w:divBdr>
        </w:div>
        <w:div w:id="18508882">
          <w:marLeft w:val="0"/>
          <w:marRight w:val="0"/>
          <w:marTop w:val="0"/>
          <w:marBottom w:val="0"/>
          <w:divBdr>
            <w:top w:val="none" w:sz="0" w:space="0" w:color="auto"/>
            <w:left w:val="none" w:sz="0" w:space="0" w:color="auto"/>
            <w:bottom w:val="none" w:sz="0" w:space="0" w:color="auto"/>
            <w:right w:val="none" w:sz="0" w:space="0" w:color="auto"/>
          </w:divBdr>
        </w:div>
        <w:div w:id="39863653">
          <w:marLeft w:val="0"/>
          <w:marRight w:val="0"/>
          <w:marTop w:val="0"/>
          <w:marBottom w:val="0"/>
          <w:divBdr>
            <w:top w:val="none" w:sz="0" w:space="0" w:color="auto"/>
            <w:left w:val="none" w:sz="0" w:space="0" w:color="auto"/>
            <w:bottom w:val="none" w:sz="0" w:space="0" w:color="auto"/>
            <w:right w:val="none" w:sz="0" w:space="0" w:color="auto"/>
          </w:divBdr>
        </w:div>
        <w:div w:id="53041395">
          <w:marLeft w:val="0"/>
          <w:marRight w:val="0"/>
          <w:marTop w:val="0"/>
          <w:marBottom w:val="0"/>
          <w:divBdr>
            <w:top w:val="none" w:sz="0" w:space="0" w:color="auto"/>
            <w:left w:val="none" w:sz="0" w:space="0" w:color="auto"/>
            <w:bottom w:val="none" w:sz="0" w:space="0" w:color="auto"/>
            <w:right w:val="none" w:sz="0" w:space="0" w:color="auto"/>
          </w:divBdr>
        </w:div>
        <w:div w:id="70006526">
          <w:marLeft w:val="0"/>
          <w:marRight w:val="0"/>
          <w:marTop w:val="0"/>
          <w:marBottom w:val="0"/>
          <w:divBdr>
            <w:top w:val="none" w:sz="0" w:space="0" w:color="auto"/>
            <w:left w:val="none" w:sz="0" w:space="0" w:color="auto"/>
            <w:bottom w:val="none" w:sz="0" w:space="0" w:color="auto"/>
            <w:right w:val="none" w:sz="0" w:space="0" w:color="auto"/>
          </w:divBdr>
        </w:div>
        <w:div w:id="75903739">
          <w:marLeft w:val="0"/>
          <w:marRight w:val="0"/>
          <w:marTop w:val="0"/>
          <w:marBottom w:val="0"/>
          <w:divBdr>
            <w:top w:val="none" w:sz="0" w:space="0" w:color="auto"/>
            <w:left w:val="none" w:sz="0" w:space="0" w:color="auto"/>
            <w:bottom w:val="none" w:sz="0" w:space="0" w:color="auto"/>
            <w:right w:val="none" w:sz="0" w:space="0" w:color="auto"/>
          </w:divBdr>
        </w:div>
        <w:div w:id="78062459">
          <w:marLeft w:val="0"/>
          <w:marRight w:val="0"/>
          <w:marTop w:val="0"/>
          <w:marBottom w:val="0"/>
          <w:divBdr>
            <w:top w:val="none" w:sz="0" w:space="0" w:color="auto"/>
            <w:left w:val="none" w:sz="0" w:space="0" w:color="auto"/>
            <w:bottom w:val="none" w:sz="0" w:space="0" w:color="auto"/>
            <w:right w:val="none" w:sz="0" w:space="0" w:color="auto"/>
          </w:divBdr>
        </w:div>
        <w:div w:id="80686817">
          <w:marLeft w:val="0"/>
          <w:marRight w:val="0"/>
          <w:marTop w:val="0"/>
          <w:marBottom w:val="0"/>
          <w:divBdr>
            <w:top w:val="none" w:sz="0" w:space="0" w:color="auto"/>
            <w:left w:val="none" w:sz="0" w:space="0" w:color="auto"/>
            <w:bottom w:val="none" w:sz="0" w:space="0" w:color="auto"/>
            <w:right w:val="none" w:sz="0" w:space="0" w:color="auto"/>
          </w:divBdr>
        </w:div>
        <w:div w:id="80760702">
          <w:marLeft w:val="0"/>
          <w:marRight w:val="0"/>
          <w:marTop w:val="0"/>
          <w:marBottom w:val="0"/>
          <w:divBdr>
            <w:top w:val="none" w:sz="0" w:space="0" w:color="auto"/>
            <w:left w:val="none" w:sz="0" w:space="0" w:color="auto"/>
            <w:bottom w:val="none" w:sz="0" w:space="0" w:color="auto"/>
            <w:right w:val="none" w:sz="0" w:space="0" w:color="auto"/>
          </w:divBdr>
        </w:div>
        <w:div w:id="87701737">
          <w:marLeft w:val="0"/>
          <w:marRight w:val="0"/>
          <w:marTop w:val="0"/>
          <w:marBottom w:val="0"/>
          <w:divBdr>
            <w:top w:val="none" w:sz="0" w:space="0" w:color="auto"/>
            <w:left w:val="none" w:sz="0" w:space="0" w:color="auto"/>
            <w:bottom w:val="none" w:sz="0" w:space="0" w:color="auto"/>
            <w:right w:val="none" w:sz="0" w:space="0" w:color="auto"/>
          </w:divBdr>
        </w:div>
        <w:div w:id="97875513">
          <w:marLeft w:val="0"/>
          <w:marRight w:val="0"/>
          <w:marTop w:val="0"/>
          <w:marBottom w:val="0"/>
          <w:divBdr>
            <w:top w:val="none" w:sz="0" w:space="0" w:color="auto"/>
            <w:left w:val="none" w:sz="0" w:space="0" w:color="auto"/>
            <w:bottom w:val="none" w:sz="0" w:space="0" w:color="auto"/>
            <w:right w:val="none" w:sz="0" w:space="0" w:color="auto"/>
          </w:divBdr>
        </w:div>
        <w:div w:id="98185305">
          <w:marLeft w:val="0"/>
          <w:marRight w:val="0"/>
          <w:marTop w:val="0"/>
          <w:marBottom w:val="0"/>
          <w:divBdr>
            <w:top w:val="none" w:sz="0" w:space="0" w:color="auto"/>
            <w:left w:val="none" w:sz="0" w:space="0" w:color="auto"/>
            <w:bottom w:val="none" w:sz="0" w:space="0" w:color="auto"/>
            <w:right w:val="none" w:sz="0" w:space="0" w:color="auto"/>
          </w:divBdr>
        </w:div>
        <w:div w:id="99031217">
          <w:marLeft w:val="0"/>
          <w:marRight w:val="0"/>
          <w:marTop w:val="0"/>
          <w:marBottom w:val="0"/>
          <w:divBdr>
            <w:top w:val="none" w:sz="0" w:space="0" w:color="auto"/>
            <w:left w:val="none" w:sz="0" w:space="0" w:color="auto"/>
            <w:bottom w:val="none" w:sz="0" w:space="0" w:color="auto"/>
            <w:right w:val="none" w:sz="0" w:space="0" w:color="auto"/>
          </w:divBdr>
        </w:div>
        <w:div w:id="107241395">
          <w:marLeft w:val="0"/>
          <w:marRight w:val="0"/>
          <w:marTop w:val="0"/>
          <w:marBottom w:val="0"/>
          <w:divBdr>
            <w:top w:val="none" w:sz="0" w:space="0" w:color="auto"/>
            <w:left w:val="none" w:sz="0" w:space="0" w:color="auto"/>
            <w:bottom w:val="none" w:sz="0" w:space="0" w:color="auto"/>
            <w:right w:val="none" w:sz="0" w:space="0" w:color="auto"/>
          </w:divBdr>
        </w:div>
        <w:div w:id="118036628">
          <w:marLeft w:val="0"/>
          <w:marRight w:val="0"/>
          <w:marTop w:val="0"/>
          <w:marBottom w:val="0"/>
          <w:divBdr>
            <w:top w:val="none" w:sz="0" w:space="0" w:color="auto"/>
            <w:left w:val="none" w:sz="0" w:space="0" w:color="auto"/>
            <w:bottom w:val="none" w:sz="0" w:space="0" w:color="auto"/>
            <w:right w:val="none" w:sz="0" w:space="0" w:color="auto"/>
          </w:divBdr>
        </w:div>
        <w:div w:id="135875973">
          <w:marLeft w:val="0"/>
          <w:marRight w:val="0"/>
          <w:marTop w:val="0"/>
          <w:marBottom w:val="0"/>
          <w:divBdr>
            <w:top w:val="none" w:sz="0" w:space="0" w:color="auto"/>
            <w:left w:val="none" w:sz="0" w:space="0" w:color="auto"/>
            <w:bottom w:val="none" w:sz="0" w:space="0" w:color="auto"/>
            <w:right w:val="none" w:sz="0" w:space="0" w:color="auto"/>
          </w:divBdr>
        </w:div>
        <w:div w:id="136143469">
          <w:marLeft w:val="0"/>
          <w:marRight w:val="0"/>
          <w:marTop w:val="0"/>
          <w:marBottom w:val="0"/>
          <w:divBdr>
            <w:top w:val="none" w:sz="0" w:space="0" w:color="auto"/>
            <w:left w:val="none" w:sz="0" w:space="0" w:color="auto"/>
            <w:bottom w:val="none" w:sz="0" w:space="0" w:color="auto"/>
            <w:right w:val="none" w:sz="0" w:space="0" w:color="auto"/>
          </w:divBdr>
        </w:div>
        <w:div w:id="145560184">
          <w:marLeft w:val="0"/>
          <w:marRight w:val="0"/>
          <w:marTop w:val="0"/>
          <w:marBottom w:val="0"/>
          <w:divBdr>
            <w:top w:val="none" w:sz="0" w:space="0" w:color="auto"/>
            <w:left w:val="none" w:sz="0" w:space="0" w:color="auto"/>
            <w:bottom w:val="none" w:sz="0" w:space="0" w:color="auto"/>
            <w:right w:val="none" w:sz="0" w:space="0" w:color="auto"/>
          </w:divBdr>
        </w:div>
        <w:div w:id="153106591">
          <w:marLeft w:val="0"/>
          <w:marRight w:val="0"/>
          <w:marTop w:val="0"/>
          <w:marBottom w:val="0"/>
          <w:divBdr>
            <w:top w:val="none" w:sz="0" w:space="0" w:color="auto"/>
            <w:left w:val="none" w:sz="0" w:space="0" w:color="auto"/>
            <w:bottom w:val="none" w:sz="0" w:space="0" w:color="auto"/>
            <w:right w:val="none" w:sz="0" w:space="0" w:color="auto"/>
          </w:divBdr>
        </w:div>
        <w:div w:id="154298614">
          <w:marLeft w:val="0"/>
          <w:marRight w:val="0"/>
          <w:marTop w:val="0"/>
          <w:marBottom w:val="0"/>
          <w:divBdr>
            <w:top w:val="none" w:sz="0" w:space="0" w:color="auto"/>
            <w:left w:val="none" w:sz="0" w:space="0" w:color="auto"/>
            <w:bottom w:val="none" w:sz="0" w:space="0" w:color="auto"/>
            <w:right w:val="none" w:sz="0" w:space="0" w:color="auto"/>
          </w:divBdr>
        </w:div>
        <w:div w:id="177237329">
          <w:marLeft w:val="0"/>
          <w:marRight w:val="0"/>
          <w:marTop w:val="0"/>
          <w:marBottom w:val="0"/>
          <w:divBdr>
            <w:top w:val="none" w:sz="0" w:space="0" w:color="auto"/>
            <w:left w:val="none" w:sz="0" w:space="0" w:color="auto"/>
            <w:bottom w:val="none" w:sz="0" w:space="0" w:color="auto"/>
            <w:right w:val="none" w:sz="0" w:space="0" w:color="auto"/>
          </w:divBdr>
        </w:div>
        <w:div w:id="179392981">
          <w:marLeft w:val="0"/>
          <w:marRight w:val="0"/>
          <w:marTop w:val="0"/>
          <w:marBottom w:val="0"/>
          <w:divBdr>
            <w:top w:val="none" w:sz="0" w:space="0" w:color="auto"/>
            <w:left w:val="none" w:sz="0" w:space="0" w:color="auto"/>
            <w:bottom w:val="none" w:sz="0" w:space="0" w:color="auto"/>
            <w:right w:val="none" w:sz="0" w:space="0" w:color="auto"/>
          </w:divBdr>
        </w:div>
        <w:div w:id="185102008">
          <w:marLeft w:val="0"/>
          <w:marRight w:val="0"/>
          <w:marTop w:val="0"/>
          <w:marBottom w:val="0"/>
          <w:divBdr>
            <w:top w:val="none" w:sz="0" w:space="0" w:color="auto"/>
            <w:left w:val="none" w:sz="0" w:space="0" w:color="auto"/>
            <w:bottom w:val="none" w:sz="0" w:space="0" w:color="auto"/>
            <w:right w:val="none" w:sz="0" w:space="0" w:color="auto"/>
          </w:divBdr>
        </w:div>
        <w:div w:id="187530528">
          <w:marLeft w:val="0"/>
          <w:marRight w:val="0"/>
          <w:marTop w:val="0"/>
          <w:marBottom w:val="0"/>
          <w:divBdr>
            <w:top w:val="none" w:sz="0" w:space="0" w:color="auto"/>
            <w:left w:val="none" w:sz="0" w:space="0" w:color="auto"/>
            <w:bottom w:val="none" w:sz="0" w:space="0" w:color="auto"/>
            <w:right w:val="none" w:sz="0" w:space="0" w:color="auto"/>
          </w:divBdr>
        </w:div>
        <w:div w:id="191769711">
          <w:marLeft w:val="0"/>
          <w:marRight w:val="0"/>
          <w:marTop w:val="0"/>
          <w:marBottom w:val="0"/>
          <w:divBdr>
            <w:top w:val="none" w:sz="0" w:space="0" w:color="auto"/>
            <w:left w:val="none" w:sz="0" w:space="0" w:color="auto"/>
            <w:bottom w:val="none" w:sz="0" w:space="0" w:color="auto"/>
            <w:right w:val="none" w:sz="0" w:space="0" w:color="auto"/>
          </w:divBdr>
        </w:div>
        <w:div w:id="194343805">
          <w:marLeft w:val="0"/>
          <w:marRight w:val="0"/>
          <w:marTop w:val="0"/>
          <w:marBottom w:val="0"/>
          <w:divBdr>
            <w:top w:val="none" w:sz="0" w:space="0" w:color="auto"/>
            <w:left w:val="none" w:sz="0" w:space="0" w:color="auto"/>
            <w:bottom w:val="none" w:sz="0" w:space="0" w:color="auto"/>
            <w:right w:val="none" w:sz="0" w:space="0" w:color="auto"/>
          </w:divBdr>
        </w:div>
        <w:div w:id="202985886">
          <w:marLeft w:val="0"/>
          <w:marRight w:val="0"/>
          <w:marTop w:val="0"/>
          <w:marBottom w:val="0"/>
          <w:divBdr>
            <w:top w:val="none" w:sz="0" w:space="0" w:color="auto"/>
            <w:left w:val="none" w:sz="0" w:space="0" w:color="auto"/>
            <w:bottom w:val="none" w:sz="0" w:space="0" w:color="auto"/>
            <w:right w:val="none" w:sz="0" w:space="0" w:color="auto"/>
          </w:divBdr>
        </w:div>
        <w:div w:id="206458570">
          <w:marLeft w:val="0"/>
          <w:marRight w:val="0"/>
          <w:marTop w:val="0"/>
          <w:marBottom w:val="0"/>
          <w:divBdr>
            <w:top w:val="none" w:sz="0" w:space="0" w:color="auto"/>
            <w:left w:val="none" w:sz="0" w:space="0" w:color="auto"/>
            <w:bottom w:val="none" w:sz="0" w:space="0" w:color="auto"/>
            <w:right w:val="none" w:sz="0" w:space="0" w:color="auto"/>
          </w:divBdr>
        </w:div>
        <w:div w:id="252202328">
          <w:marLeft w:val="0"/>
          <w:marRight w:val="0"/>
          <w:marTop w:val="0"/>
          <w:marBottom w:val="0"/>
          <w:divBdr>
            <w:top w:val="none" w:sz="0" w:space="0" w:color="auto"/>
            <w:left w:val="none" w:sz="0" w:space="0" w:color="auto"/>
            <w:bottom w:val="none" w:sz="0" w:space="0" w:color="auto"/>
            <w:right w:val="none" w:sz="0" w:space="0" w:color="auto"/>
          </w:divBdr>
        </w:div>
        <w:div w:id="260333562">
          <w:marLeft w:val="0"/>
          <w:marRight w:val="0"/>
          <w:marTop w:val="0"/>
          <w:marBottom w:val="0"/>
          <w:divBdr>
            <w:top w:val="none" w:sz="0" w:space="0" w:color="auto"/>
            <w:left w:val="none" w:sz="0" w:space="0" w:color="auto"/>
            <w:bottom w:val="none" w:sz="0" w:space="0" w:color="auto"/>
            <w:right w:val="none" w:sz="0" w:space="0" w:color="auto"/>
          </w:divBdr>
        </w:div>
        <w:div w:id="260339054">
          <w:marLeft w:val="0"/>
          <w:marRight w:val="0"/>
          <w:marTop w:val="0"/>
          <w:marBottom w:val="0"/>
          <w:divBdr>
            <w:top w:val="none" w:sz="0" w:space="0" w:color="auto"/>
            <w:left w:val="none" w:sz="0" w:space="0" w:color="auto"/>
            <w:bottom w:val="none" w:sz="0" w:space="0" w:color="auto"/>
            <w:right w:val="none" w:sz="0" w:space="0" w:color="auto"/>
          </w:divBdr>
        </w:div>
        <w:div w:id="268977634">
          <w:marLeft w:val="0"/>
          <w:marRight w:val="0"/>
          <w:marTop w:val="0"/>
          <w:marBottom w:val="0"/>
          <w:divBdr>
            <w:top w:val="none" w:sz="0" w:space="0" w:color="auto"/>
            <w:left w:val="none" w:sz="0" w:space="0" w:color="auto"/>
            <w:bottom w:val="none" w:sz="0" w:space="0" w:color="auto"/>
            <w:right w:val="none" w:sz="0" w:space="0" w:color="auto"/>
          </w:divBdr>
        </w:div>
        <w:div w:id="272639117">
          <w:marLeft w:val="0"/>
          <w:marRight w:val="0"/>
          <w:marTop w:val="0"/>
          <w:marBottom w:val="0"/>
          <w:divBdr>
            <w:top w:val="none" w:sz="0" w:space="0" w:color="auto"/>
            <w:left w:val="none" w:sz="0" w:space="0" w:color="auto"/>
            <w:bottom w:val="none" w:sz="0" w:space="0" w:color="auto"/>
            <w:right w:val="none" w:sz="0" w:space="0" w:color="auto"/>
          </w:divBdr>
        </w:div>
        <w:div w:id="278223889">
          <w:marLeft w:val="0"/>
          <w:marRight w:val="0"/>
          <w:marTop w:val="0"/>
          <w:marBottom w:val="0"/>
          <w:divBdr>
            <w:top w:val="none" w:sz="0" w:space="0" w:color="auto"/>
            <w:left w:val="none" w:sz="0" w:space="0" w:color="auto"/>
            <w:bottom w:val="none" w:sz="0" w:space="0" w:color="auto"/>
            <w:right w:val="none" w:sz="0" w:space="0" w:color="auto"/>
          </w:divBdr>
        </w:div>
        <w:div w:id="280383111">
          <w:marLeft w:val="0"/>
          <w:marRight w:val="0"/>
          <w:marTop w:val="0"/>
          <w:marBottom w:val="0"/>
          <w:divBdr>
            <w:top w:val="none" w:sz="0" w:space="0" w:color="auto"/>
            <w:left w:val="none" w:sz="0" w:space="0" w:color="auto"/>
            <w:bottom w:val="none" w:sz="0" w:space="0" w:color="auto"/>
            <w:right w:val="none" w:sz="0" w:space="0" w:color="auto"/>
          </w:divBdr>
        </w:div>
        <w:div w:id="287132173">
          <w:marLeft w:val="0"/>
          <w:marRight w:val="0"/>
          <w:marTop w:val="0"/>
          <w:marBottom w:val="0"/>
          <w:divBdr>
            <w:top w:val="none" w:sz="0" w:space="0" w:color="auto"/>
            <w:left w:val="none" w:sz="0" w:space="0" w:color="auto"/>
            <w:bottom w:val="none" w:sz="0" w:space="0" w:color="auto"/>
            <w:right w:val="none" w:sz="0" w:space="0" w:color="auto"/>
          </w:divBdr>
        </w:div>
        <w:div w:id="289089256">
          <w:marLeft w:val="0"/>
          <w:marRight w:val="0"/>
          <w:marTop w:val="0"/>
          <w:marBottom w:val="0"/>
          <w:divBdr>
            <w:top w:val="none" w:sz="0" w:space="0" w:color="auto"/>
            <w:left w:val="none" w:sz="0" w:space="0" w:color="auto"/>
            <w:bottom w:val="none" w:sz="0" w:space="0" w:color="auto"/>
            <w:right w:val="none" w:sz="0" w:space="0" w:color="auto"/>
          </w:divBdr>
        </w:div>
        <w:div w:id="302738606">
          <w:marLeft w:val="0"/>
          <w:marRight w:val="0"/>
          <w:marTop w:val="0"/>
          <w:marBottom w:val="0"/>
          <w:divBdr>
            <w:top w:val="none" w:sz="0" w:space="0" w:color="auto"/>
            <w:left w:val="none" w:sz="0" w:space="0" w:color="auto"/>
            <w:bottom w:val="none" w:sz="0" w:space="0" w:color="auto"/>
            <w:right w:val="none" w:sz="0" w:space="0" w:color="auto"/>
          </w:divBdr>
        </w:div>
        <w:div w:id="303896468">
          <w:marLeft w:val="0"/>
          <w:marRight w:val="0"/>
          <w:marTop w:val="0"/>
          <w:marBottom w:val="0"/>
          <w:divBdr>
            <w:top w:val="none" w:sz="0" w:space="0" w:color="auto"/>
            <w:left w:val="none" w:sz="0" w:space="0" w:color="auto"/>
            <w:bottom w:val="none" w:sz="0" w:space="0" w:color="auto"/>
            <w:right w:val="none" w:sz="0" w:space="0" w:color="auto"/>
          </w:divBdr>
        </w:div>
        <w:div w:id="306017136">
          <w:marLeft w:val="0"/>
          <w:marRight w:val="0"/>
          <w:marTop w:val="0"/>
          <w:marBottom w:val="0"/>
          <w:divBdr>
            <w:top w:val="none" w:sz="0" w:space="0" w:color="auto"/>
            <w:left w:val="none" w:sz="0" w:space="0" w:color="auto"/>
            <w:bottom w:val="none" w:sz="0" w:space="0" w:color="auto"/>
            <w:right w:val="none" w:sz="0" w:space="0" w:color="auto"/>
          </w:divBdr>
        </w:div>
        <w:div w:id="312563657">
          <w:marLeft w:val="0"/>
          <w:marRight w:val="0"/>
          <w:marTop w:val="0"/>
          <w:marBottom w:val="0"/>
          <w:divBdr>
            <w:top w:val="none" w:sz="0" w:space="0" w:color="auto"/>
            <w:left w:val="none" w:sz="0" w:space="0" w:color="auto"/>
            <w:bottom w:val="none" w:sz="0" w:space="0" w:color="auto"/>
            <w:right w:val="none" w:sz="0" w:space="0" w:color="auto"/>
          </w:divBdr>
        </w:div>
        <w:div w:id="313610570">
          <w:marLeft w:val="0"/>
          <w:marRight w:val="0"/>
          <w:marTop w:val="0"/>
          <w:marBottom w:val="0"/>
          <w:divBdr>
            <w:top w:val="none" w:sz="0" w:space="0" w:color="auto"/>
            <w:left w:val="none" w:sz="0" w:space="0" w:color="auto"/>
            <w:bottom w:val="none" w:sz="0" w:space="0" w:color="auto"/>
            <w:right w:val="none" w:sz="0" w:space="0" w:color="auto"/>
          </w:divBdr>
        </w:div>
        <w:div w:id="324288035">
          <w:marLeft w:val="0"/>
          <w:marRight w:val="0"/>
          <w:marTop w:val="0"/>
          <w:marBottom w:val="0"/>
          <w:divBdr>
            <w:top w:val="none" w:sz="0" w:space="0" w:color="auto"/>
            <w:left w:val="none" w:sz="0" w:space="0" w:color="auto"/>
            <w:bottom w:val="none" w:sz="0" w:space="0" w:color="auto"/>
            <w:right w:val="none" w:sz="0" w:space="0" w:color="auto"/>
          </w:divBdr>
        </w:div>
        <w:div w:id="325403175">
          <w:marLeft w:val="0"/>
          <w:marRight w:val="0"/>
          <w:marTop w:val="0"/>
          <w:marBottom w:val="0"/>
          <w:divBdr>
            <w:top w:val="none" w:sz="0" w:space="0" w:color="auto"/>
            <w:left w:val="none" w:sz="0" w:space="0" w:color="auto"/>
            <w:bottom w:val="none" w:sz="0" w:space="0" w:color="auto"/>
            <w:right w:val="none" w:sz="0" w:space="0" w:color="auto"/>
          </w:divBdr>
        </w:div>
        <w:div w:id="334190925">
          <w:marLeft w:val="0"/>
          <w:marRight w:val="0"/>
          <w:marTop w:val="0"/>
          <w:marBottom w:val="0"/>
          <w:divBdr>
            <w:top w:val="none" w:sz="0" w:space="0" w:color="auto"/>
            <w:left w:val="none" w:sz="0" w:space="0" w:color="auto"/>
            <w:bottom w:val="none" w:sz="0" w:space="0" w:color="auto"/>
            <w:right w:val="none" w:sz="0" w:space="0" w:color="auto"/>
          </w:divBdr>
        </w:div>
        <w:div w:id="339746445">
          <w:marLeft w:val="0"/>
          <w:marRight w:val="0"/>
          <w:marTop w:val="0"/>
          <w:marBottom w:val="0"/>
          <w:divBdr>
            <w:top w:val="none" w:sz="0" w:space="0" w:color="auto"/>
            <w:left w:val="none" w:sz="0" w:space="0" w:color="auto"/>
            <w:bottom w:val="none" w:sz="0" w:space="0" w:color="auto"/>
            <w:right w:val="none" w:sz="0" w:space="0" w:color="auto"/>
          </w:divBdr>
        </w:div>
        <w:div w:id="346717434">
          <w:marLeft w:val="0"/>
          <w:marRight w:val="0"/>
          <w:marTop w:val="0"/>
          <w:marBottom w:val="0"/>
          <w:divBdr>
            <w:top w:val="none" w:sz="0" w:space="0" w:color="auto"/>
            <w:left w:val="none" w:sz="0" w:space="0" w:color="auto"/>
            <w:bottom w:val="none" w:sz="0" w:space="0" w:color="auto"/>
            <w:right w:val="none" w:sz="0" w:space="0" w:color="auto"/>
          </w:divBdr>
        </w:div>
        <w:div w:id="347952661">
          <w:marLeft w:val="0"/>
          <w:marRight w:val="0"/>
          <w:marTop w:val="0"/>
          <w:marBottom w:val="0"/>
          <w:divBdr>
            <w:top w:val="none" w:sz="0" w:space="0" w:color="auto"/>
            <w:left w:val="none" w:sz="0" w:space="0" w:color="auto"/>
            <w:bottom w:val="none" w:sz="0" w:space="0" w:color="auto"/>
            <w:right w:val="none" w:sz="0" w:space="0" w:color="auto"/>
          </w:divBdr>
        </w:div>
        <w:div w:id="350839198">
          <w:marLeft w:val="0"/>
          <w:marRight w:val="0"/>
          <w:marTop w:val="0"/>
          <w:marBottom w:val="0"/>
          <w:divBdr>
            <w:top w:val="none" w:sz="0" w:space="0" w:color="auto"/>
            <w:left w:val="none" w:sz="0" w:space="0" w:color="auto"/>
            <w:bottom w:val="none" w:sz="0" w:space="0" w:color="auto"/>
            <w:right w:val="none" w:sz="0" w:space="0" w:color="auto"/>
          </w:divBdr>
        </w:div>
        <w:div w:id="359863871">
          <w:marLeft w:val="0"/>
          <w:marRight w:val="0"/>
          <w:marTop w:val="0"/>
          <w:marBottom w:val="0"/>
          <w:divBdr>
            <w:top w:val="none" w:sz="0" w:space="0" w:color="auto"/>
            <w:left w:val="none" w:sz="0" w:space="0" w:color="auto"/>
            <w:bottom w:val="none" w:sz="0" w:space="0" w:color="auto"/>
            <w:right w:val="none" w:sz="0" w:space="0" w:color="auto"/>
          </w:divBdr>
        </w:div>
        <w:div w:id="363216049">
          <w:marLeft w:val="0"/>
          <w:marRight w:val="0"/>
          <w:marTop w:val="0"/>
          <w:marBottom w:val="0"/>
          <w:divBdr>
            <w:top w:val="none" w:sz="0" w:space="0" w:color="auto"/>
            <w:left w:val="none" w:sz="0" w:space="0" w:color="auto"/>
            <w:bottom w:val="none" w:sz="0" w:space="0" w:color="auto"/>
            <w:right w:val="none" w:sz="0" w:space="0" w:color="auto"/>
          </w:divBdr>
        </w:div>
        <w:div w:id="364646107">
          <w:marLeft w:val="0"/>
          <w:marRight w:val="0"/>
          <w:marTop w:val="0"/>
          <w:marBottom w:val="0"/>
          <w:divBdr>
            <w:top w:val="none" w:sz="0" w:space="0" w:color="auto"/>
            <w:left w:val="none" w:sz="0" w:space="0" w:color="auto"/>
            <w:bottom w:val="none" w:sz="0" w:space="0" w:color="auto"/>
            <w:right w:val="none" w:sz="0" w:space="0" w:color="auto"/>
          </w:divBdr>
        </w:div>
        <w:div w:id="370767423">
          <w:marLeft w:val="0"/>
          <w:marRight w:val="0"/>
          <w:marTop w:val="0"/>
          <w:marBottom w:val="0"/>
          <w:divBdr>
            <w:top w:val="none" w:sz="0" w:space="0" w:color="auto"/>
            <w:left w:val="none" w:sz="0" w:space="0" w:color="auto"/>
            <w:bottom w:val="none" w:sz="0" w:space="0" w:color="auto"/>
            <w:right w:val="none" w:sz="0" w:space="0" w:color="auto"/>
          </w:divBdr>
        </w:div>
        <w:div w:id="383212847">
          <w:marLeft w:val="0"/>
          <w:marRight w:val="0"/>
          <w:marTop w:val="0"/>
          <w:marBottom w:val="0"/>
          <w:divBdr>
            <w:top w:val="none" w:sz="0" w:space="0" w:color="auto"/>
            <w:left w:val="none" w:sz="0" w:space="0" w:color="auto"/>
            <w:bottom w:val="none" w:sz="0" w:space="0" w:color="auto"/>
            <w:right w:val="none" w:sz="0" w:space="0" w:color="auto"/>
          </w:divBdr>
        </w:div>
        <w:div w:id="385953135">
          <w:marLeft w:val="0"/>
          <w:marRight w:val="0"/>
          <w:marTop w:val="0"/>
          <w:marBottom w:val="0"/>
          <w:divBdr>
            <w:top w:val="none" w:sz="0" w:space="0" w:color="auto"/>
            <w:left w:val="none" w:sz="0" w:space="0" w:color="auto"/>
            <w:bottom w:val="none" w:sz="0" w:space="0" w:color="auto"/>
            <w:right w:val="none" w:sz="0" w:space="0" w:color="auto"/>
          </w:divBdr>
        </w:div>
        <w:div w:id="392897731">
          <w:marLeft w:val="0"/>
          <w:marRight w:val="0"/>
          <w:marTop w:val="0"/>
          <w:marBottom w:val="0"/>
          <w:divBdr>
            <w:top w:val="none" w:sz="0" w:space="0" w:color="auto"/>
            <w:left w:val="none" w:sz="0" w:space="0" w:color="auto"/>
            <w:bottom w:val="none" w:sz="0" w:space="0" w:color="auto"/>
            <w:right w:val="none" w:sz="0" w:space="0" w:color="auto"/>
          </w:divBdr>
        </w:div>
        <w:div w:id="392970979">
          <w:marLeft w:val="0"/>
          <w:marRight w:val="0"/>
          <w:marTop w:val="0"/>
          <w:marBottom w:val="0"/>
          <w:divBdr>
            <w:top w:val="none" w:sz="0" w:space="0" w:color="auto"/>
            <w:left w:val="none" w:sz="0" w:space="0" w:color="auto"/>
            <w:bottom w:val="none" w:sz="0" w:space="0" w:color="auto"/>
            <w:right w:val="none" w:sz="0" w:space="0" w:color="auto"/>
          </w:divBdr>
        </w:div>
        <w:div w:id="393090768">
          <w:marLeft w:val="0"/>
          <w:marRight w:val="0"/>
          <w:marTop w:val="0"/>
          <w:marBottom w:val="0"/>
          <w:divBdr>
            <w:top w:val="none" w:sz="0" w:space="0" w:color="auto"/>
            <w:left w:val="none" w:sz="0" w:space="0" w:color="auto"/>
            <w:bottom w:val="none" w:sz="0" w:space="0" w:color="auto"/>
            <w:right w:val="none" w:sz="0" w:space="0" w:color="auto"/>
          </w:divBdr>
        </w:div>
        <w:div w:id="394469252">
          <w:marLeft w:val="0"/>
          <w:marRight w:val="0"/>
          <w:marTop w:val="0"/>
          <w:marBottom w:val="0"/>
          <w:divBdr>
            <w:top w:val="none" w:sz="0" w:space="0" w:color="auto"/>
            <w:left w:val="none" w:sz="0" w:space="0" w:color="auto"/>
            <w:bottom w:val="none" w:sz="0" w:space="0" w:color="auto"/>
            <w:right w:val="none" w:sz="0" w:space="0" w:color="auto"/>
          </w:divBdr>
        </w:div>
        <w:div w:id="394743056">
          <w:marLeft w:val="0"/>
          <w:marRight w:val="0"/>
          <w:marTop w:val="0"/>
          <w:marBottom w:val="0"/>
          <w:divBdr>
            <w:top w:val="none" w:sz="0" w:space="0" w:color="auto"/>
            <w:left w:val="none" w:sz="0" w:space="0" w:color="auto"/>
            <w:bottom w:val="none" w:sz="0" w:space="0" w:color="auto"/>
            <w:right w:val="none" w:sz="0" w:space="0" w:color="auto"/>
          </w:divBdr>
        </w:div>
        <w:div w:id="410083265">
          <w:marLeft w:val="0"/>
          <w:marRight w:val="0"/>
          <w:marTop w:val="0"/>
          <w:marBottom w:val="0"/>
          <w:divBdr>
            <w:top w:val="none" w:sz="0" w:space="0" w:color="auto"/>
            <w:left w:val="none" w:sz="0" w:space="0" w:color="auto"/>
            <w:bottom w:val="none" w:sz="0" w:space="0" w:color="auto"/>
            <w:right w:val="none" w:sz="0" w:space="0" w:color="auto"/>
          </w:divBdr>
        </w:div>
        <w:div w:id="413867840">
          <w:marLeft w:val="0"/>
          <w:marRight w:val="0"/>
          <w:marTop w:val="0"/>
          <w:marBottom w:val="0"/>
          <w:divBdr>
            <w:top w:val="none" w:sz="0" w:space="0" w:color="auto"/>
            <w:left w:val="none" w:sz="0" w:space="0" w:color="auto"/>
            <w:bottom w:val="none" w:sz="0" w:space="0" w:color="auto"/>
            <w:right w:val="none" w:sz="0" w:space="0" w:color="auto"/>
          </w:divBdr>
        </w:div>
        <w:div w:id="418872982">
          <w:marLeft w:val="0"/>
          <w:marRight w:val="0"/>
          <w:marTop w:val="0"/>
          <w:marBottom w:val="0"/>
          <w:divBdr>
            <w:top w:val="none" w:sz="0" w:space="0" w:color="auto"/>
            <w:left w:val="none" w:sz="0" w:space="0" w:color="auto"/>
            <w:bottom w:val="none" w:sz="0" w:space="0" w:color="auto"/>
            <w:right w:val="none" w:sz="0" w:space="0" w:color="auto"/>
          </w:divBdr>
        </w:div>
        <w:div w:id="425272702">
          <w:marLeft w:val="0"/>
          <w:marRight w:val="0"/>
          <w:marTop w:val="0"/>
          <w:marBottom w:val="0"/>
          <w:divBdr>
            <w:top w:val="none" w:sz="0" w:space="0" w:color="auto"/>
            <w:left w:val="none" w:sz="0" w:space="0" w:color="auto"/>
            <w:bottom w:val="none" w:sz="0" w:space="0" w:color="auto"/>
            <w:right w:val="none" w:sz="0" w:space="0" w:color="auto"/>
          </w:divBdr>
        </w:div>
        <w:div w:id="440540959">
          <w:marLeft w:val="0"/>
          <w:marRight w:val="0"/>
          <w:marTop w:val="0"/>
          <w:marBottom w:val="0"/>
          <w:divBdr>
            <w:top w:val="none" w:sz="0" w:space="0" w:color="auto"/>
            <w:left w:val="none" w:sz="0" w:space="0" w:color="auto"/>
            <w:bottom w:val="none" w:sz="0" w:space="0" w:color="auto"/>
            <w:right w:val="none" w:sz="0" w:space="0" w:color="auto"/>
          </w:divBdr>
        </w:div>
        <w:div w:id="445007616">
          <w:marLeft w:val="0"/>
          <w:marRight w:val="0"/>
          <w:marTop w:val="0"/>
          <w:marBottom w:val="0"/>
          <w:divBdr>
            <w:top w:val="none" w:sz="0" w:space="0" w:color="auto"/>
            <w:left w:val="none" w:sz="0" w:space="0" w:color="auto"/>
            <w:bottom w:val="none" w:sz="0" w:space="0" w:color="auto"/>
            <w:right w:val="none" w:sz="0" w:space="0" w:color="auto"/>
          </w:divBdr>
        </w:div>
        <w:div w:id="445084153">
          <w:marLeft w:val="0"/>
          <w:marRight w:val="0"/>
          <w:marTop w:val="0"/>
          <w:marBottom w:val="0"/>
          <w:divBdr>
            <w:top w:val="none" w:sz="0" w:space="0" w:color="auto"/>
            <w:left w:val="none" w:sz="0" w:space="0" w:color="auto"/>
            <w:bottom w:val="none" w:sz="0" w:space="0" w:color="auto"/>
            <w:right w:val="none" w:sz="0" w:space="0" w:color="auto"/>
          </w:divBdr>
        </w:div>
        <w:div w:id="477649653">
          <w:marLeft w:val="0"/>
          <w:marRight w:val="0"/>
          <w:marTop w:val="0"/>
          <w:marBottom w:val="0"/>
          <w:divBdr>
            <w:top w:val="none" w:sz="0" w:space="0" w:color="auto"/>
            <w:left w:val="none" w:sz="0" w:space="0" w:color="auto"/>
            <w:bottom w:val="none" w:sz="0" w:space="0" w:color="auto"/>
            <w:right w:val="none" w:sz="0" w:space="0" w:color="auto"/>
          </w:divBdr>
        </w:div>
        <w:div w:id="479736012">
          <w:marLeft w:val="0"/>
          <w:marRight w:val="0"/>
          <w:marTop w:val="0"/>
          <w:marBottom w:val="0"/>
          <w:divBdr>
            <w:top w:val="none" w:sz="0" w:space="0" w:color="auto"/>
            <w:left w:val="none" w:sz="0" w:space="0" w:color="auto"/>
            <w:bottom w:val="none" w:sz="0" w:space="0" w:color="auto"/>
            <w:right w:val="none" w:sz="0" w:space="0" w:color="auto"/>
          </w:divBdr>
        </w:div>
        <w:div w:id="483737409">
          <w:marLeft w:val="0"/>
          <w:marRight w:val="0"/>
          <w:marTop w:val="0"/>
          <w:marBottom w:val="0"/>
          <w:divBdr>
            <w:top w:val="none" w:sz="0" w:space="0" w:color="auto"/>
            <w:left w:val="none" w:sz="0" w:space="0" w:color="auto"/>
            <w:bottom w:val="none" w:sz="0" w:space="0" w:color="auto"/>
            <w:right w:val="none" w:sz="0" w:space="0" w:color="auto"/>
          </w:divBdr>
        </w:div>
        <w:div w:id="517472520">
          <w:marLeft w:val="0"/>
          <w:marRight w:val="0"/>
          <w:marTop w:val="0"/>
          <w:marBottom w:val="0"/>
          <w:divBdr>
            <w:top w:val="none" w:sz="0" w:space="0" w:color="auto"/>
            <w:left w:val="none" w:sz="0" w:space="0" w:color="auto"/>
            <w:bottom w:val="none" w:sz="0" w:space="0" w:color="auto"/>
            <w:right w:val="none" w:sz="0" w:space="0" w:color="auto"/>
          </w:divBdr>
        </w:div>
        <w:div w:id="529224088">
          <w:marLeft w:val="0"/>
          <w:marRight w:val="0"/>
          <w:marTop w:val="0"/>
          <w:marBottom w:val="0"/>
          <w:divBdr>
            <w:top w:val="none" w:sz="0" w:space="0" w:color="auto"/>
            <w:left w:val="none" w:sz="0" w:space="0" w:color="auto"/>
            <w:bottom w:val="none" w:sz="0" w:space="0" w:color="auto"/>
            <w:right w:val="none" w:sz="0" w:space="0" w:color="auto"/>
          </w:divBdr>
        </w:div>
        <w:div w:id="536506794">
          <w:marLeft w:val="0"/>
          <w:marRight w:val="0"/>
          <w:marTop w:val="0"/>
          <w:marBottom w:val="0"/>
          <w:divBdr>
            <w:top w:val="none" w:sz="0" w:space="0" w:color="auto"/>
            <w:left w:val="none" w:sz="0" w:space="0" w:color="auto"/>
            <w:bottom w:val="none" w:sz="0" w:space="0" w:color="auto"/>
            <w:right w:val="none" w:sz="0" w:space="0" w:color="auto"/>
          </w:divBdr>
        </w:div>
        <w:div w:id="538323879">
          <w:marLeft w:val="0"/>
          <w:marRight w:val="0"/>
          <w:marTop w:val="0"/>
          <w:marBottom w:val="0"/>
          <w:divBdr>
            <w:top w:val="none" w:sz="0" w:space="0" w:color="auto"/>
            <w:left w:val="none" w:sz="0" w:space="0" w:color="auto"/>
            <w:bottom w:val="none" w:sz="0" w:space="0" w:color="auto"/>
            <w:right w:val="none" w:sz="0" w:space="0" w:color="auto"/>
          </w:divBdr>
        </w:div>
        <w:div w:id="550920069">
          <w:marLeft w:val="0"/>
          <w:marRight w:val="0"/>
          <w:marTop w:val="0"/>
          <w:marBottom w:val="0"/>
          <w:divBdr>
            <w:top w:val="none" w:sz="0" w:space="0" w:color="auto"/>
            <w:left w:val="none" w:sz="0" w:space="0" w:color="auto"/>
            <w:bottom w:val="none" w:sz="0" w:space="0" w:color="auto"/>
            <w:right w:val="none" w:sz="0" w:space="0" w:color="auto"/>
          </w:divBdr>
        </w:div>
        <w:div w:id="551581758">
          <w:marLeft w:val="0"/>
          <w:marRight w:val="0"/>
          <w:marTop w:val="0"/>
          <w:marBottom w:val="0"/>
          <w:divBdr>
            <w:top w:val="none" w:sz="0" w:space="0" w:color="auto"/>
            <w:left w:val="none" w:sz="0" w:space="0" w:color="auto"/>
            <w:bottom w:val="none" w:sz="0" w:space="0" w:color="auto"/>
            <w:right w:val="none" w:sz="0" w:space="0" w:color="auto"/>
          </w:divBdr>
        </w:div>
        <w:div w:id="557667576">
          <w:marLeft w:val="0"/>
          <w:marRight w:val="0"/>
          <w:marTop w:val="0"/>
          <w:marBottom w:val="0"/>
          <w:divBdr>
            <w:top w:val="none" w:sz="0" w:space="0" w:color="auto"/>
            <w:left w:val="none" w:sz="0" w:space="0" w:color="auto"/>
            <w:bottom w:val="none" w:sz="0" w:space="0" w:color="auto"/>
            <w:right w:val="none" w:sz="0" w:space="0" w:color="auto"/>
          </w:divBdr>
        </w:div>
        <w:div w:id="559556463">
          <w:marLeft w:val="0"/>
          <w:marRight w:val="0"/>
          <w:marTop w:val="0"/>
          <w:marBottom w:val="0"/>
          <w:divBdr>
            <w:top w:val="none" w:sz="0" w:space="0" w:color="auto"/>
            <w:left w:val="none" w:sz="0" w:space="0" w:color="auto"/>
            <w:bottom w:val="none" w:sz="0" w:space="0" w:color="auto"/>
            <w:right w:val="none" w:sz="0" w:space="0" w:color="auto"/>
          </w:divBdr>
        </w:div>
        <w:div w:id="572814166">
          <w:marLeft w:val="0"/>
          <w:marRight w:val="0"/>
          <w:marTop w:val="0"/>
          <w:marBottom w:val="0"/>
          <w:divBdr>
            <w:top w:val="none" w:sz="0" w:space="0" w:color="auto"/>
            <w:left w:val="none" w:sz="0" w:space="0" w:color="auto"/>
            <w:bottom w:val="none" w:sz="0" w:space="0" w:color="auto"/>
            <w:right w:val="none" w:sz="0" w:space="0" w:color="auto"/>
          </w:divBdr>
        </w:div>
        <w:div w:id="573011371">
          <w:marLeft w:val="0"/>
          <w:marRight w:val="0"/>
          <w:marTop w:val="0"/>
          <w:marBottom w:val="0"/>
          <w:divBdr>
            <w:top w:val="none" w:sz="0" w:space="0" w:color="auto"/>
            <w:left w:val="none" w:sz="0" w:space="0" w:color="auto"/>
            <w:bottom w:val="none" w:sz="0" w:space="0" w:color="auto"/>
            <w:right w:val="none" w:sz="0" w:space="0" w:color="auto"/>
          </w:divBdr>
        </w:div>
        <w:div w:id="574363679">
          <w:marLeft w:val="0"/>
          <w:marRight w:val="0"/>
          <w:marTop w:val="0"/>
          <w:marBottom w:val="0"/>
          <w:divBdr>
            <w:top w:val="none" w:sz="0" w:space="0" w:color="auto"/>
            <w:left w:val="none" w:sz="0" w:space="0" w:color="auto"/>
            <w:bottom w:val="none" w:sz="0" w:space="0" w:color="auto"/>
            <w:right w:val="none" w:sz="0" w:space="0" w:color="auto"/>
          </w:divBdr>
        </w:div>
        <w:div w:id="602151708">
          <w:marLeft w:val="0"/>
          <w:marRight w:val="0"/>
          <w:marTop w:val="0"/>
          <w:marBottom w:val="0"/>
          <w:divBdr>
            <w:top w:val="none" w:sz="0" w:space="0" w:color="auto"/>
            <w:left w:val="none" w:sz="0" w:space="0" w:color="auto"/>
            <w:bottom w:val="none" w:sz="0" w:space="0" w:color="auto"/>
            <w:right w:val="none" w:sz="0" w:space="0" w:color="auto"/>
          </w:divBdr>
        </w:div>
        <w:div w:id="635335161">
          <w:marLeft w:val="0"/>
          <w:marRight w:val="0"/>
          <w:marTop w:val="0"/>
          <w:marBottom w:val="0"/>
          <w:divBdr>
            <w:top w:val="none" w:sz="0" w:space="0" w:color="auto"/>
            <w:left w:val="none" w:sz="0" w:space="0" w:color="auto"/>
            <w:bottom w:val="none" w:sz="0" w:space="0" w:color="auto"/>
            <w:right w:val="none" w:sz="0" w:space="0" w:color="auto"/>
          </w:divBdr>
        </w:div>
        <w:div w:id="654528727">
          <w:marLeft w:val="0"/>
          <w:marRight w:val="0"/>
          <w:marTop w:val="0"/>
          <w:marBottom w:val="0"/>
          <w:divBdr>
            <w:top w:val="none" w:sz="0" w:space="0" w:color="auto"/>
            <w:left w:val="none" w:sz="0" w:space="0" w:color="auto"/>
            <w:bottom w:val="none" w:sz="0" w:space="0" w:color="auto"/>
            <w:right w:val="none" w:sz="0" w:space="0" w:color="auto"/>
          </w:divBdr>
        </w:div>
        <w:div w:id="656614663">
          <w:marLeft w:val="0"/>
          <w:marRight w:val="0"/>
          <w:marTop w:val="0"/>
          <w:marBottom w:val="0"/>
          <w:divBdr>
            <w:top w:val="none" w:sz="0" w:space="0" w:color="auto"/>
            <w:left w:val="none" w:sz="0" w:space="0" w:color="auto"/>
            <w:bottom w:val="none" w:sz="0" w:space="0" w:color="auto"/>
            <w:right w:val="none" w:sz="0" w:space="0" w:color="auto"/>
          </w:divBdr>
        </w:div>
        <w:div w:id="682054006">
          <w:marLeft w:val="0"/>
          <w:marRight w:val="0"/>
          <w:marTop w:val="0"/>
          <w:marBottom w:val="0"/>
          <w:divBdr>
            <w:top w:val="none" w:sz="0" w:space="0" w:color="auto"/>
            <w:left w:val="none" w:sz="0" w:space="0" w:color="auto"/>
            <w:bottom w:val="none" w:sz="0" w:space="0" w:color="auto"/>
            <w:right w:val="none" w:sz="0" w:space="0" w:color="auto"/>
          </w:divBdr>
        </w:div>
        <w:div w:id="683214934">
          <w:marLeft w:val="0"/>
          <w:marRight w:val="0"/>
          <w:marTop w:val="0"/>
          <w:marBottom w:val="0"/>
          <w:divBdr>
            <w:top w:val="none" w:sz="0" w:space="0" w:color="auto"/>
            <w:left w:val="none" w:sz="0" w:space="0" w:color="auto"/>
            <w:bottom w:val="none" w:sz="0" w:space="0" w:color="auto"/>
            <w:right w:val="none" w:sz="0" w:space="0" w:color="auto"/>
          </w:divBdr>
        </w:div>
        <w:div w:id="709918337">
          <w:marLeft w:val="0"/>
          <w:marRight w:val="0"/>
          <w:marTop w:val="0"/>
          <w:marBottom w:val="0"/>
          <w:divBdr>
            <w:top w:val="none" w:sz="0" w:space="0" w:color="auto"/>
            <w:left w:val="none" w:sz="0" w:space="0" w:color="auto"/>
            <w:bottom w:val="none" w:sz="0" w:space="0" w:color="auto"/>
            <w:right w:val="none" w:sz="0" w:space="0" w:color="auto"/>
          </w:divBdr>
        </w:div>
        <w:div w:id="714037413">
          <w:marLeft w:val="0"/>
          <w:marRight w:val="0"/>
          <w:marTop w:val="0"/>
          <w:marBottom w:val="0"/>
          <w:divBdr>
            <w:top w:val="none" w:sz="0" w:space="0" w:color="auto"/>
            <w:left w:val="none" w:sz="0" w:space="0" w:color="auto"/>
            <w:bottom w:val="none" w:sz="0" w:space="0" w:color="auto"/>
            <w:right w:val="none" w:sz="0" w:space="0" w:color="auto"/>
          </w:divBdr>
        </w:div>
        <w:div w:id="725568654">
          <w:marLeft w:val="0"/>
          <w:marRight w:val="0"/>
          <w:marTop w:val="0"/>
          <w:marBottom w:val="0"/>
          <w:divBdr>
            <w:top w:val="none" w:sz="0" w:space="0" w:color="auto"/>
            <w:left w:val="none" w:sz="0" w:space="0" w:color="auto"/>
            <w:bottom w:val="none" w:sz="0" w:space="0" w:color="auto"/>
            <w:right w:val="none" w:sz="0" w:space="0" w:color="auto"/>
          </w:divBdr>
        </w:div>
        <w:div w:id="728724575">
          <w:marLeft w:val="0"/>
          <w:marRight w:val="0"/>
          <w:marTop w:val="0"/>
          <w:marBottom w:val="0"/>
          <w:divBdr>
            <w:top w:val="none" w:sz="0" w:space="0" w:color="auto"/>
            <w:left w:val="none" w:sz="0" w:space="0" w:color="auto"/>
            <w:bottom w:val="none" w:sz="0" w:space="0" w:color="auto"/>
            <w:right w:val="none" w:sz="0" w:space="0" w:color="auto"/>
          </w:divBdr>
        </w:div>
        <w:div w:id="729691021">
          <w:marLeft w:val="0"/>
          <w:marRight w:val="0"/>
          <w:marTop w:val="0"/>
          <w:marBottom w:val="0"/>
          <w:divBdr>
            <w:top w:val="none" w:sz="0" w:space="0" w:color="auto"/>
            <w:left w:val="none" w:sz="0" w:space="0" w:color="auto"/>
            <w:bottom w:val="none" w:sz="0" w:space="0" w:color="auto"/>
            <w:right w:val="none" w:sz="0" w:space="0" w:color="auto"/>
          </w:divBdr>
        </w:div>
        <w:div w:id="733309467">
          <w:marLeft w:val="0"/>
          <w:marRight w:val="0"/>
          <w:marTop w:val="0"/>
          <w:marBottom w:val="0"/>
          <w:divBdr>
            <w:top w:val="none" w:sz="0" w:space="0" w:color="auto"/>
            <w:left w:val="none" w:sz="0" w:space="0" w:color="auto"/>
            <w:bottom w:val="none" w:sz="0" w:space="0" w:color="auto"/>
            <w:right w:val="none" w:sz="0" w:space="0" w:color="auto"/>
          </w:divBdr>
        </w:div>
        <w:div w:id="733360654">
          <w:marLeft w:val="0"/>
          <w:marRight w:val="0"/>
          <w:marTop w:val="0"/>
          <w:marBottom w:val="0"/>
          <w:divBdr>
            <w:top w:val="none" w:sz="0" w:space="0" w:color="auto"/>
            <w:left w:val="none" w:sz="0" w:space="0" w:color="auto"/>
            <w:bottom w:val="none" w:sz="0" w:space="0" w:color="auto"/>
            <w:right w:val="none" w:sz="0" w:space="0" w:color="auto"/>
          </w:divBdr>
        </w:div>
        <w:div w:id="743331455">
          <w:marLeft w:val="0"/>
          <w:marRight w:val="0"/>
          <w:marTop w:val="0"/>
          <w:marBottom w:val="0"/>
          <w:divBdr>
            <w:top w:val="none" w:sz="0" w:space="0" w:color="auto"/>
            <w:left w:val="none" w:sz="0" w:space="0" w:color="auto"/>
            <w:bottom w:val="none" w:sz="0" w:space="0" w:color="auto"/>
            <w:right w:val="none" w:sz="0" w:space="0" w:color="auto"/>
          </w:divBdr>
        </w:div>
        <w:div w:id="744185091">
          <w:marLeft w:val="0"/>
          <w:marRight w:val="0"/>
          <w:marTop w:val="0"/>
          <w:marBottom w:val="0"/>
          <w:divBdr>
            <w:top w:val="none" w:sz="0" w:space="0" w:color="auto"/>
            <w:left w:val="none" w:sz="0" w:space="0" w:color="auto"/>
            <w:bottom w:val="none" w:sz="0" w:space="0" w:color="auto"/>
            <w:right w:val="none" w:sz="0" w:space="0" w:color="auto"/>
          </w:divBdr>
        </w:div>
        <w:div w:id="746077746">
          <w:marLeft w:val="0"/>
          <w:marRight w:val="0"/>
          <w:marTop w:val="0"/>
          <w:marBottom w:val="0"/>
          <w:divBdr>
            <w:top w:val="none" w:sz="0" w:space="0" w:color="auto"/>
            <w:left w:val="none" w:sz="0" w:space="0" w:color="auto"/>
            <w:bottom w:val="none" w:sz="0" w:space="0" w:color="auto"/>
            <w:right w:val="none" w:sz="0" w:space="0" w:color="auto"/>
          </w:divBdr>
        </w:div>
        <w:div w:id="755369233">
          <w:marLeft w:val="0"/>
          <w:marRight w:val="0"/>
          <w:marTop w:val="0"/>
          <w:marBottom w:val="0"/>
          <w:divBdr>
            <w:top w:val="none" w:sz="0" w:space="0" w:color="auto"/>
            <w:left w:val="none" w:sz="0" w:space="0" w:color="auto"/>
            <w:bottom w:val="none" w:sz="0" w:space="0" w:color="auto"/>
            <w:right w:val="none" w:sz="0" w:space="0" w:color="auto"/>
          </w:divBdr>
        </w:div>
        <w:div w:id="766660348">
          <w:marLeft w:val="0"/>
          <w:marRight w:val="0"/>
          <w:marTop w:val="0"/>
          <w:marBottom w:val="0"/>
          <w:divBdr>
            <w:top w:val="none" w:sz="0" w:space="0" w:color="auto"/>
            <w:left w:val="none" w:sz="0" w:space="0" w:color="auto"/>
            <w:bottom w:val="none" w:sz="0" w:space="0" w:color="auto"/>
            <w:right w:val="none" w:sz="0" w:space="0" w:color="auto"/>
          </w:divBdr>
        </w:div>
        <w:div w:id="768819862">
          <w:marLeft w:val="0"/>
          <w:marRight w:val="0"/>
          <w:marTop w:val="0"/>
          <w:marBottom w:val="0"/>
          <w:divBdr>
            <w:top w:val="none" w:sz="0" w:space="0" w:color="auto"/>
            <w:left w:val="none" w:sz="0" w:space="0" w:color="auto"/>
            <w:bottom w:val="none" w:sz="0" w:space="0" w:color="auto"/>
            <w:right w:val="none" w:sz="0" w:space="0" w:color="auto"/>
          </w:divBdr>
        </w:div>
        <w:div w:id="784154580">
          <w:marLeft w:val="0"/>
          <w:marRight w:val="0"/>
          <w:marTop w:val="0"/>
          <w:marBottom w:val="0"/>
          <w:divBdr>
            <w:top w:val="none" w:sz="0" w:space="0" w:color="auto"/>
            <w:left w:val="none" w:sz="0" w:space="0" w:color="auto"/>
            <w:bottom w:val="none" w:sz="0" w:space="0" w:color="auto"/>
            <w:right w:val="none" w:sz="0" w:space="0" w:color="auto"/>
          </w:divBdr>
        </w:div>
        <w:div w:id="787773683">
          <w:marLeft w:val="0"/>
          <w:marRight w:val="0"/>
          <w:marTop w:val="0"/>
          <w:marBottom w:val="0"/>
          <w:divBdr>
            <w:top w:val="none" w:sz="0" w:space="0" w:color="auto"/>
            <w:left w:val="none" w:sz="0" w:space="0" w:color="auto"/>
            <w:bottom w:val="none" w:sz="0" w:space="0" w:color="auto"/>
            <w:right w:val="none" w:sz="0" w:space="0" w:color="auto"/>
          </w:divBdr>
        </w:div>
        <w:div w:id="802188212">
          <w:marLeft w:val="0"/>
          <w:marRight w:val="0"/>
          <w:marTop w:val="0"/>
          <w:marBottom w:val="0"/>
          <w:divBdr>
            <w:top w:val="none" w:sz="0" w:space="0" w:color="auto"/>
            <w:left w:val="none" w:sz="0" w:space="0" w:color="auto"/>
            <w:bottom w:val="none" w:sz="0" w:space="0" w:color="auto"/>
            <w:right w:val="none" w:sz="0" w:space="0" w:color="auto"/>
          </w:divBdr>
        </w:div>
        <w:div w:id="804930584">
          <w:marLeft w:val="0"/>
          <w:marRight w:val="0"/>
          <w:marTop w:val="0"/>
          <w:marBottom w:val="0"/>
          <w:divBdr>
            <w:top w:val="none" w:sz="0" w:space="0" w:color="auto"/>
            <w:left w:val="none" w:sz="0" w:space="0" w:color="auto"/>
            <w:bottom w:val="none" w:sz="0" w:space="0" w:color="auto"/>
            <w:right w:val="none" w:sz="0" w:space="0" w:color="auto"/>
          </w:divBdr>
        </w:div>
        <w:div w:id="808862954">
          <w:marLeft w:val="0"/>
          <w:marRight w:val="0"/>
          <w:marTop w:val="0"/>
          <w:marBottom w:val="0"/>
          <w:divBdr>
            <w:top w:val="none" w:sz="0" w:space="0" w:color="auto"/>
            <w:left w:val="none" w:sz="0" w:space="0" w:color="auto"/>
            <w:bottom w:val="none" w:sz="0" w:space="0" w:color="auto"/>
            <w:right w:val="none" w:sz="0" w:space="0" w:color="auto"/>
          </w:divBdr>
        </w:div>
        <w:div w:id="816846882">
          <w:marLeft w:val="0"/>
          <w:marRight w:val="0"/>
          <w:marTop w:val="0"/>
          <w:marBottom w:val="0"/>
          <w:divBdr>
            <w:top w:val="none" w:sz="0" w:space="0" w:color="auto"/>
            <w:left w:val="none" w:sz="0" w:space="0" w:color="auto"/>
            <w:bottom w:val="none" w:sz="0" w:space="0" w:color="auto"/>
            <w:right w:val="none" w:sz="0" w:space="0" w:color="auto"/>
          </w:divBdr>
        </w:div>
        <w:div w:id="831406210">
          <w:marLeft w:val="0"/>
          <w:marRight w:val="0"/>
          <w:marTop w:val="0"/>
          <w:marBottom w:val="0"/>
          <w:divBdr>
            <w:top w:val="none" w:sz="0" w:space="0" w:color="auto"/>
            <w:left w:val="none" w:sz="0" w:space="0" w:color="auto"/>
            <w:bottom w:val="none" w:sz="0" w:space="0" w:color="auto"/>
            <w:right w:val="none" w:sz="0" w:space="0" w:color="auto"/>
          </w:divBdr>
        </w:div>
        <w:div w:id="848102836">
          <w:marLeft w:val="0"/>
          <w:marRight w:val="0"/>
          <w:marTop w:val="0"/>
          <w:marBottom w:val="0"/>
          <w:divBdr>
            <w:top w:val="none" w:sz="0" w:space="0" w:color="auto"/>
            <w:left w:val="none" w:sz="0" w:space="0" w:color="auto"/>
            <w:bottom w:val="none" w:sz="0" w:space="0" w:color="auto"/>
            <w:right w:val="none" w:sz="0" w:space="0" w:color="auto"/>
          </w:divBdr>
        </w:div>
        <w:div w:id="860624626">
          <w:marLeft w:val="0"/>
          <w:marRight w:val="0"/>
          <w:marTop w:val="0"/>
          <w:marBottom w:val="0"/>
          <w:divBdr>
            <w:top w:val="none" w:sz="0" w:space="0" w:color="auto"/>
            <w:left w:val="none" w:sz="0" w:space="0" w:color="auto"/>
            <w:bottom w:val="none" w:sz="0" w:space="0" w:color="auto"/>
            <w:right w:val="none" w:sz="0" w:space="0" w:color="auto"/>
          </w:divBdr>
        </w:div>
        <w:div w:id="877858009">
          <w:marLeft w:val="0"/>
          <w:marRight w:val="0"/>
          <w:marTop w:val="0"/>
          <w:marBottom w:val="0"/>
          <w:divBdr>
            <w:top w:val="none" w:sz="0" w:space="0" w:color="auto"/>
            <w:left w:val="none" w:sz="0" w:space="0" w:color="auto"/>
            <w:bottom w:val="none" w:sz="0" w:space="0" w:color="auto"/>
            <w:right w:val="none" w:sz="0" w:space="0" w:color="auto"/>
          </w:divBdr>
        </w:div>
        <w:div w:id="908807062">
          <w:marLeft w:val="0"/>
          <w:marRight w:val="0"/>
          <w:marTop w:val="0"/>
          <w:marBottom w:val="0"/>
          <w:divBdr>
            <w:top w:val="none" w:sz="0" w:space="0" w:color="auto"/>
            <w:left w:val="none" w:sz="0" w:space="0" w:color="auto"/>
            <w:bottom w:val="none" w:sz="0" w:space="0" w:color="auto"/>
            <w:right w:val="none" w:sz="0" w:space="0" w:color="auto"/>
          </w:divBdr>
        </w:div>
        <w:div w:id="923416009">
          <w:marLeft w:val="0"/>
          <w:marRight w:val="0"/>
          <w:marTop w:val="0"/>
          <w:marBottom w:val="0"/>
          <w:divBdr>
            <w:top w:val="none" w:sz="0" w:space="0" w:color="auto"/>
            <w:left w:val="none" w:sz="0" w:space="0" w:color="auto"/>
            <w:bottom w:val="none" w:sz="0" w:space="0" w:color="auto"/>
            <w:right w:val="none" w:sz="0" w:space="0" w:color="auto"/>
          </w:divBdr>
        </w:div>
        <w:div w:id="928126237">
          <w:marLeft w:val="0"/>
          <w:marRight w:val="0"/>
          <w:marTop w:val="0"/>
          <w:marBottom w:val="0"/>
          <w:divBdr>
            <w:top w:val="none" w:sz="0" w:space="0" w:color="auto"/>
            <w:left w:val="none" w:sz="0" w:space="0" w:color="auto"/>
            <w:bottom w:val="none" w:sz="0" w:space="0" w:color="auto"/>
            <w:right w:val="none" w:sz="0" w:space="0" w:color="auto"/>
          </w:divBdr>
        </w:div>
        <w:div w:id="930159504">
          <w:marLeft w:val="0"/>
          <w:marRight w:val="0"/>
          <w:marTop w:val="0"/>
          <w:marBottom w:val="0"/>
          <w:divBdr>
            <w:top w:val="none" w:sz="0" w:space="0" w:color="auto"/>
            <w:left w:val="none" w:sz="0" w:space="0" w:color="auto"/>
            <w:bottom w:val="none" w:sz="0" w:space="0" w:color="auto"/>
            <w:right w:val="none" w:sz="0" w:space="0" w:color="auto"/>
          </w:divBdr>
        </w:div>
        <w:div w:id="932665195">
          <w:marLeft w:val="0"/>
          <w:marRight w:val="0"/>
          <w:marTop w:val="0"/>
          <w:marBottom w:val="0"/>
          <w:divBdr>
            <w:top w:val="none" w:sz="0" w:space="0" w:color="auto"/>
            <w:left w:val="none" w:sz="0" w:space="0" w:color="auto"/>
            <w:bottom w:val="none" w:sz="0" w:space="0" w:color="auto"/>
            <w:right w:val="none" w:sz="0" w:space="0" w:color="auto"/>
          </w:divBdr>
        </w:div>
        <w:div w:id="942034773">
          <w:marLeft w:val="0"/>
          <w:marRight w:val="0"/>
          <w:marTop w:val="0"/>
          <w:marBottom w:val="0"/>
          <w:divBdr>
            <w:top w:val="none" w:sz="0" w:space="0" w:color="auto"/>
            <w:left w:val="none" w:sz="0" w:space="0" w:color="auto"/>
            <w:bottom w:val="none" w:sz="0" w:space="0" w:color="auto"/>
            <w:right w:val="none" w:sz="0" w:space="0" w:color="auto"/>
          </w:divBdr>
        </w:div>
        <w:div w:id="945503601">
          <w:marLeft w:val="0"/>
          <w:marRight w:val="0"/>
          <w:marTop w:val="0"/>
          <w:marBottom w:val="0"/>
          <w:divBdr>
            <w:top w:val="none" w:sz="0" w:space="0" w:color="auto"/>
            <w:left w:val="none" w:sz="0" w:space="0" w:color="auto"/>
            <w:bottom w:val="none" w:sz="0" w:space="0" w:color="auto"/>
            <w:right w:val="none" w:sz="0" w:space="0" w:color="auto"/>
          </w:divBdr>
        </w:div>
        <w:div w:id="950479254">
          <w:marLeft w:val="0"/>
          <w:marRight w:val="0"/>
          <w:marTop w:val="0"/>
          <w:marBottom w:val="0"/>
          <w:divBdr>
            <w:top w:val="none" w:sz="0" w:space="0" w:color="auto"/>
            <w:left w:val="none" w:sz="0" w:space="0" w:color="auto"/>
            <w:bottom w:val="none" w:sz="0" w:space="0" w:color="auto"/>
            <w:right w:val="none" w:sz="0" w:space="0" w:color="auto"/>
          </w:divBdr>
        </w:div>
        <w:div w:id="956453212">
          <w:marLeft w:val="0"/>
          <w:marRight w:val="0"/>
          <w:marTop w:val="0"/>
          <w:marBottom w:val="0"/>
          <w:divBdr>
            <w:top w:val="none" w:sz="0" w:space="0" w:color="auto"/>
            <w:left w:val="none" w:sz="0" w:space="0" w:color="auto"/>
            <w:bottom w:val="none" w:sz="0" w:space="0" w:color="auto"/>
            <w:right w:val="none" w:sz="0" w:space="0" w:color="auto"/>
          </w:divBdr>
        </w:div>
        <w:div w:id="957954634">
          <w:marLeft w:val="0"/>
          <w:marRight w:val="0"/>
          <w:marTop w:val="0"/>
          <w:marBottom w:val="0"/>
          <w:divBdr>
            <w:top w:val="none" w:sz="0" w:space="0" w:color="auto"/>
            <w:left w:val="none" w:sz="0" w:space="0" w:color="auto"/>
            <w:bottom w:val="none" w:sz="0" w:space="0" w:color="auto"/>
            <w:right w:val="none" w:sz="0" w:space="0" w:color="auto"/>
          </w:divBdr>
        </w:div>
        <w:div w:id="968629530">
          <w:marLeft w:val="0"/>
          <w:marRight w:val="0"/>
          <w:marTop w:val="0"/>
          <w:marBottom w:val="0"/>
          <w:divBdr>
            <w:top w:val="none" w:sz="0" w:space="0" w:color="auto"/>
            <w:left w:val="none" w:sz="0" w:space="0" w:color="auto"/>
            <w:bottom w:val="none" w:sz="0" w:space="0" w:color="auto"/>
            <w:right w:val="none" w:sz="0" w:space="0" w:color="auto"/>
          </w:divBdr>
        </w:div>
        <w:div w:id="973097990">
          <w:marLeft w:val="0"/>
          <w:marRight w:val="0"/>
          <w:marTop w:val="0"/>
          <w:marBottom w:val="0"/>
          <w:divBdr>
            <w:top w:val="none" w:sz="0" w:space="0" w:color="auto"/>
            <w:left w:val="none" w:sz="0" w:space="0" w:color="auto"/>
            <w:bottom w:val="none" w:sz="0" w:space="0" w:color="auto"/>
            <w:right w:val="none" w:sz="0" w:space="0" w:color="auto"/>
          </w:divBdr>
        </w:div>
        <w:div w:id="982737376">
          <w:marLeft w:val="0"/>
          <w:marRight w:val="0"/>
          <w:marTop w:val="0"/>
          <w:marBottom w:val="0"/>
          <w:divBdr>
            <w:top w:val="none" w:sz="0" w:space="0" w:color="auto"/>
            <w:left w:val="none" w:sz="0" w:space="0" w:color="auto"/>
            <w:bottom w:val="none" w:sz="0" w:space="0" w:color="auto"/>
            <w:right w:val="none" w:sz="0" w:space="0" w:color="auto"/>
          </w:divBdr>
        </w:div>
        <w:div w:id="991325040">
          <w:marLeft w:val="0"/>
          <w:marRight w:val="0"/>
          <w:marTop w:val="0"/>
          <w:marBottom w:val="0"/>
          <w:divBdr>
            <w:top w:val="none" w:sz="0" w:space="0" w:color="auto"/>
            <w:left w:val="none" w:sz="0" w:space="0" w:color="auto"/>
            <w:bottom w:val="none" w:sz="0" w:space="0" w:color="auto"/>
            <w:right w:val="none" w:sz="0" w:space="0" w:color="auto"/>
          </w:divBdr>
        </w:div>
        <w:div w:id="994996025">
          <w:marLeft w:val="0"/>
          <w:marRight w:val="0"/>
          <w:marTop w:val="0"/>
          <w:marBottom w:val="0"/>
          <w:divBdr>
            <w:top w:val="none" w:sz="0" w:space="0" w:color="auto"/>
            <w:left w:val="none" w:sz="0" w:space="0" w:color="auto"/>
            <w:bottom w:val="none" w:sz="0" w:space="0" w:color="auto"/>
            <w:right w:val="none" w:sz="0" w:space="0" w:color="auto"/>
          </w:divBdr>
        </w:div>
        <w:div w:id="1007975476">
          <w:marLeft w:val="0"/>
          <w:marRight w:val="0"/>
          <w:marTop w:val="0"/>
          <w:marBottom w:val="0"/>
          <w:divBdr>
            <w:top w:val="none" w:sz="0" w:space="0" w:color="auto"/>
            <w:left w:val="none" w:sz="0" w:space="0" w:color="auto"/>
            <w:bottom w:val="none" w:sz="0" w:space="0" w:color="auto"/>
            <w:right w:val="none" w:sz="0" w:space="0" w:color="auto"/>
          </w:divBdr>
        </w:div>
        <w:div w:id="1008603039">
          <w:marLeft w:val="0"/>
          <w:marRight w:val="0"/>
          <w:marTop w:val="0"/>
          <w:marBottom w:val="0"/>
          <w:divBdr>
            <w:top w:val="none" w:sz="0" w:space="0" w:color="auto"/>
            <w:left w:val="none" w:sz="0" w:space="0" w:color="auto"/>
            <w:bottom w:val="none" w:sz="0" w:space="0" w:color="auto"/>
            <w:right w:val="none" w:sz="0" w:space="0" w:color="auto"/>
          </w:divBdr>
        </w:div>
        <w:div w:id="1026635615">
          <w:marLeft w:val="0"/>
          <w:marRight w:val="0"/>
          <w:marTop w:val="0"/>
          <w:marBottom w:val="0"/>
          <w:divBdr>
            <w:top w:val="none" w:sz="0" w:space="0" w:color="auto"/>
            <w:left w:val="none" w:sz="0" w:space="0" w:color="auto"/>
            <w:bottom w:val="none" w:sz="0" w:space="0" w:color="auto"/>
            <w:right w:val="none" w:sz="0" w:space="0" w:color="auto"/>
          </w:divBdr>
        </w:div>
        <w:div w:id="1031227290">
          <w:marLeft w:val="0"/>
          <w:marRight w:val="0"/>
          <w:marTop w:val="0"/>
          <w:marBottom w:val="0"/>
          <w:divBdr>
            <w:top w:val="none" w:sz="0" w:space="0" w:color="auto"/>
            <w:left w:val="none" w:sz="0" w:space="0" w:color="auto"/>
            <w:bottom w:val="none" w:sz="0" w:space="0" w:color="auto"/>
            <w:right w:val="none" w:sz="0" w:space="0" w:color="auto"/>
          </w:divBdr>
        </w:div>
        <w:div w:id="1053038156">
          <w:marLeft w:val="0"/>
          <w:marRight w:val="0"/>
          <w:marTop w:val="0"/>
          <w:marBottom w:val="0"/>
          <w:divBdr>
            <w:top w:val="none" w:sz="0" w:space="0" w:color="auto"/>
            <w:left w:val="none" w:sz="0" w:space="0" w:color="auto"/>
            <w:bottom w:val="none" w:sz="0" w:space="0" w:color="auto"/>
            <w:right w:val="none" w:sz="0" w:space="0" w:color="auto"/>
          </w:divBdr>
        </w:div>
        <w:div w:id="1053889150">
          <w:marLeft w:val="0"/>
          <w:marRight w:val="0"/>
          <w:marTop w:val="0"/>
          <w:marBottom w:val="0"/>
          <w:divBdr>
            <w:top w:val="none" w:sz="0" w:space="0" w:color="auto"/>
            <w:left w:val="none" w:sz="0" w:space="0" w:color="auto"/>
            <w:bottom w:val="none" w:sz="0" w:space="0" w:color="auto"/>
            <w:right w:val="none" w:sz="0" w:space="0" w:color="auto"/>
          </w:divBdr>
        </w:div>
        <w:div w:id="1068725445">
          <w:marLeft w:val="0"/>
          <w:marRight w:val="0"/>
          <w:marTop w:val="0"/>
          <w:marBottom w:val="0"/>
          <w:divBdr>
            <w:top w:val="none" w:sz="0" w:space="0" w:color="auto"/>
            <w:left w:val="none" w:sz="0" w:space="0" w:color="auto"/>
            <w:bottom w:val="none" w:sz="0" w:space="0" w:color="auto"/>
            <w:right w:val="none" w:sz="0" w:space="0" w:color="auto"/>
          </w:divBdr>
        </w:div>
        <w:div w:id="1099059372">
          <w:marLeft w:val="0"/>
          <w:marRight w:val="0"/>
          <w:marTop w:val="0"/>
          <w:marBottom w:val="0"/>
          <w:divBdr>
            <w:top w:val="none" w:sz="0" w:space="0" w:color="auto"/>
            <w:left w:val="none" w:sz="0" w:space="0" w:color="auto"/>
            <w:bottom w:val="none" w:sz="0" w:space="0" w:color="auto"/>
            <w:right w:val="none" w:sz="0" w:space="0" w:color="auto"/>
          </w:divBdr>
        </w:div>
        <w:div w:id="1100415120">
          <w:marLeft w:val="0"/>
          <w:marRight w:val="0"/>
          <w:marTop w:val="0"/>
          <w:marBottom w:val="0"/>
          <w:divBdr>
            <w:top w:val="none" w:sz="0" w:space="0" w:color="auto"/>
            <w:left w:val="none" w:sz="0" w:space="0" w:color="auto"/>
            <w:bottom w:val="none" w:sz="0" w:space="0" w:color="auto"/>
            <w:right w:val="none" w:sz="0" w:space="0" w:color="auto"/>
          </w:divBdr>
        </w:div>
        <w:div w:id="1102146993">
          <w:marLeft w:val="0"/>
          <w:marRight w:val="0"/>
          <w:marTop w:val="0"/>
          <w:marBottom w:val="0"/>
          <w:divBdr>
            <w:top w:val="none" w:sz="0" w:space="0" w:color="auto"/>
            <w:left w:val="none" w:sz="0" w:space="0" w:color="auto"/>
            <w:bottom w:val="none" w:sz="0" w:space="0" w:color="auto"/>
            <w:right w:val="none" w:sz="0" w:space="0" w:color="auto"/>
          </w:divBdr>
        </w:div>
        <w:div w:id="1114134733">
          <w:marLeft w:val="0"/>
          <w:marRight w:val="0"/>
          <w:marTop w:val="0"/>
          <w:marBottom w:val="0"/>
          <w:divBdr>
            <w:top w:val="none" w:sz="0" w:space="0" w:color="auto"/>
            <w:left w:val="none" w:sz="0" w:space="0" w:color="auto"/>
            <w:bottom w:val="none" w:sz="0" w:space="0" w:color="auto"/>
            <w:right w:val="none" w:sz="0" w:space="0" w:color="auto"/>
          </w:divBdr>
        </w:div>
        <w:div w:id="1119646391">
          <w:marLeft w:val="0"/>
          <w:marRight w:val="0"/>
          <w:marTop w:val="0"/>
          <w:marBottom w:val="0"/>
          <w:divBdr>
            <w:top w:val="none" w:sz="0" w:space="0" w:color="auto"/>
            <w:left w:val="none" w:sz="0" w:space="0" w:color="auto"/>
            <w:bottom w:val="none" w:sz="0" w:space="0" w:color="auto"/>
            <w:right w:val="none" w:sz="0" w:space="0" w:color="auto"/>
          </w:divBdr>
        </w:div>
        <w:div w:id="1130633937">
          <w:marLeft w:val="0"/>
          <w:marRight w:val="0"/>
          <w:marTop w:val="0"/>
          <w:marBottom w:val="0"/>
          <w:divBdr>
            <w:top w:val="none" w:sz="0" w:space="0" w:color="auto"/>
            <w:left w:val="none" w:sz="0" w:space="0" w:color="auto"/>
            <w:bottom w:val="none" w:sz="0" w:space="0" w:color="auto"/>
            <w:right w:val="none" w:sz="0" w:space="0" w:color="auto"/>
          </w:divBdr>
        </w:div>
        <w:div w:id="1132944294">
          <w:marLeft w:val="0"/>
          <w:marRight w:val="0"/>
          <w:marTop w:val="0"/>
          <w:marBottom w:val="0"/>
          <w:divBdr>
            <w:top w:val="none" w:sz="0" w:space="0" w:color="auto"/>
            <w:left w:val="none" w:sz="0" w:space="0" w:color="auto"/>
            <w:bottom w:val="none" w:sz="0" w:space="0" w:color="auto"/>
            <w:right w:val="none" w:sz="0" w:space="0" w:color="auto"/>
          </w:divBdr>
        </w:div>
        <w:div w:id="1139221662">
          <w:marLeft w:val="0"/>
          <w:marRight w:val="0"/>
          <w:marTop w:val="0"/>
          <w:marBottom w:val="0"/>
          <w:divBdr>
            <w:top w:val="none" w:sz="0" w:space="0" w:color="auto"/>
            <w:left w:val="none" w:sz="0" w:space="0" w:color="auto"/>
            <w:bottom w:val="none" w:sz="0" w:space="0" w:color="auto"/>
            <w:right w:val="none" w:sz="0" w:space="0" w:color="auto"/>
          </w:divBdr>
        </w:div>
        <w:div w:id="1145968237">
          <w:marLeft w:val="0"/>
          <w:marRight w:val="0"/>
          <w:marTop w:val="0"/>
          <w:marBottom w:val="0"/>
          <w:divBdr>
            <w:top w:val="none" w:sz="0" w:space="0" w:color="auto"/>
            <w:left w:val="none" w:sz="0" w:space="0" w:color="auto"/>
            <w:bottom w:val="none" w:sz="0" w:space="0" w:color="auto"/>
            <w:right w:val="none" w:sz="0" w:space="0" w:color="auto"/>
          </w:divBdr>
        </w:div>
        <w:div w:id="1148747045">
          <w:marLeft w:val="0"/>
          <w:marRight w:val="0"/>
          <w:marTop w:val="0"/>
          <w:marBottom w:val="0"/>
          <w:divBdr>
            <w:top w:val="none" w:sz="0" w:space="0" w:color="auto"/>
            <w:left w:val="none" w:sz="0" w:space="0" w:color="auto"/>
            <w:bottom w:val="none" w:sz="0" w:space="0" w:color="auto"/>
            <w:right w:val="none" w:sz="0" w:space="0" w:color="auto"/>
          </w:divBdr>
        </w:div>
        <w:div w:id="1165167995">
          <w:marLeft w:val="0"/>
          <w:marRight w:val="0"/>
          <w:marTop w:val="0"/>
          <w:marBottom w:val="0"/>
          <w:divBdr>
            <w:top w:val="none" w:sz="0" w:space="0" w:color="auto"/>
            <w:left w:val="none" w:sz="0" w:space="0" w:color="auto"/>
            <w:bottom w:val="none" w:sz="0" w:space="0" w:color="auto"/>
            <w:right w:val="none" w:sz="0" w:space="0" w:color="auto"/>
          </w:divBdr>
        </w:div>
        <w:div w:id="1165823870">
          <w:marLeft w:val="0"/>
          <w:marRight w:val="0"/>
          <w:marTop w:val="0"/>
          <w:marBottom w:val="0"/>
          <w:divBdr>
            <w:top w:val="none" w:sz="0" w:space="0" w:color="auto"/>
            <w:left w:val="none" w:sz="0" w:space="0" w:color="auto"/>
            <w:bottom w:val="none" w:sz="0" w:space="0" w:color="auto"/>
            <w:right w:val="none" w:sz="0" w:space="0" w:color="auto"/>
          </w:divBdr>
        </w:div>
        <w:div w:id="1172599880">
          <w:marLeft w:val="0"/>
          <w:marRight w:val="0"/>
          <w:marTop w:val="0"/>
          <w:marBottom w:val="0"/>
          <w:divBdr>
            <w:top w:val="none" w:sz="0" w:space="0" w:color="auto"/>
            <w:left w:val="none" w:sz="0" w:space="0" w:color="auto"/>
            <w:bottom w:val="none" w:sz="0" w:space="0" w:color="auto"/>
            <w:right w:val="none" w:sz="0" w:space="0" w:color="auto"/>
          </w:divBdr>
        </w:div>
        <w:div w:id="1178927716">
          <w:marLeft w:val="0"/>
          <w:marRight w:val="0"/>
          <w:marTop w:val="0"/>
          <w:marBottom w:val="0"/>
          <w:divBdr>
            <w:top w:val="none" w:sz="0" w:space="0" w:color="auto"/>
            <w:left w:val="none" w:sz="0" w:space="0" w:color="auto"/>
            <w:bottom w:val="none" w:sz="0" w:space="0" w:color="auto"/>
            <w:right w:val="none" w:sz="0" w:space="0" w:color="auto"/>
          </w:divBdr>
        </w:div>
        <w:div w:id="1202282064">
          <w:marLeft w:val="0"/>
          <w:marRight w:val="0"/>
          <w:marTop w:val="0"/>
          <w:marBottom w:val="0"/>
          <w:divBdr>
            <w:top w:val="none" w:sz="0" w:space="0" w:color="auto"/>
            <w:left w:val="none" w:sz="0" w:space="0" w:color="auto"/>
            <w:bottom w:val="none" w:sz="0" w:space="0" w:color="auto"/>
            <w:right w:val="none" w:sz="0" w:space="0" w:color="auto"/>
          </w:divBdr>
        </w:div>
        <w:div w:id="1217474078">
          <w:marLeft w:val="0"/>
          <w:marRight w:val="0"/>
          <w:marTop w:val="0"/>
          <w:marBottom w:val="0"/>
          <w:divBdr>
            <w:top w:val="none" w:sz="0" w:space="0" w:color="auto"/>
            <w:left w:val="none" w:sz="0" w:space="0" w:color="auto"/>
            <w:bottom w:val="none" w:sz="0" w:space="0" w:color="auto"/>
            <w:right w:val="none" w:sz="0" w:space="0" w:color="auto"/>
          </w:divBdr>
        </w:div>
        <w:div w:id="1229806838">
          <w:marLeft w:val="0"/>
          <w:marRight w:val="0"/>
          <w:marTop w:val="0"/>
          <w:marBottom w:val="0"/>
          <w:divBdr>
            <w:top w:val="none" w:sz="0" w:space="0" w:color="auto"/>
            <w:left w:val="none" w:sz="0" w:space="0" w:color="auto"/>
            <w:bottom w:val="none" w:sz="0" w:space="0" w:color="auto"/>
            <w:right w:val="none" w:sz="0" w:space="0" w:color="auto"/>
          </w:divBdr>
        </w:div>
        <w:div w:id="1234897445">
          <w:marLeft w:val="0"/>
          <w:marRight w:val="0"/>
          <w:marTop w:val="0"/>
          <w:marBottom w:val="0"/>
          <w:divBdr>
            <w:top w:val="none" w:sz="0" w:space="0" w:color="auto"/>
            <w:left w:val="none" w:sz="0" w:space="0" w:color="auto"/>
            <w:bottom w:val="none" w:sz="0" w:space="0" w:color="auto"/>
            <w:right w:val="none" w:sz="0" w:space="0" w:color="auto"/>
          </w:divBdr>
        </w:div>
        <w:div w:id="1234969267">
          <w:marLeft w:val="0"/>
          <w:marRight w:val="0"/>
          <w:marTop w:val="0"/>
          <w:marBottom w:val="0"/>
          <w:divBdr>
            <w:top w:val="none" w:sz="0" w:space="0" w:color="auto"/>
            <w:left w:val="none" w:sz="0" w:space="0" w:color="auto"/>
            <w:bottom w:val="none" w:sz="0" w:space="0" w:color="auto"/>
            <w:right w:val="none" w:sz="0" w:space="0" w:color="auto"/>
          </w:divBdr>
        </w:div>
        <w:div w:id="1242179148">
          <w:marLeft w:val="0"/>
          <w:marRight w:val="0"/>
          <w:marTop w:val="0"/>
          <w:marBottom w:val="0"/>
          <w:divBdr>
            <w:top w:val="none" w:sz="0" w:space="0" w:color="auto"/>
            <w:left w:val="none" w:sz="0" w:space="0" w:color="auto"/>
            <w:bottom w:val="none" w:sz="0" w:space="0" w:color="auto"/>
            <w:right w:val="none" w:sz="0" w:space="0" w:color="auto"/>
          </w:divBdr>
        </w:div>
        <w:div w:id="1254777862">
          <w:marLeft w:val="0"/>
          <w:marRight w:val="0"/>
          <w:marTop w:val="0"/>
          <w:marBottom w:val="0"/>
          <w:divBdr>
            <w:top w:val="none" w:sz="0" w:space="0" w:color="auto"/>
            <w:left w:val="none" w:sz="0" w:space="0" w:color="auto"/>
            <w:bottom w:val="none" w:sz="0" w:space="0" w:color="auto"/>
            <w:right w:val="none" w:sz="0" w:space="0" w:color="auto"/>
          </w:divBdr>
        </w:div>
        <w:div w:id="1258558588">
          <w:marLeft w:val="0"/>
          <w:marRight w:val="0"/>
          <w:marTop w:val="0"/>
          <w:marBottom w:val="0"/>
          <w:divBdr>
            <w:top w:val="none" w:sz="0" w:space="0" w:color="auto"/>
            <w:left w:val="none" w:sz="0" w:space="0" w:color="auto"/>
            <w:bottom w:val="none" w:sz="0" w:space="0" w:color="auto"/>
            <w:right w:val="none" w:sz="0" w:space="0" w:color="auto"/>
          </w:divBdr>
        </w:div>
        <w:div w:id="1262952512">
          <w:marLeft w:val="0"/>
          <w:marRight w:val="0"/>
          <w:marTop w:val="0"/>
          <w:marBottom w:val="0"/>
          <w:divBdr>
            <w:top w:val="none" w:sz="0" w:space="0" w:color="auto"/>
            <w:left w:val="none" w:sz="0" w:space="0" w:color="auto"/>
            <w:bottom w:val="none" w:sz="0" w:space="0" w:color="auto"/>
            <w:right w:val="none" w:sz="0" w:space="0" w:color="auto"/>
          </w:divBdr>
        </w:div>
        <w:div w:id="1267929166">
          <w:marLeft w:val="0"/>
          <w:marRight w:val="0"/>
          <w:marTop w:val="0"/>
          <w:marBottom w:val="0"/>
          <w:divBdr>
            <w:top w:val="none" w:sz="0" w:space="0" w:color="auto"/>
            <w:left w:val="none" w:sz="0" w:space="0" w:color="auto"/>
            <w:bottom w:val="none" w:sz="0" w:space="0" w:color="auto"/>
            <w:right w:val="none" w:sz="0" w:space="0" w:color="auto"/>
          </w:divBdr>
        </w:div>
        <w:div w:id="1267957246">
          <w:marLeft w:val="0"/>
          <w:marRight w:val="0"/>
          <w:marTop w:val="0"/>
          <w:marBottom w:val="0"/>
          <w:divBdr>
            <w:top w:val="none" w:sz="0" w:space="0" w:color="auto"/>
            <w:left w:val="none" w:sz="0" w:space="0" w:color="auto"/>
            <w:bottom w:val="none" w:sz="0" w:space="0" w:color="auto"/>
            <w:right w:val="none" w:sz="0" w:space="0" w:color="auto"/>
          </w:divBdr>
        </w:div>
        <w:div w:id="1270315087">
          <w:marLeft w:val="0"/>
          <w:marRight w:val="0"/>
          <w:marTop w:val="0"/>
          <w:marBottom w:val="0"/>
          <w:divBdr>
            <w:top w:val="none" w:sz="0" w:space="0" w:color="auto"/>
            <w:left w:val="none" w:sz="0" w:space="0" w:color="auto"/>
            <w:bottom w:val="none" w:sz="0" w:space="0" w:color="auto"/>
            <w:right w:val="none" w:sz="0" w:space="0" w:color="auto"/>
          </w:divBdr>
        </w:div>
        <w:div w:id="1273777873">
          <w:marLeft w:val="0"/>
          <w:marRight w:val="0"/>
          <w:marTop w:val="0"/>
          <w:marBottom w:val="0"/>
          <w:divBdr>
            <w:top w:val="none" w:sz="0" w:space="0" w:color="auto"/>
            <w:left w:val="none" w:sz="0" w:space="0" w:color="auto"/>
            <w:bottom w:val="none" w:sz="0" w:space="0" w:color="auto"/>
            <w:right w:val="none" w:sz="0" w:space="0" w:color="auto"/>
          </w:divBdr>
        </w:div>
        <w:div w:id="1274052303">
          <w:marLeft w:val="0"/>
          <w:marRight w:val="0"/>
          <w:marTop w:val="0"/>
          <w:marBottom w:val="0"/>
          <w:divBdr>
            <w:top w:val="none" w:sz="0" w:space="0" w:color="auto"/>
            <w:left w:val="none" w:sz="0" w:space="0" w:color="auto"/>
            <w:bottom w:val="none" w:sz="0" w:space="0" w:color="auto"/>
            <w:right w:val="none" w:sz="0" w:space="0" w:color="auto"/>
          </w:divBdr>
        </w:div>
        <w:div w:id="1274510411">
          <w:marLeft w:val="0"/>
          <w:marRight w:val="0"/>
          <w:marTop w:val="0"/>
          <w:marBottom w:val="0"/>
          <w:divBdr>
            <w:top w:val="none" w:sz="0" w:space="0" w:color="auto"/>
            <w:left w:val="none" w:sz="0" w:space="0" w:color="auto"/>
            <w:bottom w:val="none" w:sz="0" w:space="0" w:color="auto"/>
            <w:right w:val="none" w:sz="0" w:space="0" w:color="auto"/>
          </w:divBdr>
        </w:div>
        <w:div w:id="1276673193">
          <w:marLeft w:val="0"/>
          <w:marRight w:val="0"/>
          <w:marTop w:val="0"/>
          <w:marBottom w:val="0"/>
          <w:divBdr>
            <w:top w:val="none" w:sz="0" w:space="0" w:color="auto"/>
            <w:left w:val="none" w:sz="0" w:space="0" w:color="auto"/>
            <w:bottom w:val="none" w:sz="0" w:space="0" w:color="auto"/>
            <w:right w:val="none" w:sz="0" w:space="0" w:color="auto"/>
          </w:divBdr>
        </w:div>
        <w:div w:id="1281108193">
          <w:marLeft w:val="0"/>
          <w:marRight w:val="0"/>
          <w:marTop w:val="0"/>
          <w:marBottom w:val="0"/>
          <w:divBdr>
            <w:top w:val="none" w:sz="0" w:space="0" w:color="auto"/>
            <w:left w:val="none" w:sz="0" w:space="0" w:color="auto"/>
            <w:bottom w:val="none" w:sz="0" w:space="0" w:color="auto"/>
            <w:right w:val="none" w:sz="0" w:space="0" w:color="auto"/>
          </w:divBdr>
        </w:div>
        <w:div w:id="1281180859">
          <w:marLeft w:val="0"/>
          <w:marRight w:val="0"/>
          <w:marTop w:val="0"/>
          <w:marBottom w:val="0"/>
          <w:divBdr>
            <w:top w:val="none" w:sz="0" w:space="0" w:color="auto"/>
            <w:left w:val="none" w:sz="0" w:space="0" w:color="auto"/>
            <w:bottom w:val="none" w:sz="0" w:space="0" w:color="auto"/>
            <w:right w:val="none" w:sz="0" w:space="0" w:color="auto"/>
          </w:divBdr>
        </w:div>
        <w:div w:id="1309626759">
          <w:marLeft w:val="0"/>
          <w:marRight w:val="0"/>
          <w:marTop w:val="0"/>
          <w:marBottom w:val="0"/>
          <w:divBdr>
            <w:top w:val="none" w:sz="0" w:space="0" w:color="auto"/>
            <w:left w:val="none" w:sz="0" w:space="0" w:color="auto"/>
            <w:bottom w:val="none" w:sz="0" w:space="0" w:color="auto"/>
            <w:right w:val="none" w:sz="0" w:space="0" w:color="auto"/>
          </w:divBdr>
        </w:div>
        <w:div w:id="1315525936">
          <w:marLeft w:val="0"/>
          <w:marRight w:val="0"/>
          <w:marTop w:val="0"/>
          <w:marBottom w:val="0"/>
          <w:divBdr>
            <w:top w:val="none" w:sz="0" w:space="0" w:color="auto"/>
            <w:left w:val="none" w:sz="0" w:space="0" w:color="auto"/>
            <w:bottom w:val="none" w:sz="0" w:space="0" w:color="auto"/>
            <w:right w:val="none" w:sz="0" w:space="0" w:color="auto"/>
          </w:divBdr>
        </w:div>
        <w:div w:id="1318461720">
          <w:marLeft w:val="0"/>
          <w:marRight w:val="0"/>
          <w:marTop w:val="0"/>
          <w:marBottom w:val="0"/>
          <w:divBdr>
            <w:top w:val="none" w:sz="0" w:space="0" w:color="auto"/>
            <w:left w:val="none" w:sz="0" w:space="0" w:color="auto"/>
            <w:bottom w:val="none" w:sz="0" w:space="0" w:color="auto"/>
            <w:right w:val="none" w:sz="0" w:space="0" w:color="auto"/>
          </w:divBdr>
        </w:div>
        <w:div w:id="1321038033">
          <w:marLeft w:val="0"/>
          <w:marRight w:val="0"/>
          <w:marTop w:val="0"/>
          <w:marBottom w:val="0"/>
          <w:divBdr>
            <w:top w:val="none" w:sz="0" w:space="0" w:color="auto"/>
            <w:left w:val="none" w:sz="0" w:space="0" w:color="auto"/>
            <w:bottom w:val="none" w:sz="0" w:space="0" w:color="auto"/>
            <w:right w:val="none" w:sz="0" w:space="0" w:color="auto"/>
          </w:divBdr>
        </w:div>
        <w:div w:id="1330600859">
          <w:marLeft w:val="0"/>
          <w:marRight w:val="0"/>
          <w:marTop w:val="0"/>
          <w:marBottom w:val="0"/>
          <w:divBdr>
            <w:top w:val="none" w:sz="0" w:space="0" w:color="auto"/>
            <w:left w:val="none" w:sz="0" w:space="0" w:color="auto"/>
            <w:bottom w:val="none" w:sz="0" w:space="0" w:color="auto"/>
            <w:right w:val="none" w:sz="0" w:space="0" w:color="auto"/>
          </w:divBdr>
        </w:div>
        <w:div w:id="1343585442">
          <w:marLeft w:val="0"/>
          <w:marRight w:val="0"/>
          <w:marTop w:val="0"/>
          <w:marBottom w:val="0"/>
          <w:divBdr>
            <w:top w:val="none" w:sz="0" w:space="0" w:color="auto"/>
            <w:left w:val="none" w:sz="0" w:space="0" w:color="auto"/>
            <w:bottom w:val="none" w:sz="0" w:space="0" w:color="auto"/>
            <w:right w:val="none" w:sz="0" w:space="0" w:color="auto"/>
          </w:divBdr>
        </w:div>
        <w:div w:id="1362168453">
          <w:marLeft w:val="0"/>
          <w:marRight w:val="0"/>
          <w:marTop w:val="0"/>
          <w:marBottom w:val="0"/>
          <w:divBdr>
            <w:top w:val="none" w:sz="0" w:space="0" w:color="auto"/>
            <w:left w:val="none" w:sz="0" w:space="0" w:color="auto"/>
            <w:bottom w:val="none" w:sz="0" w:space="0" w:color="auto"/>
            <w:right w:val="none" w:sz="0" w:space="0" w:color="auto"/>
          </w:divBdr>
        </w:div>
        <w:div w:id="1368068668">
          <w:marLeft w:val="0"/>
          <w:marRight w:val="0"/>
          <w:marTop w:val="0"/>
          <w:marBottom w:val="0"/>
          <w:divBdr>
            <w:top w:val="none" w:sz="0" w:space="0" w:color="auto"/>
            <w:left w:val="none" w:sz="0" w:space="0" w:color="auto"/>
            <w:bottom w:val="none" w:sz="0" w:space="0" w:color="auto"/>
            <w:right w:val="none" w:sz="0" w:space="0" w:color="auto"/>
          </w:divBdr>
        </w:div>
        <w:div w:id="1376928830">
          <w:marLeft w:val="0"/>
          <w:marRight w:val="0"/>
          <w:marTop w:val="0"/>
          <w:marBottom w:val="0"/>
          <w:divBdr>
            <w:top w:val="none" w:sz="0" w:space="0" w:color="auto"/>
            <w:left w:val="none" w:sz="0" w:space="0" w:color="auto"/>
            <w:bottom w:val="none" w:sz="0" w:space="0" w:color="auto"/>
            <w:right w:val="none" w:sz="0" w:space="0" w:color="auto"/>
          </w:divBdr>
        </w:div>
        <w:div w:id="1383406094">
          <w:marLeft w:val="0"/>
          <w:marRight w:val="0"/>
          <w:marTop w:val="0"/>
          <w:marBottom w:val="0"/>
          <w:divBdr>
            <w:top w:val="none" w:sz="0" w:space="0" w:color="auto"/>
            <w:left w:val="none" w:sz="0" w:space="0" w:color="auto"/>
            <w:bottom w:val="none" w:sz="0" w:space="0" w:color="auto"/>
            <w:right w:val="none" w:sz="0" w:space="0" w:color="auto"/>
          </w:divBdr>
        </w:div>
        <w:div w:id="1390114008">
          <w:marLeft w:val="0"/>
          <w:marRight w:val="0"/>
          <w:marTop w:val="0"/>
          <w:marBottom w:val="0"/>
          <w:divBdr>
            <w:top w:val="none" w:sz="0" w:space="0" w:color="auto"/>
            <w:left w:val="none" w:sz="0" w:space="0" w:color="auto"/>
            <w:bottom w:val="none" w:sz="0" w:space="0" w:color="auto"/>
            <w:right w:val="none" w:sz="0" w:space="0" w:color="auto"/>
          </w:divBdr>
        </w:div>
        <w:div w:id="1391802691">
          <w:marLeft w:val="0"/>
          <w:marRight w:val="0"/>
          <w:marTop w:val="0"/>
          <w:marBottom w:val="0"/>
          <w:divBdr>
            <w:top w:val="none" w:sz="0" w:space="0" w:color="auto"/>
            <w:left w:val="none" w:sz="0" w:space="0" w:color="auto"/>
            <w:bottom w:val="none" w:sz="0" w:space="0" w:color="auto"/>
            <w:right w:val="none" w:sz="0" w:space="0" w:color="auto"/>
          </w:divBdr>
        </w:div>
        <w:div w:id="1404454027">
          <w:marLeft w:val="0"/>
          <w:marRight w:val="0"/>
          <w:marTop w:val="0"/>
          <w:marBottom w:val="0"/>
          <w:divBdr>
            <w:top w:val="none" w:sz="0" w:space="0" w:color="auto"/>
            <w:left w:val="none" w:sz="0" w:space="0" w:color="auto"/>
            <w:bottom w:val="none" w:sz="0" w:space="0" w:color="auto"/>
            <w:right w:val="none" w:sz="0" w:space="0" w:color="auto"/>
          </w:divBdr>
        </w:div>
        <w:div w:id="1411274414">
          <w:marLeft w:val="0"/>
          <w:marRight w:val="0"/>
          <w:marTop w:val="0"/>
          <w:marBottom w:val="0"/>
          <w:divBdr>
            <w:top w:val="none" w:sz="0" w:space="0" w:color="auto"/>
            <w:left w:val="none" w:sz="0" w:space="0" w:color="auto"/>
            <w:bottom w:val="none" w:sz="0" w:space="0" w:color="auto"/>
            <w:right w:val="none" w:sz="0" w:space="0" w:color="auto"/>
          </w:divBdr>
        </w:div>
        <w:div w:id="1413703651">
          <w:marLeft w:val="0"/>
          <w:marRight w:val="0"/>
          <w:marTop w:val="0"/>
          <w:marBottom w:val="0"/>
          <w:divBdr>
            <w:top w:val="none" w:sz="0" w:space="0" w:color="auto"/>
            <w:left w:val="none" w:sz="0" w:space="0" w:color="auto"/>
            <w:bottom w:val="none" w:sz="0" w:space="0" w:color="auto"/>
            <w:right w:val="none" w:sz="0" w:space="0" w:color="auto"/>
          </w:divBdr>
        </w:div>
        <w:div w:id="1415007552">
          <w:marLeft w:val="0"/>
          <w:marRight w:val="0"/>
          <w:marTop w:val="0"/>
          <w:marBottom w:val="0"/>
          <w:divBdr>
            <w:top w:val="none" w:sz="0" w:space="0" w:color="auto"/>
            <w:left w:val="none" w:sz="0" w:space="0" w:color="auto"/>
            <w:bottom w:val="none" w:sz="0" w:space="0" w:color="auto"/>
            <w:right w:val="none" w:sz="0" w:space="0" w:color="auto"/>
          </w:divBdr>
        </w:div>
        <w:div w:id="1425883544">
          <w:marLeft w:val="0"/>
          <w:marRight w:val="0"/>
          <w:marTop w:val="0"/>
          <w:marBottom w:val="0"/>
          <w:divBdr>
            <w:top w:val="none" w:sz="0" w:space="0" w:color="auto"/>
            <w:left w:val="none" w:sz="0" w:space="0" w:color="auto"/>
            <w:bottom w:val="none" w:sz="0" w:space="0" w:color="auto"/>
            <w:right w:val="none" w:sz="0" w:space="0" w:color="auto"/>
          </w:divBdr>
        </w:div>
        <w:div w:id="1427269159">
          <w:marLeft w:val="0"/>
          <w:marRight w:val="0"/>
          <w:marTop w:val="0"/>
          <w:marBottom w:val="0"/>
          <w:divBdr>
            <w:top w:val="none" w:sz="0" w:space="0" w:color="auto"/>
            <w:left w:val="none" w:sz="0" w:space="0" w:color="auto"/>
            <w:bottom w:val="none" w:sz="0" w:space="0" w:color="auto"/>
            <w:right w:val="none" w:sz="0" w:space="0" w:color="auto"/>
          </w:divBdr>
        </w:div>
        <w:div w:id="1429228354">
          <w:marLeft w:val="0"/>
          <w:marRight w:val="0"/>
          <w:marTop w:val="0"/>
          <w:marBottom w:val="0"/>
          <w:divBdr>
            <w:top w:val="none" w:sz="0" w:space="0" w:color="auto"/>
            <w:left w:val="none" w:sz="0" w:space="0" w:color="auto"/>
            <w:bottom w:val="none" w:sz="0" w:space="0" w:color="auto"/>
            <w:right w:val="none" w:sz="0" w:space="0" w:color="auto"/>
          </w:divBdr>
        </w:div>
        <w:div w:id="1429421478">
          <w:marLeft w:val="0"/>
          <w:marRight w:val="0"/>
          <w:marTop w:val="0"/>
          <w:marBottom w:val="0"/>
          <w:divBdr>
            <w:top w:val="none" w:sz="0" w:space="0" w:color="auto"/>
            <w:left w:val="none" w:sz="0" w:space="0" w:color="auto"/>
            <w:bottom w:val="none" w:sz="0" w:space="0" w:color="auto"/>
            <w:right w:val="none" w:sz="0" w:space="0" w:color="auto"/>
          </w:divBdr>
        </w:div>
        <w:div w:id="1436825015">
          <w:marLeft w:val="0"/>
          <w:marRight w:val="0"/>
          <w:marTop w:val="0"/>
          <w:marBottom w:val="0"/>
          <w:divBdr>
            <w:top w:val="none" w:sz="0" w:space="0" w:color="auto"/>
            <w:left w:val="none" w:sz="0" w:space="0" w:color="auto"/>
            <w:bottom w:val="none" w:sz="0" w:space="0" w:color="auto"/>
            <w:right w:val="none" w:sz="0" w:space="0" w:color="auto"/>
          </w:divBdr>
        </w:div>
        <w:div w:id="1444112960">
          <w:marLeft w:val="0"/>
          <w:marRight w:val="0"/>
          <w:marTop w:val="0"/>
          <w:marBottom w:val="0"/>
          <w:divBdr>
            <w:top w:val="none" w:sz="0" w:space="0" w:color="auto"/>
            <w:left w:val="none" w:sz="0" w:space="0" w:color="auto"/>
            <w:bottom w:val="none" w:sz="0" w:space="0" w:color="auto"/>
            <w:right w:val="none" w:sz="0" w:space="0" w:color="auto"/>
          </w:divBdr>
        </w:div>
        <w:div w:id="1455323047">
          <w:marLeft w:val="0"/>
          <w:marRight w:val="0"/>
          <w:marTop w:val="0"/>
          <w:marBottom w:val="0"/>
          <w:divBdr>
            <w:top w:val="none" w:sz="0" w:space="0" w:color="auto"/>
            <w:left w:val="none" w:sz="0" w:space="0" w:color="auto"/>
            <w:bottom w:val="none" w:sz="0" w:space="0" w:color="auto"/>
            <w:right w:val="none" w:sz="0" w:space="0" w:color="auto"/>
          </w:divBdr>
        </w:div>
        <w:div w:id="1455834323">
          <w:marLeft w:val="0"/>
          <w:marRight w:val="0"/>
          <w:marTop w:val="0"/>
          <w:marBottom w:val="0"/>
          <w:divBdr>
            <w:top w:val="none" w:sz="0" w:space="0" w:color="auto"/>
            <w:left w:val="none" w:sz="0" w:space="0" w:color="auto"/>
            <w:bottom w:val="none" w:sz="0" w:space="0" w:color="auto"/>
            <w:right w:val="none" w:sz="0" w:space="0" w:color="auto"/>
          </w:divBdr>
        </w:div>
        <w:div w:id="1461269228">
          <w:marLeft w:val="0"/>
          <w:marRight w:val="0"/>
          <w:marTop w:val="0"/>
          <w:marBottom w:val="0"/>
          <w:divBdr>
            <w:top w:val="none" w:sz="0" w:space="0" w:color="auto"/>
            <w:left w:val="none" w:sz="0" w:space="0" w:color="auto"/>
            <w:bottom w:val="none" w:sz="0" w:space="0" w:color="auto"/>
            <w:right w:val="none" w:sz="0" w:space="0" w:color="auto"/>
          </w:divBdr>
        </w:div>
        <w:div w:id="1470129389">
          <w:marLeft w:val="0"/>
          <w:marRight w:val="0"/>
          <w:marTop w:val="0"/>
          <w:marBottom w:val="0"/>
          <w:divBdr>
            <w:top w:val="none" w:sz="0" w:space="0" w:color="auto"/>
            <w:left w:val="none" w:sz="0" w:space="0" w:color="auto"/>
            <w:bottom w:val="none" w:sz="0" w:space="0" w:color="auto"/>
            <w:right w:val="none" w:sz="0" w:space="0" w:color="auto"/>
          </w:divBdr>
        </w:div>
        <w:div w:id="1472484727">
          <w:marLeft w:val="0"/>
          <w:marRight w:val="0"/>
          <w:marTop w:val="0"/>
          <w:marBottom w:val="0"/>
          <w:divBdr>
            <w:top w:val="none" w:sz="0" w:space="0" w:color="auto"/>
            <w:left w:val="none" w:sz="0" w:space="0" w:color="auto"/>
            <w:bottom w:val="none" w:sz="0" w:space="0" w:color="auto"/>
            <w:right w:val="none" w:sz="0" w:space="0" w:color="auto"/>
          </w:divBdr>
        </w:div>
        <w:div w:id="1477601507">
          <w:marLeft w:val="0"/>
          <w:marRight w:val="0"/>
          <w:marTop w:val="0"/>
          <w:marBottom w:val="0"/>
          <w:divBdr>
            <w:top w:val="none" w:sz="0" w:space="0" w:color="auto"/>
            <w:left w:val="none" w:sz="0" w:space="0" w:color="auto"/>
            <w:bottom w:val="none" w:sz="0" w:space="0" w:color="auto"/>
            <w:right w:val="none" w:sz="0" w:space="0" w:color="auto"/>
          </w:divBdr>
        </w:div>
        <w:div w:id="1477651468">
          <w:marLeft w:val="0"/>
          <w:marRight w:val="0"/>
          <w:marTop w:val="0"/>
          <w:marBottom w:val="0"/>
          <w:divBdr>
            <w:top w:val="none" w:sz="0" w:space="0" w:color="auto"/>
            <w:left w:val="none" w:sz="0" w:space="0" w:color="auto"/>
            <w:bottom w:val="none" w:sz="0" w:space="0" w:color="auto"/>
            <w:right w:val="none" w:sz="0" w:space="0" w:color="auto"/>
          </w:divBdr>
        </w:div>
        <w:div w:id="1481000672">
          <w:marLeft w:val="0"/>
          <w:marRight w:val="0"/>
          <w:marTop w:val="0"/>
          <w:marBottom w:val="0"/>
          <w:divBdr>
            <w:top w:val="none" w:sz="0" w:space="0" w:color="auto"/>
            <w:left w:val="none" w:sz="0" w:space="0" w:color="auto"/>
            <w:bottom w:val="none" w:sz="0" w:space="0" w:color="auto"/>
            <w:right w:val="none" w:sz="0" w:space="0" w:color="auto"/>
          </w:divBdr>
        </w:div>
        <w:div w:id="1486513989">
          <w:marLeft w:val="0"/>
          <w:marRight w:val="0"/>
          <w:marTop w:val="0"/>
          <w:marBottom w:val="0"/>
          <w:divBdr>
            <w:top w:val="none" w:sz="0" w:space="0" w:color="auto"/>
            <w:left w:val="none" w:sz="0" w:space="0" w:color="auto"/>
            <w:bottom w:val="none" w:sz="0" w:space="0" w:color="auto"/>
            <w:right w:val="none" w:sz="0" w:space="0" w:color="auto"/>
          </w:divBdr>
        </w:div>
        <w:div w:id="1487089087">
          <w:marLeft w:val="0"/>
          <w:marRight w:val="0"/>
          <w:marTop w:val="0"/>
          <w:marBottom w:val="0"/>
          <w:divBdr>
            <w:top w:val="none" w:sz="0" w:space="0" w:color="auto"/>
            <w:left w:val="none" w:sz="0" w:space="0" w:color="auto"/>
            <w:bottom w:val="none" w:sz="0" w:space="0" w:color="auto"/>
            <w:right w:val="none" w:sz="0" w:space="0" w:color="auto"/>
          </w:divBdr>
        </w:div>
        <w:div w:id="1487476336">
          <w:marLeft w:val="0"/>
          <w:marRight w:val="0"/>
          <w:marTop w:val="0"/>
          <w:marBottom w:val="0"/>
          <w:divBdr>
            <w:top w:val="none" w:sz="0" w:space="0" w:color="auto"/>
            <w:left w:val="none" w:sz="0" w:space="0" w:color="auto"/>
            <w:bottom w:val="none" w:sz="0" w:space="0" w:color="auto"/>
            <w:right w:val="none" w:sz="0" w:space="0" w:color="auto"/>
          </w:divBdr>
        </w:div>
        <w:div w:id="1492021411">
          <w:marLeft w:val="0"/>
          <w:marRight w:val="0"/>
          <w:marTop w:val="0"/>
          <w:marBottom w:val="0"/>
          <w:divBdr>
            <w:top w:val="none" w:sz="0" w:space="0" w:color="auto"/>
            <w:left w:val="none" w:sz="0" w:space="0" w:color="auto"/>
            <w:bottom w:val="none" w:sz="0" w:space="0" w:color="auto"/>
            <w:right w:val="none" w:sz="0" w:space="0" w:color="auto"/>
          </w:divBdr>
        </w:div>
        <w:div w:id="1493834559">
          <w:marLeft w:val="0"/>
          <w:marRight w:val="0"/>
          <w:marTop w:val="0"/>
          <w:marBottom w:val="0"/>
          <w:divBdr>
            <w:top w:val="none" w:sz="0" w:space="0" w:color="auto"/>
            <w:left w:val="none" w:sz="0" w:space="0" w:color="auto"/>
            <w:bottom w:val="none" w:sz="0" w:space="0" w:color="auto"/>
            <w:right w:val="none" w:sz="0" w:space="0" w:color="auto"/>
          </w:divBdr>
        </w:div>
        <w:div w:id="1495996544">
          <w:marLeft w:val="0"/>
          <w:marRight w:val="0"/>
          <w:marTop w:val="0"/>
          <w:marBottom w:val="0"/>
          <w:divBdr>
            <w:top w:val="none" w:sz="0" w:space="0" w:color="auto"/>
            <w:left w:val="none" w:sz="0" w:space="0" w:color="auto"/>
            <w:bottom w:val="none" w:sz="0" w:space="0" w:color="auto"/>
            <w:right w:val="none" w:sz="0" w:space="0" w:color="auto"/>
          </w:divBdr>
        </w:div>
        <w:div w:id="1506894631">
          <w:marLeft w:val="0"/>
          <w:marRight w:val="0"/>
          <w:marTop w:val="0"/>
          <w:marBottom w:val="0"/>
          <w:divBdr>
            <w:top w:val="none" w:sz="0" w:space="0" w:color="auto"/>
            <w:left w:val="none" w:sz="0" w:space="0" w:color="auto"/>
            <w:bottom w:val="none" w:sz="0" w:space="0" w:color="auto"/>
            <w:right w:val="none" w:sz="0" w:space="0" w:color="auto"/>
          </w:divBdr>
        </w:div>
        <w:div w:id="1528103830">
          <w:marLeft w:val="0"/>
          <w:marRight w:val="0"/>
          <w:marTop w:val="0"/>
          <w:marBottom w:val="0"/>
          <w:divBdr>
            <w:top w:val="none" w:sz="0" w:space="0" w:color="auto"/>
            <w:left w:val="none" w:sz="0" w:space="0" w:color="auto"/>
            <w:bottom w:val="none" w:sz="0" w:space="0" w:color="auto"/>
            <w:right w:val="none" w:sz="0" w:space="0" w:color="auto"/>
          </w:divBdr>
        </w:div>
        <w:div w:id="1528716169">
          <w:marLeft w:val="0"/>
          <w:marRight w:val="0"/>
          <w:marTop w:val="0"/>
          <w:marBottom w:val="0"/>
          <w:divBdr>
            <w:top w:val="none" w:sz="0" w:space="0" w:color="auto"/>
            <w:left w:val="none" w:sz="0" w:space="0" w:color="auto"/>
            <w:bottom w:val="none" w:sz="0" w:space="0" w:color="auto"/>
            <w:right w:val="none" w:sz="0" w:space="0" w:color="auto"/>
          </w:divBdr>
        </w:div>
        <w:div w:id="1534882833">
          <w:marLeft w:val="0"/>
          <w:marRight w:val="0"/>
          <w:marTop w:val="0"/>
          <w:marBottom w:val="0"/>
          <w:divBdr>
            <w:top w:val="none" w:sz="0" w:space="0" w:color="auto"/>
            <w:left w:val="none" w:sz="0" w:space="0" w:color="auto"/>
            <w:bottom w:val="none" w:sz="0" w:space="0" w:color="auto"/>
            <w:right w:val="none" w:sz="0" w:space="0" w:color="auto"/>
          </w:divBdr>
        </w:div>
        <w:div w:id="1535846509">
          <w:marLeft w:val="0"/>
          <w:marRight w:val="0"/>
          <w:marTop w:val="0"/>
          <w:marBottom w:val="0"/>
          <w:divBdr>
            <w:top w:val="none" w:sz="0" w:space="0" w:color="auto"/>
            <w:left w:val="none" w:sz="0" w:space="0" w:color="auto"/>
            <w:bottom w:val="none" w:sz="0" w:space="0" w:color="auto"/>
            <w:right w:val="none" w:sz="0" w:space="0" w:color="auto"/>
          </w:divBdr>
        </w:div>
        <w:div w:id="1546091609">
          <w:marLeft w:val="0"/>
          <w:marRight w:val="0"/>
          <w:marTop w:val="0"/>
          <w:marBottom w:val="0"/>
          <w:divBdr>
            <w:top w:val="none" w:sz="0" w:space="0" w:color="auto"/>
            <w:left w:val="none" w:sz="0" w:space="0" w:color="auto"/>
            <w:bottom w:val="none" w:sz="0" w:space="0" w:color="auto"/>
            <w:right w:val="none" w:sz="0" w:space="0" w:color="auto"/>
          </w:divBdr>
        </w:div>
        <w:div w:id="1554852037">
          <w:marLeft w:val="0"/>
          <w:marRight w:val="0"/>
          <w:marTop w:val="0"/>
          <w:marBottom w:val="0"/>
          <w:divBdr>
            <w:top w:val="none" w:sz="0" w:space="0" w:color="auto"/>
            <w:left w:val="none" w:sz="0" w:space="0" w:color="auto"/>
            <w:bottom w:val="none" w:sz="0" w:space="0" w:color="auto"/>
            <w:right w:val="none" w:sz="0" w:space="0" w:color="auto"/>
          </w:divBdr>
        </w:div>
        <w:div w:id="1582248993">
          <w:marLeft w:val="0"/>
          <w:marRight w:val="0"/>
          <w:marTop w:val="0"/>
          <w:marBottom w:val="0"/>
          <w:divBdr>
            <w:top w:val="none" w:sz="0" w:space="0" w:color="auto"/>
            <w:left w:val="none" w:sz="0" w:space="0" w:color="auto"/>
            <w:bottom w:val="none" w:sz="0" w:space="0" w:color="auto"/>
            <w:right w:val="none" w:sz="0" w:space="0" w:color="auto"/>
          </w:divBdr>
        </w:div>
        <w:div w:id="1594319734">
          <w:marLeft w:val="0"/>
          <w:marRight w:val="0"/>
          <w:marTop w:val="0"/>
          <w:marBottom w:val="0"/>
          <w:divBdr>
            <w:top w:val="none" w:sz="0" w:space="0" w:color="auto"/>
            <w:left w:val="none" w:sz="0" w:space="0" w:color="auto"/>
            <w:bottom w:val="none" w:sz="0" w:space="0" w:color="auto"/>
            <w:right w:val="none" w:sz="0" w:space="0" w:color="auto"/>
          </w:divBdr>
        </w:div>
        <w:div w:id="1608778079">
          <w:marLeft w:val="0"/>
          <w:marRight w:val="0"/>
          <w:marTop w:val="0"/>
          <w:marBottom w:val="0"/>
          <w:divBdr>
            <w:top w:val="none" w:sz="0" w:space="0" w:color="auto"/>
            <w:left w:val="none" w:sz="0" w:space="0" w:color="auto"/>
            <w:bottom w:val="none" w:sz="0" w:space="0" w:color="auto"/>
            <w:right w:val="none" w:sz="0" w:space="0" w:color="auto"/>
          </w:divBdr>
        </w:div>
        <w:div w:id="1610895322">
          <w:marLeft w:val="0"/>
          <w:marRight w:val="0"/>
          <w:marTop w:val="0"/>
          <w:marBottom w:val="0"/>
          <w:divBdr>
            <w:top w:val="none" w:sz="0" w:space="0" w:color="auto"/>
            <w:left w:val="none" w:sz="0" w:space="0" w:color="auto"/>
            <w:bottom w:val="none" w:sz="0" w:space="0" w:color="auto"/>
            <w:right w:val="none" w:sz="0" w:space="0" w:color="auto"/>
          </w:divBdr>
        </w:div>
        <w:div w:id="1618028977">
          <w:marLeft w:val="0"/>
          <w:marRight w:val="0"/>
          <w:marTop w:val="0"/>
          <w:marBottom w:val="0"/>
          <w:divBdr>
            <w:top w:val="none" w:sz="0" w:space="0" w:color="auto"/>
            <w:left w:val="none" w:sz="0" w:space="0" w:color="auto"/>
            <w:bottom w:val="none" w:sz="0" w:space="0" w:color="auto"/>
            <w:right w:val="none" w:sz="0" w:space="0" w:color="auto"/>
          </w:divBdr>
        </w:div>
        <w:div w:id="1618295111">
          <w:marLeft w:val="0"/>
          <w:marRight w:val="0"/>
          <w:marTop w:val="0"/>
          <w:marBottom w:val="0"/>
          <w:divBdr>
            <w:top w:val="none" w:sz="0" w:space="0" w:color="auto"/>
            <w:left w:val="none" w:sz="0" w:space="0" w:color="auto"/>
            <w:bottom w:val="none" w:sz="0" w:space="0" w:color="auto"/>
            <w:right w:val="none" w:sz="0" w:space="0" w:color="auto"/>
          </w:divBdr>
        </w:div>
        <w:div w:id="1620988413">
          <w:marLeft w:val="0"/>
          <w:marRight w:val="0"/>
          <w:marTop w:val="0"/>
          <w:marBottom w:val="0"/>
          <w:divBdr>
            <w:top w:val="none" w:sz="0" w:space="0" w:color="auto"/>
            <w:left w:val="none" w:sz="0" w:space="0" w:color="auto"/>
            <w:bottom w:val="none" w:sz="0" w:space="0" w:color="auto"/>
            <w:right w:val="none" w:sz="0" w:space="0" w:color="auto"/>
          </w:divBdr>
        </w:div>
        <w:div w:id="1631210399">
          <w:marLeft w:val="0"/>
          <w:marRight w:val="0"/>
          <w:marTop w:val="0"/>
          <w:marBottom w:val="0"/>
          <w:divBdr>
            <w:top w:val="none" w:sz="0" w:space="0" w:color="auto"/>
            <w:left w:val="none" w:sz="0" w:space="0" w:color="auto"/>
            <w:bottom w:val="none" w:sz="0" w:space="0" w:color="auto"/>
            <w:right w:val="none" w:sz="0" w:space="0" w:color="auto"/>
          </w:divBdr>
        </w:div>
        <w:div w:id="1636642358">
          <w:marLeft w:val="0"/>
          <w:marRight w:val="0"/>
          <w:marTop w:val="0"/>
          <w:marBottom w:val="0"/>
          <w:divBdr>
            <w:top w:val="none" w:sz="0" w:space="0" w:color="auto"/>
            <w:left w:val="none" w:sz="0" w:space="0" w:color="auto"/>
            <w:bottom w:val="none" w:sz="0" w:space="0" w:color="auto"/>
            <w:right w:val="none" w:sz="0" w:space="0" w:color="auto"/>
          </w:divBdr>
        </w:div>
        <w:div w:id="1638561295">
          <w:marLeft w:val="0"/>
          <w:marRight w:val="0"/>
          <w:marTop w:val="0"/>
          <w:marBottom w:val="0"/>
          <w:divBdr>
            <w:top w:val="none" w:sz="0" w:space="0" w:color="auto"/>
            <w:left w:val="none" w:sz="0" w:space="0" w:color="auto"/>
            <w:bottom w:val="none" w:sz="0" w:space="0" w:color="auto"/>
            <w:right w:val="none" w:sz="0" w:space="0" w:color="auto"/>
          </w:divBdr>
        </w:div>
        <w:div w:id="1644891730">
          <w:marLeft w:val="0"/>
          <w:marRight w:val="0"/>
          <w:marTop w:val="0"/>
          <w:marBottom w:val="0"/>
          <w:divBdr>
            <w:top w:val="none" w:sz="0" w:space="0" w:color="auto"/>
            <w:left w:val="none" w:sz="0" w:space="0" w:color="auto"/>
            <w:bottom w:val="none" w:sz="0" w:space="0" w:color="auto"/>
            <w:right w:val="none" w:sz="0" w:space="0" w:color="auto"/>
          </w:divBdr>
        </w:div>
        <w:div w:id="1656255393">
          <w:marLeft w:val="0"/>
          <w:marRight w:val="0"/>
          <w:marTop w:val="0"/>
          <w:marBottom w:val="0"/>
          <w:divBdr>
            <w:top w:val="none" w:sz="0" w:space="0" w:color="auto"/>
            <w:left w:val="none" w:sz="0" w:space="0" w:color="auto"/>
            <w:bottom w:val="none" w:sz="0" w:space="0" w:color="auto"/>
            <w:right w:val="none" w:sz="0" w:space="0" w:color="auto"/>
          </w:divBdr>
        </w:div>
        <w:div w:id="1659577876">
          <w:marLeft w:val="0"/>
          <w:marRight w:val="0"/>
          <w:marTop w:val="0"/>
          <w:marBottom w:val="0"/>
          <w:divBdr>
            <w:top w:val="none" w:sz="0" w:space="0" w:color="auto"/>
            <w:left w:val="none" w:sz="0" w:space="0" w:color="auto"/>
            <w:bottom w:val="none" w:sz="0" w:space="0" w:color="auto"/>
            <w:right w:val="none" w:sz="0" w:space="0" w:color="auto"/>
          </w:divBdr>
        </w:div>
        <w:div w:id="1666321552">
          <w:marLeft w:val="0"/>
          <w:marRight w:val="0"/>
          <w:marTop w:val="0"/>
          <w:marBottom w:val="0"/>
          <w:divBdr>
            <w:top w:val="none" w:sz="0" w:space="0" w:color="auto"/>
            <w:left w:val="none" w:sz="0" w:space="0" w:color="auto"/>
            <w:bottom w:val="none" w:sz="0" w:space="0" w:color="auto"/>
            <w:right w:val="none" w:sz="0" w:space="0" w:color="auto"/>
          </w:divBdr>
        </w:div>
        <w:div w:id="1683119194">
          <w:marLeft w:val="0"/>
          <w:marRight w:val="0"/>
          <w:marTop w:val="0"/>
          <w:marBottom w:val="0"/>
          <w:divBdr>
            <w:top w:val="none" w:sz="0" w:space="0" w:color="auto"/>
            <w:left w:val="none" w:sz="0" w:space="0" w:color="auto"/>
            <w:bottom w:val="none" w:sz="0" w:space="0" w:color="auto"/>
            <w:right w:val="none" w:sz="0" w:space="0" w:color="auto"/>
          </w:divBdr>
        </w:div>
        <w:div w:id="1688867068">
          <w:marLeft w:val="0"/>
          <w:marRight w:val="0"/>
          <w:marTop w:val="0"/>
          <w:marBottom w:val="0"/>
          <w:divBdr>
            <w:top w:val="none" w:sz="0" w:space="0" w:color="auto"/>
            <w:left w:val="none" w:sz="0" w:space="0" w:color="auto"/>
            <w:bottom w:val="none" w:sz="0" w:space="0" w:color="auto"/>
            <w:right w:val="none" w:sz="0" w:space="0" w:color="auto"/>
          </w:divBdr>
        </w:div>
        <w:div w:id="1694963362">
          <w:marLeft w:val="0"/>
          <w:marRight w:val="0"/>
          <w:marTop w:val="0"/>
          <w:marBottom w:val="0"/>
          <w:divBdr>
            <w:top w:val="none" w:sz="0" w:space="0" w:color="auto"/>
            <w:left w:val="none" w:sz="0" w:space="0" w:color="auto"/>
            <w:bottom w:val="none" w:sz="0" w:space="0" w:color="auto"/>
            <w:right w:val="none" w:sz="0" w:space="0" w:color="auto"/>
          </w:divBdr>
        </w:div>
        <w:div w:id="1703827533">
          <w:marLeft w:val="0"/>
          <w:marRight w:val="0"/>
          <w:marTop w:val="0"/>
          <w:marBottom w:val="0"/>
          <w:divBdr>
            <w:top w:val="none" w:sz="0" w:space="0" w:color="auto"/>
            <w:left w:val="none" w:sz="0" w:space="0" w:color="auto"/>
            <w:bottom w:val="none" w:sz="0" w:space="0" w:color="auto"/>
            <w:right w:val="none" w:sz="0" w:space="0" w:color="auto"/>
          </w:divBdr>
        </w:div>
        <w:div w:id="1705060131">
          <w:marLeft w:val="0"/>
          <w:marRight w:val="0"/>
          <w:marTop w:val="0"/>
          <w:marBottom w:val="0"/>
          <w:divBdr>
            <w:top w:val="none" w:sz="0" w:space="0" w:color="auto"/>
            <w:left w:val="none" w:sz="0" w:space="0" w:color="auto"/>
            <w:bottom w:val="none" w:sz="0" w:space="0" w:color="auto"/>
            <w:right w:val="none" w:sz="0" w:space="0" w:color="auto"/>
          </w:divBdr>
        </w:div>
        <w:div w:id="1710299622">
          <w:marLeft w:val="0"/>
          <w:marRight w:val="0"/>
          <w:marTop w:val="0"/>
          <w:marBottom w:val="0"/>
          <w:divBdr>
            <w:top w:val="none" w:sz="0" w:space="0" w:color="auto"/>
            <w:left w:val="none" w:sz="0" w:space="0" w:color="auto"/>
            <w:bottom w:val="none" w:sz="0" w:space="0" w:color="auto"/>
            <w:right w:val="none" w:sz="0" w:space="0" w:color="auto"/>
          </w:divBdr>
        </w:div>
        <w:div w:id="1713768358">
          <w:marLeft w:val="0"/>
          <w:marRight w:val="0"/>
          <w:marTop w:val="0"/>
          <w:marBottom w:val="0"/>
          <w:divBdr>
            <w:top w:val="none" w:sz="0" w:space="0" w:color="auto"/>
            <w:left w:val="none" w:sz="0" w:space="0" w:color="auto"/>
            <w:bottom w:val="none" w:sz="0" w:space="0" w:color="auto"/>
            <w:right w:val="none" w:sz="0" w:space="0" w:color="auto"/>
          </w:divBdr>
        </w:div>
        <w:div w:id="1730421324">
          <w:marLeft w:val="0"/>
          <w:marRight w:val="0"/>
          <w:marTop w:val="0"/>
          <w:marBottom w:val="0"/>
          <w:divBdr>
            <w:top w:val="none" w:sz="0" w:space="0" w:color="auto"/>
            <w:left w:val="none" w:sz="0" w:space="0" w:color="auto"/>
            <w:bottom w:val="none" w:sz="0" w:space="0" w:color="auto"/>
            <w:right w:val="none" w:sz="0" w:space="0" w:color="auto"/>
          </w:divBdr>
        </w:div>
        <w:div w:id="1735544330">
          <w:marLeft w:val="0"/>
          <w:marRight w:val="0"/>
          <w:marTop w:val="0"/>
          <w:marBottom w:val="0"/>
          <w:divBdr>
            <w:top w:val="none" w:sz="0" w:space="0" w:color="auto"/>
            <w:left w:val="none" w:sz="0" w:space="0" w:color="auto"/>
            <w:bottom w:val="none" w:sz="0" w:space="0" w:color="auto"/>
            <w:right w:val="none" w:sz="0" w:space="0" w:color="auto"/>
          </w:divBdr>
        </w:div>
        <w:div w:id="1748385053">
          <w:marLeft w:val="0"/>
          <w:marRight w:val="0"/>
          <w:marTop w:val="0"/>
          <w:marBottom w:val="0"/>
          <w:divBdr>
            <w:top w:val="none" w:sz="0" w:space="0" w:color="auto"/>
            <w:left w:val="none" w:sz="0" w:space="0" w:color="auto"/>
            <w:bottom w:val="none" w:sz="0" w:space="0" w:color="auto"/>
            <w:right w:val="none" w:sz="0" w:space="0" w:color="auto"/>
          </w:divBdr>
        </w:div>
        <w:div w:id="1769815827">
          <w:marLeft w:val="0"/>
          <w:marRight w:val="0"/>
          <w:marTop w:val="0"/>
          <w:marBottom w:val="0"/>
          <w:divBdr>
            <w:top w:val="none" w:sz="0" w:space="0" w:color="auto"/>
            <w:left w:val="none" w:sz="0" w:space="0" w:color="auto"/>
            <w:bottom w:val="none" w:sz="0" w:space="0" w:color="auto"/>
            <w:right w:val="none" w:sz="0" w:space="0" w:color="auto"/>
          </w:divBdr>
        </w:div>
        <w:div w:id="1772047509">
          <w:marLeft w:val="0"/>
          <w:marRight w:val="0"/>
          <w:marTop w:val="0"/>
          <w:marBottom w:val="0"/>
          <w:divBdr>
            <w:top w:val="none" w:sz="0" w:space="0" w:color="auto"/>
            <w:left w:val="none" w:sz="0" w:space="0" w:color="auto"/>
            <w:bottom w:val="none" w:sz="0" w:space="0" w:color="auto"/>
            <w:right w:val="none" w:sz="0" w:space="0" w:color="auto"/>
          </w:divBdr>
        </w:div>
        <w:div w:id="1792431291">
          <w:marLeft w:val="0"/>
          <w:marRight w:val="0"/>
          <w:marTop w:val="0"/>
          <w:marBottom w:val="0"/>
          <w:divBdr>
            <w:top w:val="none" w:sz="0" w:space="0" w:color="auto"/>
            <w:left w:val="none" w:sz="0" w:space="0" w:color="auto"/>
            <w:bottom w:val="none" w:sz="0" w:space="0" w:color="auto"/>
            <w:right w:val="none" w:sz="0" w:space="0" w:color="auto"/>
          </w:divBdr>
        </w:div>
        <w:div w:id="1812552474">
          <w:marLeft w:val="0"/>
          <w:marRight w:val="0"/>
          <w:marTop w:val="0"/>
          <w:marBottom w:val="0"/>
          <w:divBdr>
            <w:top w:val="none" w:sz="0" w:space="0" w:color="auto"/>
            <w:left w:val="none" w:sz="0" w:space="0" w:color="auto"/>
            <w:bottom w:val="none" w:sz="0" w:space="0" w:color="auto"/>
            <w:right w:val="none" w:sz="0" w:space="0" w:color="auto"/>
          </w:divBdr>
        </w:div>
        <w:div w:id="1815490684">
          <w:marLeft w:val="0"/>
          <w:marRight w:val="0"/>
          <w:marTop w:val="0"/>
          <w:marBottom w:val="0"/>
          <w:divBdr>
            <w:top w:val="none" w:sz="0" w:space="0" w:color="auto"/>
            <w:left w:val="none" w:sz="0" w:space="0" w:color="auto"/>
            <w:bottom w:val="none" w:sz="0" w:space="0" w:color="auto"/>
            <w:right w:val="none" w:sz="0" w:space="0" w:color="auto"/>
          </w:divBdr>
        </w:div>
        <w:div w:id="1824809414">
          <w:marLeft w:val="0"/>
          <w:marRight w:val="0"/>
          <w:marTop w:val="0"/>
          <w:marBottom w:val="0"/>
          <w:divBdr>
            <w:top w:val="none" w:sz="0" w:space="0" w:color="auto"/>
            <w:left w:val="none" w:sz="0" w:space="0" w:color="auto"/>
            <w:bottom w:val="none" w:sz="0" w:space="0" w:color="auto"/>
            <w:right w:val="none" w:sz="0" w:space="0" w:color="auto"/>
          </w:divBdr>
        </w:div>
        <w:div w:id="1846163471">
          <w:marLeft w:val="0"/>
          <w:marRight w:val="0"/>
          <w:marTop w:val="0"/>
          <w:marBottom w:val="0"/>
          <w:divBdr>
            <w:top w:val="none" w:sz="0" w:space="0" w:color="auto"/>
            <w:left w:val="none" w:sz="0" w:space="0" w:color="auto"/>
            <w:bottom w:val="none" w:sz="0" w:space="0" w:color="auto"/>
            <w:right w:val="none" w:sz="0" w:space="0" w:color="auto"/>
          </w:divBdr>
        </w:div>
        <w:div w:id="1857885527">
          <w:marLeft w:val="0"/>
          <w:marRight w:val="0"/>
          <w:marTop w:val="0"/>
          <w:marBottom w:val="0"/>
          <w:divBdr>
            <w:top w:val="none" w:sz="0" w:space="0" w:color="auto"/>
            <w:left w:val="none" w:sz="0" w:space="0" w:color="auto"/>
            <w:bottom w:val="none" w:sz="0" w:space="0" w:color="auto"/>
            <w:right w:val="none" w:sz="0" w:space="0" w:color="auto"/>
          </w:divBdr>
        </w:div>
        <w:div w:id="1873879623">
          <w:marLeft w:val="0"/>
          <w:marRight w:val="0"/>
          <w:marTop w:val="0"/>
          <w:marBottom w:val="0"/>
          <w:divBdr>
            <w:top w:val="none" w:sz="0" w:space="0" w:color="auto"/>
            <w:left w:val="none" w:sz="0" w:space="0" w:color="auto"/>
            <w:bottom w:val="none" w:sz="0" w:space="0" w:color="auto"/>
            <w:right w:val="none" w:sz="0" w:space="0" w:color="auto"/>
          </w:divBdr>
        </w:div>
        <w:div w:id="1876692469">
          <w:marLeft w:val="0"/>
          <w:marRight w:val="0"/>
          <w:marTop w:val="0"/>
          <w:marBottom w:val="0"/>
          <w:divBdr>
            <w:top w:val="none" w:sz="0" w:space="0" w:color="auto"/>
            <w:left w:val="none" w:sz="0" w:space="0" w:color="auto"/>
            <w:bottom w:val="none" w:sz="0" w:space="0" w:color="auto"/>
            <w:right w:val="none" w:sz="0" w:space="0" w:color="auto"/>
          </w:divBdr>
        </w:div>
        <w:div w:id="1888567272">
          <w:marLeft w:val="0"/>
          <w:marRight w:val="0"/>
          <w:marTop w:val="0"/>
          <w:marBottom w:val="0"/>
          <w:divBdr>
            <w:top w:val="none" w:sz="0" w:space="0" w:color="auto"/>
            <w:left w:val="none" w:sz="0" w:space="0" w:color="auto"/>
            <w:bottom w:val="none" w:sz="0" w:space="0" w:color="auto"/>
            <w:right w:val="none" w:sz="0" w:space="0" w:color="auto"/>
          </w:divBdr>
        </w:div>
        <w:div w:id="1903976512">
          <w:marLeft w:val="0"/>
          <w:marRight w:val="0"/>
          <w:marTop w:val="0"/>
          <w:marBottom w:val="0"/>
          <w:divBdr>
            <w:top w:val="none" w:sz="0" w:space="0" w:color="auto"/>
            <w:left w:val="none" w:sz="0" w:space="0" w:color="auto"/>
            <w:bottom w:val="none" w:sz="0" w:space="0" w:color="auto"/>
            <w:right w:val="none" w:sz="0" w:space="0" w:color="auto"/>
          </w:divBdr>
        </w:div>
        <w:div w:id="1926063144">
          <w:marLeft w:val="0"/>
          <w:marRight w:val="0"/>
          <w:marTop w:val="0"/>
          <w:marBottom w:val="0"/>
          <w:divBdr>
            <w:top w:val="none" w:sz="0" w:space="0" w:color="auto"/>
            <w:left w:val="none" w:sz="0" w:space="0" w:color="auto"/>
            <w:bottom w:val="none" w:sz="0" w:space="0" w:color="auto"/>
            <w:right w:val="none" w:sz="0" w:space="0" w:color="auto"/>
          </w:divBdr>
        </w:div>
        <w:div w:id="1928229766">
          <w:marLeft w:val="0"/>
          <w:marRight w:val="0"/>
          <w:marTop w:val="0"/>
          <w:marBottom w:val="0"/>
          <w:divBdr>
            <w:top w:val="none" w:sz="0" w:space="0" w:color="auto"/>
            <w:left w:val="none" w:sz="0" w:space="0" w:color="auto"/>
            <w:bottom w:val="none" w:sz="0" w:space="0" w:color="auto"/>
            <w:right w:val="none" w:sz="0" w:space="0" w:color="auto"/>
          </w:divBdr>
        </w:div>
        <w:div w:id="1936399882">
          <w:marLeft w:val="0"/>
          <w:marRight w:val="0"/>
          <w:marTop w:val="0"/>
          <w:marBottom w:val="0"/>
          <w:divBdr>
            <w:top w:val="none" w:sz="0" w:space="0" w:color="auto"/>
            <w:left w:val="none" w:sz="0" w:space="0" w:color="auto"/>
            <w:bottom w:val="none" w:sz="0" w:space="0" w:color="auto"/>
            <w:right w:val="none" w:sz="0" w:space="0" w:color="auto"/>
          </w:divBdr>
        </w:div>
        <w:div w:id="1940673996">
          <w:marLeft w:val="0"/>
          <w:marRight w:val="0"/>
          <w:marTop w:val="0"/>
          <w:marBottom w:val="0"/>
          <w:divBdr>
            <w:top w:val="none" w:sz="0" w:space="0" w:color="auto"/>
            <w:left w:val="none" w:sz="0" w:space="0" w:color="auto"/>
            <w:bottom w:val="none" w:sz="0" w:space="0" w:color="auto"/>
            <w:right w:val="none" w:sz="0" w:space="0" w:color="auto"/>
          </w:divBdr>
        </w:div>
        <w:div w:id="1947350409">
          <w:marLeft w:val="0"/>
          <w:marRight w:val="0"/>
          <w:marTop w:val="0"/>
          <w:marBottom w:val="0"/>
          <w:divBdr>
            <w:top w:val="none" w:sz="0" w:space="0" w:color="auto"/>
            <w:left w:val="none" w:sz="0" w:space="0" w:color="auto"/>
            <w:bottom w:val="none" w:sz="0" w:space="0" w:color="auto"/>
            <w:right w:val="none" w:sz="0" w:space="0" w:color="auto"/>
          </w:divBdr>
        </w:div>
        <w:div w:id="1951431634">
          <w:marLeft w:val="0"/>
          <w:marRight w:val="0"/>
          <w:marTop w:val="0"/>
          <w:marBottom w:val="0"/>
          <w:divBdr>
            <w:top w:val="none" w:sz="0" w:space="0" w:color="auto"/>
            <w:left w:val="none" w:sz="0" w:space="0" w:color="auto"/>
            <w:bottom w:val="none" w:sz="0" w:space="0" w:color="auto"/>
            <w:right w:val="none" w:sz="0" w:space="0" w:color="auto"/>
          </w:divBdr>
        </w:div>
        <w:div w:id="1954896989">
          <w:marLeft w:val="0"/>
          <w:marRight w:val="0"/>
          <w:marTop w:val="0"/>
          <w:marBottom w:val="0"/>
          <w:divBdr>
            <w:top w:val="none" w:sz="0" w:space="0" w:color="auto"/>
            <w:left w:val="none" w:sz="0" w:space="0" w:color="auto"/>
            <w:bottom w:val="none" w:sz="0" w:space="0" w:color="auto"/>
            <w:right w:val="none" w:sz="0" w:space="0" w:color="auto"/>
          </w:divBdr>
        </w:div>
        <w:div w:id="1963996498">
          <w:marLeft w:val="0"/>
          <w:marRight w:val="0"/>
          <w:marTop w:val="0"/>
          <w:marBottom w:val="0"/>
          <w:divBdr>
            <w:top w:val="none" w:sz="0" w:space="0" w:color="auto"/>
            <w:left w:val="none" w:sz="0" w:space="0" w:color="auto"/>
            <w:bottom w:val="none" w:sz="0" w:space="0" w:color="auto"/>
            <w:right w:val="none" w:sz="0" w:space="0" w:color="auto"/>
          </w:divBdr>
        </w:div>
        <w:div w:id="1972206159">
          <w:marLeft w:val="0"/>
          <w:marRight w:val="0"/>
          <w:marTop w:val="0"/>
          <w:marBottom w:val="0"/>
          <w:divBdr>
            <w:top w:val="none" w:sz="0" w:space="0" w:color="auto"/>
            <w:left w:val="none" w:sz="0" w:space="0" w:color="auto"/>
            <w:bottom w:val="none" w:sz="0" w:space="0" w:color="auto"/>
            <w:right w:val="none" w:sz="0" w:space="0" w:color="auto"/>
          </w:divBdr>
        </w:div>
        <w:div w:id="1987121271">
          <w:marLeft w:val="0"/>
          <w:marRight w:val="0"/>
          <w:marTop w:val="0"/>
          <w:marBottom w:val="0"/>
          <w:divBdr>
            <w:top w:val="none" w:sz="0" w:space="0" w:color="auto"/>
            <w:left w:val="none" w:sz="0" w:space="0" w:color="auto"/>
            <w:bottom w:val="none" w:sz="0" w:space="0" w:color="auto"/>
            <w:right w:val="none" w:sz="0" w:space="0" w:color="auto"/>
          </w:divBdr>
        </w:div>
        <w:div w:id="1989165213">
          <w:marLeft w:val="0"/>
          <w:marRight w:val="0"/>
          <w:marTop w:val="0"/>
          <w:marBottom w:val="0"/>
          <w:divBdr>
            <w:top w:val="none" w:sz="0" w:space="0" w:color="auto"/>
            <w:left w:val="none" w:sz="0" w:space="0" w:color="auto"/>
            <w:bottom w:val="none" w:sz="0" w:space="0" w:color="auto"/>
            <w:right w:val="none" w:sz="0" w:space="0" w:color="auto"/>
          </w:divBdr>
        </w:div>
        <w:div w:id="1989942185">
          <w:marLeft w:val="0"/>
          <w:marRight w:val="0"/>
          <w:marTop w:val="0"/>
          <w:marBottom w:val="0"/>
          <w:divBdr>
            <w:top w:val="none" w:sz="0" w:space="0" w:color="auto"/>
            <w:left w:val="none" w:sz="0" w:space="0" w:color="auto"/>
            <w:bottom w:val="none" w:sz="0" w:space="0" w:color="auto"/>
            <w:right w:val="none" w:sz="0" w:space="0" w:color="auto"/>
          </w:divBdr>
        </w:div>
        <w:div w:id="1994984511">
          <w:marLeft w:val="0"/>
          <w:marRight w:val="0"/>
          <w:marTop w:val="0"/>
          <w:marBottom w:val="0"/>
          <w:divBdr>
            <w:top w:val="none" w:sz="0" w:space="0" w:color="auto"/>
            <w:left w:val="none" w:sz="0" w:space="0" w:color="auto"/>
            <w:bottom w:val="none" w:sz="0" w:space="0" w:color="auto"/>
            <w:right w:val="none" w:sz="0" w:space="0" w:color="auto"/>
          </w:divBdr>
        </w:div>
        <w:div w:id="1997763913">
          <w:marLeft w:val="0"/>
          <w:marRight w:val="0"/>
          <w:marTop w:val="0"/>
          <w:marBottom w:val="0"/>
          <w:divBdr>
            <w:top w:val="none" w:sz="0" w:space="0" w:color="auto"/>
            <w:left w:val="none" w:sz="0" w:space="0" w:color="auto"/>
            <w:bottom w:val="none" w:sz="0" w:space="0" w:color="auto"/>
            <w:right w:val="none" w:sz="0" w:space="0" w:color="auto"/>
          </w:divBdr>
        </w:div>
        <w:div w:id="1998147670">
          <w:marLeft w:val="0"/>
          <w:marRight w:val="0"/>
          <w:marTop w:val="0"/>
          <w:marBottom w:val="0"/>
          <w:divBdr>
            <w:top w:val="none" w:sz="0" w:space="0" w:color="auto"/>
            <w:left w:val="none" w:sz="0" w:space="0" w:color="auto"/>
            <w:bottom w:val="none" w:sz="0" w:space="0" w:color="auto"/>
            <w:right w:val="none" w:sz="0" w:space="0" w:color="auto"/>
          </w:divBdr>
        </w:div>
        <w:div w:id="1999268307">
          <w:marLeft w:val="0"/>
          <w:marRight w:val="0"/>
          <w:marTop w:val="0"/>
          <w:marBottom w:val="0"/>
          <w:divBdr>
            <w:top w:val="none" w:sz="0" w:space="0" w:color="auto"/>
            <w:left w:val="none" w:sz="0" w:space="0" w:color="auto"/>
            <w:bottom w:val="none" w:sz="0" w:space="0" w:color="auto"/>
            <w:right w:val="none" w:sz="0" w:space="0" w:color="auto"/>
          </w:divBdr>
        </w:div>
        <w:div w:id="2026445964">
          <w:marLeft w:val="0"/>
          <w:marRight w:val="0"/>
          <w:marTop w:val="0"/>
          <w:marBottom w:val="0"/>
          <w:divBdr>
            <w:top w:val="none" w:sz="0" w:space="0" w:color="auto"/>
            <w:left w:val="none" w:sz="0" w:space="0" w:color="auto"/>
            <w:bottom w:val="none" w:sz="0" w:space="0" w:color="auto"/>
            <w:right w:val="none" w:sz="0" w:space="0" w:color="auto"/>
          </w:divBdr>
        </w:div>
        <w:div w:id="2027057332">
          <w:marLeft w:val="0"/>
          <w:marRight w:val="0"/>
          <w:marTop w:val="0"/>
          <w:marBottom w:val="0"/>
          <w:divBdr>
            <w:top w:val="none" w:sz="0" w:space="0" w:color="auto"/>
            <w:left w:val="none" w:sz="0" w:space="0" w:color="auto"/>
            <w:bottom w:val="none" w:sz="0" w:space="0" w:color="auto"/>
            <w:right w:val="none" w:sz="0" w:space="0" w:color="auto"/>
          </w:divBdr>
        </w:div>
        <w:div w:id="2028090892">
          <w:marLeft w:val="0"/>
          <w:marRight w:val="0"/>
          <w:marTop w:val="0"/>
          <w:marBottom w:val="0"/>
          <w:divBdr>
            <w:top w:val="none" w:sz="0" w:space="0" w:color="auto"/>
            <w:left w:val="none" w:sz="0" w:space="0" w:color="auto"/>
            <w:bottom w:val="none" w:sz="0" w:space="0" w:color="auto"/>
            <w:right w:val="none" w:sz="0" w:space="0" w:color="auto"/>
          </w:divBdr>
        </w:div>
        <w:div w:id="2029942967">
          <w:marLeft w:val="0"/>
          <w:marRight w:val="0"/>
          <w:marTop w:val="0"/>
          <w:marBottom w:val="0"/>
          <w:divBdr>
            <w:top w:val="none" w:sz="0" w:space="0" w:color="auto"/>
            <w:left w:val="none" w:sz="0" w:space="0" w:color="auto"/>
            <w:bottom w:val="none" w:sz="0" w:space="0" w:color="auto"/>
            <w:right w:val="none" w:sz="0" w:space="0" w:color="auto"/>
          </w:divBdr>
        </w:div>
        <w:div w:id="2038968201">
          <w:marLeft w:val="0"/>
          <w:marRight w:val="0"/>
          <w:marTop w:val="0"/>
          <w:marBottom w:val="0"/>
          <w:divBdr>
            <w:top w:val="none" w:sz="0" w:space="0" w:color="auto"/>
            <w:left w:val="none" w:sz="0" w:space="0" w:color="auto"/>
            <w:bottom w:val="none" w:sz="0" w:space="0" w:color="auto"/>
            <w:right w:val="none" w:sz="0" w:space="0" w:color="auto"/>
          </w:divBdr>
        </w:div>
        <w:div w:id="2039814750">
          <w:marLeft w:val="0"/>
          <w:marRight w:val="0"/>
          <w:marTop w:val="0"/>
          <w:marBottom w:val="0"/>
          <w:divBdr>
            <w:top w:val="none" w:sz="0" w:space="0" w:color="auto"/>
            <w:left w:val="none" w:sz="0" w:space="0" w:color="auto"/>
            <w:bottom w:val="none" w:sz="0" w:space="0" w:color="auto"/>
            <w:right w:val="none" w:sz="0" w:space="0" w:color="auto"/>
          </w:divBdr>
        </w:div>
        <w:div w:id="2042628909">
          <w:marLeft w:val="0"/>
          <w:marRight w:val="0"/>
          <w:marTop w:val="0"/>
          <w:marBottom w:val="0"/>
          <w:divBdr>
            <w:top w:val="none" w:sz="0" w:space="0" w:color="auto"/>
            <w:left w:val="none" w:sz="0" w:space="0" w:color="auto"/>
            <w:bottom w:val="none" w:sz="0" w:space="0" w:color="auto"/>
            <w:right w:val="none" w:sz="0" w:space="0" w:color="auto"/>
          </w:divBdr>
        </w:div>
        <w:div w:id="2053381317">
          <w:marLeft w:val="0"/>
          <w:marRight w:val="0"/>
          <w:marTop w:val="0"/>
          <w:marBottom w:val="0"/>
          <w:divBdr>
            <w:top w:val="none" w:sz="0" w:space="0" w:color="auto"/>
            <w:left w:val="none" w:sz="0" w:space="0" w:color="auto"/>
            <w:bottom w:val="none" w:sz="0" w:space="0" w:color="auto"/>
            <w:right w:val="none" w:sz="0" w:space="0" w:color="auto"/>
          </w:divBdr>
        </w:div>
        <w:div w:id="2056193277">
          <w:marLeft w:val="0"/>
          <w:marRight w:val="0"/>
          <w:marTop w:val="0"/>
          <w:marBottom w:val="0"/>
          <w:divBdr>
            <w:top w:val="none" w:sz="0" w:space="0" w:color="auto"/>
            <w:left w:val="none" w:sz="0" w:space="0" w:color="auto"/>
            <w:bottom w:val="none" w:sz="0" w:space="0" w:color="auto"/>
            <w:right w:val="none" w:sz="0" w:space="0" w:color="auto"/>
          </w:divBdr>
        </w:div>
        <w:div w:id="2062096776">
          <w:marLeft w:val="0"/>
          <w:marRight w:val="0"/>
          <w:marTop w:val="0"/>
          <w:marBottom w:val="0"/>
          <w:divBdr>
            <w:top w:val="none" w:sz="0" w:space="0" w:color="auto"/>
            <w:left w:val="none" w:sz="0" w:space="0" w:color="auto"/>
            <w:bottom w:val="none" w:sz="0" w:space="0" w:color="auto"/>
            <w:right w:val="none" w:sz="0" w:space="0" w:color="auto"/>
          </w:divBdr>
        </w:div>
        <w:div w:id="2068186321">
          <w:marLeft w:val="0"/>
          <w:marRight w:val="0"/>
          <w:marTop w:val="0"/>
          <w:marBottom w:val="0"/>
          <w:divBdr>
            <w:top w:val="none" w:sz="0" w:space="0" w:color="auto"/>
            <w:left w:val="none" w:sz="0" w:space="0" w:color="auto"/>
            <w:bottom w:val="none" w:sz="0" w:space="0" w:color="auto"/>
            <w:right w:val="none" w:sz="0" w:space="0" w:color="auto"/>
          </w:divBdr>
        </w:div>
        <w:div w:id="2082016607">
          <w:marLeft w:val="0"/>
          <w:marRight w:val="0"/>
          <w:marTop w:val="0"/>
          <w:marBottom w:val="0"/>
          <w:divBdr>
            <w:top w:val="none" w:sz="0" w:space="0" w:color="auto"/>
            <w:left w:val="none" w:sz="0" w:space="0" w:color="auto"/>
            <w:bottom w:val="none" w:sz="0" w:space="0" w:color="auto"/>
            <w:right w:val="none" w:sz="0" w:space="0" w:color="auto"/>
          </w:divBdr>
        </w:div>
        <w:div w:id="2094430001">
          <w:marLeft w:val="0"/>
          <w:marRight w:val="0"/>
          <w:marTop w:val="0"/>
          <w:marBottom w:val="0"/>
          <w:divBdr>
            <w:top w:val="none" w:sz="0" w:space="0" w:color="auto"/>
            <w:left w:val="none" w:sz="0" w:space="0" w:color="auto"/>
            <w:bottom w:val="none" w:sz="0" w:space="0" w:color="auto"/>
            <w:right w:val="none" w:sz="0" w:space="0" w:color="auto"/>
          </w:divBdr>
        </w:div>
        <w:div w:id="2098092964">
          <w:marLeft w:val="0"/>
          <w:marRight w:val="0"/>
          <w:marTop w:val="0"/>
          <w:marBottom w:val="0"/>
          <w:divBdr>
            <w:top w:val="none" w:sz="0" w:space="0" w:color="auto"/>
            <w:left w:val="none" w:sz="0" w:space="0" w:color="auto"/>
            <w:bottom w:val="none" w:sz="0" w:space="0" w:color="auto"/>
            <w:right w:val="none" w:sz="0" w:space="0" w:color="auto"/>
          </w:divBdr>
        </w:div>
        <w:div w:id="2101096973">
          <w:marLeft w:val="0"/>
          <w:marRight w:val="0"/>
          <w:marTop w:val="0"/>
          <w:marBottom w:val="0"/>
          <w:divBdr>
            <w:top w:val="none" w:sz="0" w:space="0" w:color="auto"/>
            <w:left w:val="none" w:sz="0" w:space="0" w:color="auto"/>
            <w:bottom w:val="none" w:sz="0" w:space="0" w:color="auto"/>
            <w:right w:val="none" w:sz="0" w:space="0" w:color="auto"/>
          </w:divBdr>
        </w:div>
        <w:div w:id="2105682450">
          <w:marLeft w:val="0"/>
          <w:marRight w:val="0"/>
          <w:marTop w:val="0"/>
          <w:marBottom w:val="0"/>
          <w:divBdr>
            <w:top w:val="none" w:sz="0" w:space="0" w:color="auto"/>
            <w:left w:val="none" w:sz="0" w:space="0" w:color="auto"/>
            <w:bottom w:val="none" w:sz="0" w:space="0" w:color="auto"/>
            <w:right w:val="none" w:sz="0" w:space="0" w:color="auto"/>
          </w:divBdr>
        </w:div>
        <w:div w:id="2111269546">
          <w:marLeft w:val="0"/>
          <w:marRight w:val="0"/>
          <w:marTop w:val="0"/>
          <w:marBottom w:val="0"/>
          <w:divBdr>
            <w:top w:val="none" w:sz="0" w:space="0" w:color="auto"/>
            <w:left w:val="none" w:sz="0" w:space="0" w:color="auto"/>
            <w:bottom w:val="none" w:sz="0" w:space="0" w:color="auto"/>
            <w:right w:val="none" w:sz="0" w:space="0" w:color="auto"/>
          </w:divBdr>
        </w:div>
        <w:div w:id="2111386822">
          <w:marLeft w:val="0"/>
          <w:marRight w:val="0"/>
          <w:marTop w:val="0"/>
          <w:marBottom w:val="0"/>
          <w:divBdr>
            <w:top w:val="none" w:sz="0" w:space="0" w:color="auto"/>
            <w:left w:val="none" w:sz="0" w:space="0" w:color="auto"/>
            <w:bottom w:val="none" w:sz="0" w:space="0" w:color="auto"/>
            <w:right w:val="none" w:sz="0" w:space="0" w:color="auto"/>
          </w:divBdr>
        </w:div>
        <w:div w:id="2111969636">
          <w:marLeft w:val="0"/>
          <w:marRight w:val="0"/>
          <w:marTop w:val="0"/>
          <w:marBottom w:val="0"/>
          <w:divBdr>
            <w:top w:val="none" w:sz="0" w:space="0" w:color="auto"/>
            <w:left w:val="none" w:sz="0" w:space="0" w:color="auto"/>
            <w:bottom w:val="none" w:sz="0" w:space="0" w:color="auto"/>
            <w:right w:val="none" w:sz="0" w:space="0" w:color="auto"/>
          </w:divBdr>
        </w:div>
        <w:div w:id="2116510057">
          <w:marLeft w:val="0"/>
          <w:marRight w:val="0"/>
          <w:marTop w:val="0"/>
          <w:marBottom w:val="0"/>
          <w:divBdr>
            <w:top w:val="none" w:sz="0" w:space="0" w:color="auto"/>
            <w:left w:val="none" w:sz="0" w:space="0" w:color="auto"/>
            <w:bottom w:val="none" w:sz="0" w:space="0" w:color="auto"/>
            <w:right w:val="none" w:sz="0" w:space="0" w:color="auto"/>
          </w:divBdr>
        </w:div>
        <w:div w:id="2135638245">
          <w:marLeft w:val="0"/>
          <w:marRight w:val="0"/>
          <w:marTop w:val="0"/>
          <w:marBottom w:val="0"/>
          <w:divBdr>
            <w:top w:val="none" w:sz="0" w:space="0" w:color="auto"/>
            <w:left w:val="none" w:sz="0" w:space="0" w:color="auto"/>
            <w:bottom w:val="none" w:sz="0" w:space="0" w:color="auto"/>
            <w:right w:val="none" w:sz="0" w:space="0" w:color="auto"/>
          </w:divBdr>
        </w:div>
        <w:div w:id="2139714194">
          <w:marLeft w:val="0"/>
          <w:marRight w:val="0"/>
          <w:marTop w:val="0"/>
          <w:marBottom w:val="0"/>
          <w:divBdr>
            <w:top w:val="none" w:sz="0" w:space="0" w:color="auto"/>
            <w:left w:val="none" w:sz="0" w:space="0" w:color="auto"/>
            <w:bottom w:val="none" w:sz="0" w:space="0" w:color="auto"/>
            <w:right w:val="none" w:sz="0" w:space="0" w:color="auto"/>
          </w:divBdr>
        </w:div>
        <w:div w:id="2139762883">
          <w:marLeft w:val="0"/>
          <w:marRight w:val="0"/>
          <w:marTop w:val="0"/>
          <w:marBottom w:val="0"/>
          <w:divBdr>
            <w:top w:val="none" w:sz="0" w:space="0" w:color="auto"/>
            <w:left w:val="none" w:sz="0" w:space="0" w:color="auto"/>
            <w:bottom w:val="none" w:sz="0" w:space="0" w:color="auto"/>
            <w:right w:val="none" w:sz="0" w:space="0" w:color="auto"/>
          </w:divBdr>
        </w:div>
        <w:div w:id="2141219306">
          <w:marLeft w:val="0"/>
          <w:marRight w:val="0"/>
          <w:marTop w:val="0"/>
          <w:marBottom w:val="0"/>
          <w:divBdr>
            <w:top w:val="none" w:sz="0" w:space="0" w:color="auto"/>
            <w:left w:val="none" w:sz="0" w:space="0" w:color="auto"/>
            <w:bottom w:val="none" w:sz="0" w:space="0" w:color="auto"/>
            <w:right w:val="none" w:sz="0" w:space="0" w:color="auto"/>
          </w:divBdr>
        </w:div>
        <w:div w:id="2143383789">
          <w:marLeft w:val="0"/>
          <w:marRight w:val="0"/>
          <w:marTop w:val="0"/>
          <w:marBottom w:val="0"/>
          <w:divBdr>
            <w:top w:val="none" w:sz="0" w:space="0" w:color="auto"/>
            <w:left w:val="none" w:sz="0" w:space="0" w:color="auto"/>
            <w:bottom w:val="none" w:sz="0" w:space="0" w:color="auto"/>
            <w:right w:val="none" w:sz="0" w:space="0" w:color="auto"/>
          </w:divBdr>
        </w:div>
      </w:divsChild>
    </w:div>
    <w:div w:id="1937471334">
      <w:bodyDiv w:val="1"/>
      <w:marLeft w:val="0"/>
      <w:marRight w:val="0"/>
      <w:marTop w:val="0"/>
      <w:marBottom w:val="0"/>
      <w:divBdr>
        <w:top w:val="none" w:sz="0" w:space="0" w:color="auto"/>
        <w:left w:val="none" w:sz="0" w:space="0" w:color="auto"/>
        <w:bottom w:val="none" w:sz="0" w:space="0" w:color="auto"/>
        <w:right w:val="none" w:sz="0" w:space="0" w:color="auto"/>
      </w:divBdr>
      <w:divsChild>
        <w:div w:id="1509178088">
          <w:marLeft w:val="0"/>
          <w:marRight w:val="0"/>
          <w:marTop w:val="0"/>
          <w:marBottom w:val="0"/>
          <w:divBdr>
            <w:top w:val="none" w:sz="0" w:space="0" w:color="auto"/>
            <w:left w:val="none" w:sz="0" w:space="0" w:color="auto"/>
            <w:bottom w:val="none" w:sz="0" w:space="0" w:color="auto"/>
            <w:right w:val="none" w:sz="0" w:space="0" w:color="auto"/>
          </w:divBdr>
          <w:divsChild>
            <w:div w:id="256905743">
              <w:marLeft w:val="0"/>
              <w:marRight w:val="0"/>
              <w:marTop w:val="0"/>
              <w:marBottom w:val="0"/>
              <w:divBdr>
                <w:top w:val="none" w:sz="0" w:space="0" w:color="auto"/>
                <w:left w:val="none" w:sz="0" w:space="0" w:color="auto"/>
                <w:bottom w:val="none" w:sz="0" w:space="0" w:color="auto"/>
                <w:right w:val="none" w:sz="0" w:space="0" w:color="auto"/>
              </w:divBdr>
            </w:div>
            <w:div w:id="118883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226">
      <w:bodyDiv w:val="1"/>
      <w:marLeft w:val="0"/>
      <w:marRight w:val="0"/>
      <w:marTop w:val="0"/>
      <w:marBottom w:val="0"/>
      <w:divBdr>
        <w:top w:val="none" w:sz="0" w:space="0" w:color="auto"/>
        <w:left w:val="none" w:sz="0" w:space="0" w:color="auto"/>
        <w:bottom w:val="none" w:sz="0" w:space="0" w:color="auto"/>
        <w:right w:val="none" w:sz="0" w:space="0" w:color="auto"/>
      </w:divBdr>
      <w:divsChild>
        <w:div w:id="1712068382">
          <w:marLeft w:val="0"/>
          <w:marRight w:val="0"/>
          <w:marTop w:val="0"/>
          <w:marBottom w:val="0"/>
          <w:divBdr>
            <w:top w:val="none" w:sz="0" w:space="0" w:color="auto"/>
            <w:left w:val="none" w:sz="0" w:space="0" w:color="auto"/>
            <w:bottom w:val="none" w:sz="0" w:space="0" w:color="auto"/>
            <w:right w:val="none" w:sz="0" w:space="0" w:color="auto"/>
          </w:divBdr>
        </w:div>
      </w:divsChild>
    </w:div>
    <w:div w:id="1993409532">
      <w:bodyDiv w:val="1"/>
      <w:marLeft w:val="0"/>
      <w:marRight w:val="0"/>
      <w:marTop w:val="0"/>
      <w:marBottom w:val="0"/>
      <w:divBdr>
        <w:top w:val="none" w:sz="0" w:space="0" w:color="auto"/>
        <w:left w:val="none" w:sz="0" w:space="0" w:color="auto"/>
        <w:bottom w:val="none" w:sz="0" w:space="0" w:color="auto"/>
        <w:right w:val="none" w:sz="0" w:space="0" w:color="auto"/>
      </w:divBdr>
      <w:divsChild>
        <w:div w:id="606697243">
          <w:marLeft w:val="0"/>
          <w:marRight w:val="0"/>
          <w:marTop w:val="0"/>
          <w:marBottom w:val="0"/>
          <w:divBdr>
            <w:top w:val="none" w:sz="0" w:space="0" w:color="auto"/>
            <w:left w:val="none" w:sz="0" w:space="0" w:color="auto"/>
            <w:bottom w:val="none" w:sz="0" w:space="0" w:color="auto"/>
            <w:right w:val="none" w:sz="0" w:space="0" w:color="auto"/>
          </w:divBdr>
          <w:divsChild>
            <w:div w:id="900292450">
              <w:marLeft w:val="0"/>
              <w:marRight w:val="0"/>
              <w:marTop w:val="0"/>
              <w:marBottom w:val="0"/>
              <w:divBdr>
                <w:top w:val="none" w:sz="0" w:space="0" w:color="auto"/>
                <w:left w:val="none" w:sz="0" w:space="0" w:color="auto"/>
                <w:bottom w:val="none" w:sz="0" w:space="0" w:color="auto"/>
                <w:right w:val="none" w:sz="0" w:space="0" w:color="auto"/>
              </w:divBdr>
            </w:div>
            <w:div w:id="16435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6893">
      <w:bodyDiv w:val="1"/>
      <w:marLeft w:val="0"/>
      <w:marRight w:val="0"/>
      <w:marTop w:val="0"/>
      <w:marBottom w:val="0"/>
      <w:divBdr>
        <w:top w:val="none" w:sz="0" w:space="0" w:color="auto"/>
        <w:left w:val="none" w:sz="0" w:space="0" w:color="auto"/>
        <w:bottom w:val="none" w:sz="0" w:space="0" w:color="auto"/>
        <w:right w:val="none" w:sz="0" w:space="0" w:color="auto"/>
      </w:divBdr>
      <w:divsChild>
        <w:div w:id="2027751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536271208\AppData\Roaming\CM_Tools\Templates\WordTemplates\A4\RBCCM\Memo.dotx" TargetMode="External"/></Relationships>
</file>

<file path=word/theme/theme1.xml><?xml version="1.0" encoding="utf-8"?>
<a:theme xmlns:a="http://schemas.openxmlformats.org/drawingml/2006/main" name="NewRBCPresentationToolsThemeFileFromWord">
  <a:themeElements>
    <a:clrScheme name="Custom 1">
      <a:dk1>
        <a:srgbClr val="000000"/>
      </a:dk1>
      <a:lt1>
        <a:srgbClr val="FFFFFF"/>
      </a:lt1>
      <a:dk2>
        <a:srgbClr val="002750"/>
      </a:dk2>
      <a:lt2>
        <a:srgbClr val="ADC2D2"/>
      </a:lt2>
      <a:accent1>
        <a:srgbClr val="002750"/>
      </a:accent1>
      <a:accent2>
        <a:srgbClr val="0051A5"/>
      </a:accent2>
      <a:accent3>
        <a:srgbClr val="6AADE4"/>
      </a:accent3>
      <a:accent4>
        <a:srgbClr val="FFD200"/>
      </a:accent4>
      <a:accent5>
        <a:srgbClr val="8499A6"/>
      </a:accent5>
      <a:accent6>
        <a:srgbClr val="9D8954"/>
      </a:accent6>
      <a:hlink>
        <a:srgbClr val="0051A5"/>
      </a:hlink>
      <a:folHlink>
        <a:srgbClr val="008FFA"/>
      </a:folHlink>
    </a:clrScheme>
    <a:fontScheme name="RBCCM_2014_Landscape">
      <a:majorFont>
        <a:latin typeface="Arial"/>
        <a:ea typeface="Geneva"/>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EBF0F5"/>
        </a:solidFill>
        <a:ln>
          <a:noFill/>
        </a:ln>
        <a:effectLst/>
        <a:extLst>
          <a:ext uri="{91240B29-F687-4F45-9708-019B960494DF}">
            <a14:hiddenLine xmlns:a14="http://schemas.microsoft.com/office/drawing/2010/main" w="9525" cap="flat" cmpd="sng" algn="ctr">
              <a:solidFill>
                <a:srgbClr val="000000"/>
              </a:solidFill>
              <a:prstDash val="solid"/>
              <a:round/>
              <a:headEnd type="none" w="med" len="med"/>
              <a:tailEnd type="none" w="med" len="med"/>
            </a14:hiddenLine>
          </a:ext>
          <a:ext uri="{AF507438-7753-43E0-B8FC-AC1667EBCBE1}">
            <a14:hiddenEffects xmlns:a14="http://schemas.microsoft.com/office/drawing/2010/main">
              <a:effectLst>
                <a:outerShdw dist="35921" dir="2700000" algn="ctr" rotWithShape="0">
                  <a:srgbClr val="808080"/>
                </a:outerShdw>
              </a:effectLst>
            </a14:hiddenEffects>
          </a:ext>
        </a:ex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defPPr marL="0" marR="0" indent="0" algn="l" defTabSz="511175" rtl="0" eaLnBrk="1" fontAlgn="base" latinLnBrk="0" hangingPunct="1">
          <a:lnSpc>
            <a:spcPct val="100000"/>
          </a:lnSpc>
          <a:spcBef>
            <a:spcPct val="0"/>
          </a:spcBef>
          <a:spcAft>
            <a:spcPct val="0"/>
          </a:spcAft>
          <a:buClrTx/>
          <a:buSzTx/>
          <a:buFontTx/>
          <a:buNone/>
          <a:tabLst/>
          <a:defRPr kumimoji="0" sz="1000" i="0" u="none" strike="noStrike" cap="none" normalizeH="0" baseline="0" smtClean="0">
            <a:ln>
              <a:noFill/>
            </a:ln>
            <a:solidFill>
              <a:srgbClr val="000000"/>
            </a:solidFill>
            <a:effectLst/>
            <a:latin typeface="Arial" panose="020B0604020202020204" pitchFamily="34" charset="0"/>
            <a:ea typeface="Geneva" pitchFamily="1" charset="-128"/>
          </a:defRPr>
        </a:defPPr>
      </a:lstStyle>
    </a:spDef>
    <a:lnDef>
      <a:spPr bwMode="auto">
        <a:noFill/>
        <a:ln w="9525" cap="flat" cmpd="sng" algn="ctr">
          <a:solidFill>
            <a:srgbClr val="000000"/>
          </a:solidFill>
          <a:prstDash val="solid"/>
          <a:round/>
          <a:headEnd type="none" w="med" len="med"/>
          <a:tailEnd type="none" w="med" len="me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a:spPr>
      <a:bodyPr/>
      <a:lstStyle/>
    </a:lnDef>
    <a:txDef>
      <a:spPr>
        <a:noFill/>
        <a:extLst>
          <a:ext uri="{909E8E84-426E-40DD-AFC4-6F175D3DCCD1}">
            <a14:hiddenFill xmlns:a14="http://schemas.microsoft.com/office/drawing/2010/main">
              <a:solidFill>
                <a:srgbClr val="EBF0F5"/>
              </a:solidFill>
            </a14:hiddenFill>
          </a:ext>
        </a:extLst>
      </a:spPr>
      <a:bodyPr vert="horz" wrap="square" rtlCol="0">
        <a:noAutofit/>
      </a:bodyPr>
      <a:lstStyle>
        <a:defPPr algn="l">
          <a:defRPr sz="1000" dirty="0" smtClean="0">
            <a:solidFill>
              <a:srgbClr val="000000"/>
            </a:solidFill>
            <a:latin typeface="Arial" panose="020B0604020202020204" pitchFamily="34" charset="0"/>
          </a:defRPr>
        </a:defPPr>
      </a:lstStyle>
    </a:txDef>
  </a:objectDefaults>
  <a:extraClrSchemeLst>
    <a:extraClrScheme>
      <a:clrScheme name="RBCCM_2014_Landscape 1">
        <a:dk1>
          <a:srgbClr val="000000"/>
        </a:dk1>
        <a:lt1>
          <a:srgbClr val="FFFFFF"/>
        </a:lt1>
        <a:dk2>
          <a:srgbClr val="003263"/>
        </a:dk2>
        <a:lt2>
          <a:srgbClr val="FFD200"/>
        </a:lt2>
        <a:accent1>
          <a:srgbClr val="0060A9"/>
        </a:accent1>
        <a:accent2>
          <a:srgbClr val="6AADE4"/>
        </a:accent2>
        <a:accent3>
          <a:srgbClr val="FFFFFF"/>
        </a:accent3>
        <a:accent4>
          <a:srgbClr val="000000"/>
        </a:accent4>
        <a:accent5>
          <a:srgbClr val="AAB6D1"/>
        </a:accent5>
        <a:accent6>
          <a:srgbClr val="5F9CCF"/>
        </a:accent6>
        <a:hlink>
          <a:srgbClr val="6F6E6F"/>
        </a:hlink>
        <a:folHlink>
          <a:srgbClr val="8499A6"/>
        </a:folHlink>
      </a:clrScheme>
      <a:clrMap bg1="lt1" tx1="dk1" bg2="lt2" tx2="dk2" accent1="accent1" accent2="accent2" accent3="accent3" accent4="accent4" accent5="accent5" accent6="accent6" hlink="hlink" folHlink="folHlink"/>
    </a:extraClrScheme>
  </a:extraClrSchemeLst>
  <a:custClrLst>
    <a:custClr name="Dark Blue">
      <a:srgbClr val="002750"/>
    </a:custClr>
    <a:custClr name="Bright Blue">
      <a:srgbClr val="0051A5"/>
    </a:custClr>
    <a:custClr name="Light Blue">
      <a:srgbClr val="73B0E3"/>
    </a:custClr>
    <a:custClr name="Yellow">
      <a:srgbClr val="FEDF01"/>
    </a:custClr>
    <a:custClr name="Blue-Grey">
      <a:srgbClr val="8499A6"/>
    </a:custClr>
    <a:custClr name="Gold">
      <a:srgbClr val="E8CF00"/>
    </a:custClr>
    <a:custClr name="Orange">
      <a:srgbClr val="FCA311"/>
    </a:custClr>
    <a:custClr name="Red">
      <a:srgbClr val="9B301B"/>
    </a:custClr>
    <a:custClr name="Silver">
      <a:srgbClr val="700078"/>
    </a:custClr>
    <a:custClr name="Slate">
      <a:srgbClr val="6F6E6F"/>
    </a:custClr>
    <a:custClr name="Dark Blue Tint 1">
      <a:srgbClr val="74748E"/>
    </a:custClr>
    <a:custClr name="Bright Blue Tint 1">
      <a:srgbClr val="0800C3"/>
    </a:custClr>
    <a:custClr name="Light Blue Tint 2">
      <a:srgbClr val="E3F4FF"/>
    </a:custClr>
    <a:custClr name="Yellow Tint 1">
      <a:srgbClr val="FFE692"/>
    </a:custClr>
    <a:custClr name="Blue-Grey Tint 1">
      <a:srgbClr val="ADC2D2"/>
    </a:custClr>
    <a:custClr name="Gold Tint 1">
      <a:srgbClr val="F2E395"/>
    </a:custClr>
    <a:custClr name="Orange Tint 1">
      <a:srgbClr val="FDC16B"/>
    </a:custClr>
    <a:custClr name="Red Tint 1">
      <a:srgbClr val="BD695D"/>
    </a:custClr>
    <a:custClr name="Silver Tint 3">
      <a:srgbClr val="DCDDDE"/>
    </a:custClr>
    <a:custClr name="Slate Tint 1">
      <a:srgbClr val="9D9D9D"/>
    </a:custClr>
    <a:custClr name="Dark Blue Tint 2">
      <a:srgbClr val="BBBAC7"/>
    </a:custClr>
    <a:custClr name="Bright Blue Tint 2">
      <a:srgbClr val="C3E2FA"/>
    </a:custClr>
    <a:custClr name="Grey (table shading)">
      <a:srgbClr val="E6EBF0"/>
    </a:custClr>
    <a:custClr name="Yellow Tint 2">
      <a:srgbClr val="FFF3D5"/>
    </a:custClr>
    <a:custClr name="Blue-Grey Tint 2">
      <a:srgbClr val="D3DDE5"/>
    </a:custClr>
    <a:custClr name="Gold Tint 2">
      <a:srgbClr val="FBF7E6"/>
    </a:custClr>
    <a:custClr name="Orange Tint 2">
      <a:srgbClr val="FFE2BA"/>
    </a:custClr>
    <a:custClr name="Red Tint 2">
      <a:srgbClr val="DFB4AA"/>
    </a:custClr>
    <a:custClr name="Silver tint 4">
      <a:srgbClr val="F2F1F0"/>
    </a:custClr>
    <a:custClr name="Slate Tint 2">
      <a:srgbClr val="D7D7D7"/>
    </a:custClr>
    <a:custClr name="Light Grey">
      <a:srgbClr val="C1B5A5"/>
    </a:custClr>
    <a:custClr name="Beige">
      <a:srgbClr val="B8A970"/>
    </a:custClr>
    <a:custClr name="Brown">
      <a:srgbClr val="906646"/>
    </a:custClr>
    <a:custClr name="Apple">
      <a:srgbClr val="AABA0A"/>
    </a:custClr>
    <a:custClr name="Green">
      <a:srgbClr val="6B702B"/>
    </a:custClr>
    <a:custClr name="Warm red">
      <a:srgbClr val="F93F26"/>
    </a:custClr>
    <a:custClr name="Light Grey Tint 4">
      <a:srgbClr val="F4F2E8"/>
    </a:custClr>
    <a:custClr name="Beige Tint 4">
      <a:srgbClr val="F3F0E8"/>
    </a:custClr>
    <a:custClr name="Grey (map fill)">
      <a:srgbClr val="CDD1D0"/>
    </a:custClr>
    <a:custClr name="Warm red Tint 3">
      <a:srgbClr val="F4CEBB"/>
    </a:custClr>
    <a:custClr name="Light Grey Tint 2">
      <a:srgbClr val="E1DDD5"/>
    </a:custClr>
    <a:custClr name="Beige Tint 2">
      <a:srgbClr val="DFD8BF"/>
    </a:custClr>
    <a:custClr name="Brown Tint 2">
      <a:srgbClr val="D7BFAD"/>
    </a:custClr>
    <a:custClr name="Apple Tint 3">
      <a:srgbClr val="F2F3B9"/>
    </a:custClr>
    <a:custClr name="Green Tint 2">
      <a:srgbClr val="C8CE7C"/>
    </a:custClr>
  </a:custClrLst>
  <a:extLst>
    <a:ext uri="{05A4C25C-085E-4340-85A3-A5531E510DB2}">
      <thm15:themeFamily xmlns:thm15="http://schemas.microsoft.com/office/thememl/2012/main" name="NewRBCPresentationToolsThemeFileFromPowerPoint" id="{0F958595-073D-493C-A424-D79133AF84A0}" vid="{E88EAE35-7907-43BD-926C-094921D8B9C9}"/>
    </a:ext>
  </a:extLst>
</a:theme>
</file>

<file path=docProps/app.xml><?xml version="1.0" encoding="utf-8"?>
<Properties xmlns="http://schemas.openxmlformats.org/officeDocument/2006/extended-properties" xmlns:vt="http://schemas.openxmlformats.org/officeDocument/2006/docPropsVTypes">
  <Template>Memo</Template>
  <TotalTime>2</TotalTime>
  <Pages>1</Pages>
  <Words>14</Words>
  <Characters>77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Supporting your Growth &amp; Profitability</vt:lpstr>
    </vt:vector>
  </TitlesOfParts>
  <Manager/>
  <Company>RBC Investor Services</Company>
  <LinksUpToDate>false</LinksUpToDate>
  <CharactersWithSpaces>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your Growth &amp; Profitability</dc:title>
  <dc:subject/>
  <dc:creator>Ian Sinclair</dc:creator>
  <cp:keywords/>
  <dc:description/>
  <cp:lastModifiedBy>Ian Sinclair</cp:lastModifiedBy>
  <cp:revision>3</cp:revision>
  <cp:lastPrinted>2026-02-01T17:46:00Z</cp:lastPrinted>
  <dcterms:created xsi:type="dcterms:W3CDTF">2026-03-09T12:37:00Z</dcterms:created>
  <dcterms:modified xsi:type="dcterms:W3CDTF">2026-03-09T12:38:00Z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Name">
    <vt:lpwstr>Word Template</vt:lpwstr>
  </property>
  <property fmtid="{D5CDD505-2E9C-101B-9397-08002B2CF9AE}" pid="3" name="Version">
    <vt:lpwstr>1.00</vt:lpwstr>
  </property>
  <property fmtid="{D5CDD505-2E9C-101B-9397-08002B2CF9AE}" pid="4" name="Developer">
    <vt:lpwstr>Dylan Curry, Creative Design Manager</vt:lpwstr>
  </property>
  <property fmtid="{D5CDD505-2E9C-101B-9397-08002B2CF9AE}" pid="5" name="Client">
    <vt:lpwstr>RBC Investor Services</vt:lpwstr>
  </property>
  <property fmtid="{D5CDD505-2E9C-101B-9397-08002B2CF9AE}" pid="6" name="Language">
    <vt:i4>44</vt:i4>
  </property>
  <property fmtid="{D5CDD505-2E9C-101B-9397-08002B2CF9AE}" pid="7" name="ListSeperator">
    <vt:lpwstr/>
  </property>
  <property fmtid="{D5CDD505-2E9C-101B-9397-08002B2CF9AE}" pid="8" name="RBCLogoUsed">
    <vt:lpwstr>RBCCM</vt:lpwstr>
  </property>
  <property fmtid="{D5CDD505-2E9C-101B-9397-08002B2CF9AE}" pid="9" name="RBCGroup">
    <vt:lpwstr>Capital Markets</vt:lpwstr>
  </property>
  <property fmtid="{D5CDD505-2E9C-101B-9397-08002B2CF9AE}" pid="10" name="MSIP_Label_f01692fd-22c0-4d57-8827-ca1b33aa058d_Enabled">
    <vt:lpwstr>true</vt:lpwstr>
  </property>
  <property fmtid="{D5CDD505-2E9C-101B-9397-08002B2CF9AE}" pid="11" name="MSIP_Label_f01692fd-22c0-4d57-8827-ca1b33aa058d_Method">
    <vt:lpwstr>Privileged</vt:lpwstr>
  </property>
  <property fmtid="{D5CDD505-2E9C-101B-9397-08002B2CF9AE}" pid="12" name="MSIP_Label_f01692fd-22c0-4d57-8827-ca1b33aa058d_SiteId">
    <vt:lpwstr>9323b596-236d-4890-bed3-60232a849027</vt:lpwstr>
  </property>
  <property fmtid="{D5CDD505-2E9C-101B-9397-08002B2CF9AE}" pid="13" name="Classification">
    <vt:lpwstr>TT_RBC_Internal</vt:lpwstr>
  </property>
</Properties>
</file>