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1-2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3-5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5-10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default" w:ascii="黑体" w:hAnsi="黑体" w:eastAsia="黑体" w:cs="黑体"/>
          <w:bCs/>
          <w:kern w:val="2"/>
          <w:szCs w:val="32"/>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w:t>
      </w:r>
      <w:r>
        <w:rPr>
          <w:rFonts w:hint="default" w:ascii="黑体" w:hAnsi="黑体" w:eastAsia="黑体" w:cs="黑体"/>
          <w:bCs/>
          <w:kern w:val="2"/>
          <w:szCs w:val="32"/>
          <w:lang w:eastAsia="zh-CN" w:bidi="ar-SA"/>
        </w:rPr>
        <w:t>、</w:t>
      </w:r>
      <w:r>
        <w:rPr>
          <w:rFonts w:hint="eastAsia" w:ascii="黑体" w:hAnsi="黑体" w:eastAsia="黑体" w:cs="黑体"/>
          <w:bCs/>
          <w:kern w:val="2"/>
          <w:szCs w:val="32"/>
          <w:lang w:val="en-US" w:eastAsia="zh-CN" w:bidi="ar-SA"/>
        </w:rPr>
        <w:t>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AEgEGKvwMAAKMLAAAOAAAAZHJzL2Uyb0RvYy54bWzd&#10;Vttu4zYQfS/QfyD03tiSJcsSoixcZxMUCDYBskWfaYq6ABTJknTk9Os7vEiJN95iL70A9YNMcihy&#10;5sw5M7p8dxwYeqJK94JXUXyxjBDlRNQ9b6vo1483P20ipA3mNWaC0yp6pjp6d/XjD5ejLGkiOsFq&#10;qhAcwnU5yirqjJHlYqFJRwesL4SkHIyNUAM2MFXtolZ4hNMHtkiWy/ViFKqWShCqNaxee2N05c5v&#10;GkrMfdNoahCrIvDNuKdyz719Lq4ucdkqLLueBDfwN3gx4J7DpfNR19hgdFD9m6OGniihRWMuiBgW&#10;oml6Ql0MEE28/CSaWyUO0sXSlmMrZ5gA2k9w+uZjyYenWyUf5YMCJEbZAhZuZmM5Nmqw/+AlOjrI&#10;nmfI6NEgAovxOi3yFSBLwFYkWVxkHlPSAfD2tSzLwAzWOE3W2Xqyvg8HJFkBFLFvx2mWW+tiunlx&#10;4s8ogSH6BQT9fSA8dlhSh60uAYQHhfoafIgQxwPw9KMN8GdxRLF1yd4NmyxMyBxh2e4M6xoWz6B1&#10;NuwJtZegN6vkJGZcSqXNLRUDsoMqUkBhxyz8dKeNh2faYq/l4qZnDNZxyTgaq2i9ArxPLAAo44Cr&#10;jcJ7a0fmuD+GEPaifobIlPDy0JLc9HD5HdbmASvQAyQQNG7u4dEwAZeIMIpQJ9Qf59btfsgQWCM0&#10;gr6qSP9+wIpGiP3CIXdFnKZWkG4CmU9gol5b9q8t/DDsBEgY8gPeuaHdb9g0bJQYfoNSsLW3gglz&#10;AndXkZmGO+NVD6WE0O3WbQIJSmzu+KMk9mgP2vZgRNM7pC1MHpuAHvDvlUr+IT0GKlp0PBddGUAw&#10;d+lqLRO/VLPrNC+C+FbJqrAn4HJiYbxOUi+9TZ5606zasy+SblLtm1f/S9EmE1CPRuG+7QzaKiVG&#10;tBOcg3qEQk5jQcQ7HmrdJIap3MyF7mzsM2jpZu1By/PNX0tXB3dmPzzFvkrIiFjpNAwDkckga5AR&#10;b4HTrIV2S4xypNWC9bUtAza7WrX7HVPoCYNebm6W8AtunmyzNeQa687vcyZPgaE30JFZP1TRxr4c&#10;eqTBPXvPa2SeJZRHbAEOx56pLV40QDZXc4Jq/oXyDXT2krmH6JHjdMj63OE+m/W8yKC6uD60KvLQ&#10;xeasZ6vQpLyIZrq/qdeUsV5q21lw+ZlMn+ThC9Pla3uc5JCP7+REGudxsfPE6XBNPQOyKdUQWvDJ&#10;teITZ7+ONOf7zv+42Vg9hs6z+9vazctXkJOT+xJ0mQlfrfZT8/Xc7Xr5tr7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B51ELaAAAACwEAAA8AAAAAAAAAAQAgAAAAIgAAAGRycy9kb3ducmV2Lnht&#10;bFBLAQIUABQAAAAIAIdO4kAEgEGKvwMAAKMLAAAOAAAAAAAAAAEAIAAAACkBAABkcnMvZTJvRG9j&#10;LnhtbFBLBQYAAAAABgAGAFkBAABaBwAAAAA=&#10;">
                <o:lock v:ext="edit" aspectratio="f"/>
                <v:shape id="_x0000_s1026" o:spid="_x0000_s1026" o:spt="202" type="#_x0000_t202" style="position:absolute;left:5550;top:142656;height:832;width:2598;"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BXfAEL4AAADa&#10;AAAADwAAAGRycy9kb3ducmV2LnhtbEWPT2vCQBTE74V+h+UVvJlNxNqaugYrSgXtoeqhx0f25Q9m&#10;36bZ1dhv3xWEHoeZ+Q0zy66mERfqXG1ZQRLFIIhzq2suFRwP6+ErCOeRNTaWScEvOcjmjw8zTLXt&#10;+Ysue1+KAGGXooLK+zaV0uUVGXSRbYmDV9jOoA+yK6XusA9w08hRHE+kwZrDQoUtLSvKT/uzUdD2&#10;25eP5x9Li/H0fbX7PhT6c1MoNXhK4jcQnq7+P3xvb7SCEdyuhBs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fAEL4A&#10;AADa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各部门人员分配：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5"/>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5"/>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5"/>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eastAsia"/>
          <w:lang w:eastAsia="zh-CN"/>
        </w:rPr>
      </w:pP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1</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default" w:asciiTheme="minorEastAsia" w:hAnsiTheme="minorEastAsia" w:cstheme="minorEastAsia"/>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35"/>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36"/>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37"/>
      <w:r>
        <w:rPr>
          <w:rFonts w:hint="default" w:ascii="黑体" w:hAnsi="黑体" w:eastAsia="黑体" w:cs="黑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w:t>
      </w:r>
      <w:r>
        <w:rPr>
          <w:rFonts w:hint="default" w:asciiTheme="minorEastAsia" w:hAnsiTheme="minorEastAsia" w:cstheme="minorEastAsia"/>
          <w:sz w:val="24"/>
          <w:szCs w:val="24"/>
          <w:lang w:eastAsia="zh-CN"/>
        </w:rPr>
        <w:t>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4"/>
          <w:szCs w:val="24"/>
          <w:lang w:eastAsia="zh-CN"/>
        </w:rPr>
      </w:pPr>
      <w:r>
        <w:rPr>
          <w:rFonts w:hint="default" w:asciiTheme="minorEastAsia" w:hAnsiTheme="minorEastAsia" w:cstheme="minorEastAsia"/>
          <w:b/>
          <w:bCs/>
          <w:sz w:val="24"/>
          <w:szCs w:val="24"/>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 6 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170180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3.4pt;height:355.6pt;width:452.9pt;mso-wrap-distance-bottom:0pt;mso-wrap-distance-top:0pt;z-index:253814784;mso-width-relative:page;mso-height-relative:page;" coordorigin="5137,414415" coordsize="9058,7112" o:gfxdata="UEsDBAoAAAAAAIdO4kAAAAAAAAAAAAAAAAAEAAAAZHJzL1BLAwQUAAAACACHTuJABgl3yNsAAAAK&#10;AQAADwAAAGRycy9kb3ducmV2LnhtbE2PQUvDQBCF74L/YRnBW7ubFNM0ZlKkqKci2ArS2zaZJqHZ&#10;2ZDdJu2/dz3pcZiP976Xr6+mEyMNrrWMEM0VCOLSVi3XCF/7t1kKwnnNle4sE8KNHKyL+7tcZ5Wd&#10;+JPGna9FCGGXaYTG+z6T0pUNGe3mticOv5MdjPbhHGpZDXoK4aaTsVKJNLrl0NDonjYNlefdxSC8&#10;T3p6WUSv4/Z82twO+6eP721EiI8PkXoG4enq/2D41Q/qUASno71w5USHMItXcUAR4iRMCEC6TBIQ&#10;R4TlIlUgi1z+n1D8AF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Bgl3yN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这种管理结构主要是为了加强项目之间的协调与规范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对于在发展阶段我公司不断的扩充开展其他的业务是一种很好的模式。当公司进入成熟阶段(第五年以后)时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此时将在三级项目结构的基础上增加一些其他的新的内容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本公司的创业团队由北京航空航天大学六名本科同学构成,由专业的老师做我们运营指导。在公司运营时我们将构建一支在各种有影响力的岗位上具有直接技术与经验的管理队伍, 并欢迎一切有志于谋求本公司发展的人才加入本公司。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优良科学管理的前提是确定和贯彻正确先进的管理思想。我们将采取张瑞敏先生 “众谋独断、详虑力行”的管理思想。重视个人的发展,尊重个人价值, 但也同时强调各职能部门相互协调合作,求得公司的整体发展,实现最优效果。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具本科在读的北京航空航天大学大学生,具有相关的专业知识和高效的执行力,将为公司制定切实可行的决策,执行最有效率的任务。在获得风险投资后,投资家自然也成为我们的公司管理顾问,我们还将邀请具有各专业技术及管理经验的人员加入,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524125" cy="1809750"/>
            <wp:effectExtent l="0" t="0" r="9525" b="0"/>
            <wp:docPr id="180" name="Picture 180"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ompany-logo"/>
                    <pic:cNvPicPr>
                      <a:picLocks noChangeAspect="1"/>
                    </pic:cNvPicPr>
                  </pic:nvPicPr>
                  <pic:blipFill>
                    <a:blip r:embed="rId13"/>
                    <a:stretch>
                      <a:fillRect/>
                    </a:stretch>
                  </pic:blipFill>
                  <pic:spPr>
                    <a:xfrm>
                      <a:off x="0" y="0"/>
                      <a:ext cx="2524125" cy="180975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北京维特科技有限公司标志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Kid Cuisine是公司的英文名，意思是“给孩子的菜肴”。公司的中文名是“北京爱厨艺亲子主题餐厅”；这个图标突出了公司以孩子为中心的理念。彩色的字体象征着健康的食物是多姿多彩的；参差不齐的字形象征着孩子活泼爱玩的天性。图标寄寓着公司祝愿孩子们拥有健康和五彩斑斓的童年的愿景。</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ESO</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 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I+SyfeEAgAADwUAAA4AAABkcnMvZTJvRG9jLnhtbK1U&#10;TY/aMBC9V+p/sHxnk0ASPkRYUQJVpVV3Jbbq2TgOieTYrm1ItlX/e8dOYOnHoarKwRl7Hs8zb2a8&#10;vO8ajs5Mm1qKDEd3IUZMUFnU4pjhT8+70QwjY4koCJeCZfiFGXy/evtm2aoFG8tK8oJpBCTCLFqV&#10;4cpatQgCQyvWEHMnFRPgLKVuiIWtPgaFJi2wNzwYh2EatFIXSkvKjIHTvHfilecvS0btY1kaZhHP&#10;MMRm/ar9enBrsFqSxVETVdV0CIP8QxQNqQVceqXKiSXopOvfqJqaamlkae+obAJZljVlPgfIJgp/&#10;yWZfEcV8LiCOUVeZzP+jpR/PTxrVBdRuFmEkSANFemadRe9kh9wZKNQqswDgXgHUduAA9OXcwKFL&#10;vCt1476QEnL+aTRO5glGL2BH4SSdDFo7auoA43maTqEkFBBxmEzTxFEGr0xKG/ueyQY5I8Maaukl&#10;JucHY3voBeIuFnJXc+7ryQVqM5xOktD/4eoBci4cFoIAjsHq6/RtHs63s+0sHsXjdDuKwzwfrXeb&#10;eJTuommST/LNJo++O74oXlR1UTDh7rv0TBT/XU2G7u2rfe0aI3ldODoXktHHw4ZrdCbQszv/G5S5&#10;gQU/h+GFg6wuX59d4OrW18dZtjt0QzEPsniBWmrZz4NRdFeDyA/E2CeiYQCgLjDU9hGWkksQUw4W&#10;RpXUX/907vCgAXgxamGgMmy+nIhmGPEPAjp2HsWxm0C/iZPpGDb61nO49YhTs5GQP/QkROdNh7f8&#10;YpZaNp9h9tfuVnARQeHuDNuLubH9mMPbQdl67UEwc4rYB7FX1FE7tYVcn6wsa99RTqZeGxDSbWDq&#10;vKTDC+HG+nbvUa/v2O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gy9fNkAAAAIAQAADwAAAAAA&#10;AAABACAAAAAiAAAAZHJzL2Rvd25yZXYueG1sUEsBAhQAFAAAAAgAh07iQI+SyfeEAgAADwUAAA4A&#10;AAAAAAAAAQAgAAAAKAEAAGRycy9lMm9Eb2MueG1sUEsFBgAAAAAGAAYAWQEAAB4GAA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r>
        <w:rPr>
          <w:rFonts w:hint="default" w:ascii="黑体" w:hAnsi="黑体" w:eastAsia="黑体" w:cs="黑体"/>
          <w:b/>
          <w:bCs/>
          <w:sz w:val="24"/>
          <w:szCs w:val="32"/>
          <w:lang w:eastAsia="zh-CN"/>
        </w:rPr>
        <w:t>：</w:t>
      </w:r>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按2.</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3"/>
        <w:gridCol w:w="1548"/>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税前:1.95年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税后:1.96年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8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w:t>
      </w:r>
      <w:r>
        <w:rPr>
          <w:rFonts w:hint="eastAsia" w:asciiTheme="minorEastAsia" w:hAnsiTheme="minorEastAsia" w:eastAsiaTheme="minorEastAsia" w:cstheme="minorEastAsia"/>
          <w:sz w:val="24"/>
          <w:szCs w:val="24"/>
          <w:lang w:eastAsia="zh-CN"/>
        </w:rPr>
        <w:t>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jc w:val="center"/>
        <w:rPr>
          <w:rFonts w:hint="eastAsia" w:asciiTheme="minorEastAsia" w:hAnsiTheme="minorEastAsia" w:eastAsiaTheme="minorEastAsia" w:cstheme="minorEastAsia"/>
          <w:b/>
          <w:bCs/>
          <w:sz w:val="21"/>
          <w:szCs w:val="21"/>
          <w:lang w:eastAsia="zh-CN"/>
        </w:rPr>
      </w:pPr>
      <w:bookmarkStart w:id="89" w:name="_Toc1438201490"/>
      <w:r>
        <w:rPr>
          <w:rFonts w:hint="eastAsia" w:asciiTheme="minorEastAsia" w:hAnsiTheme="minorEastAsia" w:eastAsiaTheme="minorEastAsia" w:cstheme="minorEastAsia"/>
          <w:b/>
          <w:bCs/>
          <w:sz w:val="21"/>
          <w:szCs w:val="21"/>
          <w:lang w:eastAsia="zh-CN"/>
        </w:rPr>
        <w:t>图 9.2 风险系统流程图</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9.2 风险分析及防范措施</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主要假设:公司的设备、原材料供应商的信誉足够好,设备到货、安装、调试在 4 个月内完成,生产中能够保证产品质量;租赁厂房,选址在北京市昌平区。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91"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r>
        <w:rPr>
          <w:rFonts w:hint="eastAsia" w:ascii="黑体" w:hAnsi="黑体" w:eastAsia="黑体" w:cs="黑体"/>
          <w:b/>
          <w:bCs/>
          <w:sz w:val="24"/>
          <w:szCs w:val="28"/>
          <w:lang w:eastAsia="zh-CN"/>
        </w:rPr>
        <w:t>9.2.2 市场风险</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风险投资又称创业投资,是指通过向开发高新技术或使其产业化的中小高科技企业提供股权资本,通</w:t>
      </w:r>
      <w:r>
        <w:rPr>
          <w:rFonts w:hint="eastAsia" w:asciiTheme="minorEastAsia" w:hAnsiTheme="minorEastAsia" w:eastAsiaTheme="minorEastAsia" w:cstheme="minorEastAsia"/>
          <w:sz w:val="24"/>
          <w:szCs w:val="24"/>
          <w:lang w:eastAsia="zh-CN"/>
        </w:rPr>
        <w:t>过股权转让(交易)收回投资的行为。风险投资一般不以控股和分红为目的,而是通过资本与管理投入,在企业的成长中促进资本增值,并且在退出时实现收益变现,再寻找新的投资对象。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另外,也可以考虑美国纳斯达克等海外市场上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0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1255"/>
        <w:gridCol w:w="1400"/>
        <w:gridCol w:w="2557"/>
        <w:gridCol w:w="1125"/>
        <w:gridCol w:w="1142"/>
      </w:tblGrid>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58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25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125" w:type="dxa"/>
          </w:tcPr>
          <w:p>
            <w:pPr>
              <w:jc w:val="center"/>
              <w:rPr>
                <w:rFonts w:hint="eastAsia" w:asciiTheme="minorEastAsia" w:hAnsiTheme="minorEastAsia" w:eastAsiaTheme="minorEastAsia" w:cstheme="minorEastAsia"/>
                <w:sz w:val="24"/>
                <w:szCs w:val="24"/>
                <w:vertAlign w:val="baseline"/>
                <w:lang w:eastAsia="zh-CN"/>
              </w:rPr>
            </w:pPr>
          </w:p>
        </w:tc>
        <w:tc>
          <w:tcPr>
            <w:tcW w:w="1142"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p>
        </w:tc>
        <w:tc>
          <w:tcPr>
            <w:tcW w:w="125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p>
        </w:tc>
        <w:tc>
          <w:tcPr>
            <w:tcW w:w="125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125" w:type="dxa"/>
          </w:tcPr>
          <w:p>
            <w:pPr>
              <w:jc w:val="center"/>
              <w:rPr>
                <w:rFonts w:hint="eastAsia" w:asciiTheme="minorEastAsia" w:hAnsiTheme="minorEastAsia" w:eastAsiaTheme="minorEastAsia" w:cstheme="minorEastAsia"/>
                <w:sz w:val="24"/>
                <w:szCs w:val="24"/>
                <w:vertAlign w:val="baseline"/>
                <w:lang w:eastAsia="zh-CN"/>
              </w:rPr>
            </w:pPr>
          </w:p>
        </w:tc>
        <w:tc>
          <w:tcPr>
            <w:tcW w:w="1142"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25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125" w:type="dxa"/>
          </w:tcPr>
          <w:p>
            <w:pPr>
              <w:jc w:val="center"/>
              <w:rPr>
                <w:rFonts w:hint="eastAsia" w:asciiTheme="minorEastAsia" w:hAnsiTheme="minorEastAsia" w:eastAsiaTheme="minorEastAsia" w:cstheme="minorEastAsia"/>
                <w:sz w:val="24"/>
                <w:szCs w:val="24"/>
                <w:vertAlign w:val="baseline"/>
                <w:lang w:eastAsia="zh-CN"/>
              </w:rPr>
            </w:pPr>
          </w:p>
        </w:tc>
        <w:tc>
          <w:tcPr>
            <w:tcW w:w="1142"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58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58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25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12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97" w:name="_Toc1003048968"/>
      <w:r>
        <w:rPr>
          <w:rFonts w:hint="eastAsia"/>
          <w:lang w:eastAsia="zh-CN"/>
        </w:rPr>
        <w:t>附录 2公司经营五年期利润表</w:t>
      </w:r>
      <w:bookmarkEnd w:id="97"/>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98" w:name="_Toc454741705"/>
      <w:bookmarkStart w:id="99" w:name="_GoBack"/>
      <w:bookmarkEnd w:id="99"/>
      <w:r>
        <w:rPr>
          <w:rFonts w:hint="eastAsia"/>
          <w:lang w:eastAsia="zh-CN"/>
        </w:rPr>
        <w:t>附录 3公司经营五年期现金流量表</w:t>
      </w:r>
      <w:bookmarkEnd w:id="98"/>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Borders/>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Borders/>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386">
    <w:nsid w:val="5A98C142"/>
    <w:multiLevelType w:val="singleLevel"/>
    <w:tmpl w:val="5A98C142"/>
    <w:lvl w:ilvl="0" w:tentative="1">
      <w:start w:val="1"/>
      <w:numFmt w:val="decimal"/>
      <w:suff w:val="space"/>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abstractNum w:abstractNumId="1520060254">
    <w:nsid w:val="5A9A475E"/>
    <w:multiLevelType w:val="singleLevel"/>
    <w:tmpl w:val="5A9A475E"/>
    <w:lvl w:ilvl="0" w:tentative="1">
      <w:start w:val="2"/>
      <w:numFmt w:val="chineseCounting"/>
      <w:suff w:val="nothing"/>
      <w:lvlText w:val="%1、"/>
      <w:lvlJc w:val="left"/>
    </w:lvl>
  </w:abstractNum>
  <w:num w:numId="1">
    <w:abstractNumId w:val="1520060254"/>
  </w:num>
  <w:num w:numId="2">
    <w:abstractNumId w:val="1519958257"/>
  </w:num>
  <w:num w:numId="3">
    <w:abstractNumId w:val="1519960386"/>
  </w:num>
  <w:num w:numId="4">
    <w:abstractNumId w:val="1519960173"/>
  </w:num>
  <w:num w:numId="5">
    <w:abstractNumId w:val="1519967651"/>
  </w:num>
  <w:num w:numId="6">
    <w:abstractNumId w:val="1519977576"/>
  </w:num>
  <w:num w:numId="7">
    <w:abstractNumId w:val="1519977058"/>
  </w:num>
  <w:num w:numId="8">
    <w:abstractNumId w:val="1519978806"/>
  </w:num>
  <w:num w:numId="9">
    <w:abstractNumId w:val="1519983619"/>
  </w:num>
  <w:num w:numId="10">
    <w:abstractNumId w:val="1520048946"/>
  </w:num>
  <w:num w:numId="11">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F357FA"/>
    <w:rsid w:val="23FBE360"/>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67F0FBE"/>
    <w:rsid w:val="56B76A0F"/>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CD42C4"/>
    <w:rsid w:val="6BFB375E"/>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E75ED9"/>
    <w:rsid w:val="77FA00A9"/>
    <w:rsid w:val="77FF9A1A"/>
    <w:rsid w:val="797FCBCF"/>
    <w:rsid w:val="79BD7CB8"/>
    <w:rsid w:val="79E86BF8"/>
    <w:rsid w:val="7A5F5077"/>
    <w:rsid w:val="7A7FE625"/>
    <w:rsid w:val="7A99A905"/>
    <w:rsid w:val="7ADF5A4A"/>
    <w:rsid w:val="7AEB0BD6"/>
    <w:rsid w:val="7AFFE161"/>
    <w:rsid w:val="7B1FB824"/>
    <w:rsid w:val="7B371746"/>
    <w:rsid w:val="7B3B25FF"/>
    <w:rsid w:val="7BBF6B4C"/>
    <w:rsid w:val="7BDB7A59"/>
    <w:rsid w:val="7BDF040C"/>
    <w:rsid w:val="7BEDC1D0"/>
    <w:rsid w:val="7BFFC47C"/>
    <w:rsid w:val="7C6CA64F"/>
    <w:rsid w:val="7CDFF9E7"/>
    <w:rsid w:val="7CFF8A80"/>
    <w:rsid w:val="7DBD91A6"/>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EFBAAAE"/>
    <w:rsid w:val="AF3529FF"/>
    <w:rsid w:val="AFA3516C"/>
    <w:rsid w:val="AFBED567"/>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FEBA9F"/>
    <w:rsid w:val="CFFFDF8B"/>
    <w:rsid w:val="D19FFB99"/>
    <w:rsid w:val="D4FFB9CF"/>
    <w:rsid w:val="D7E41B1C"/>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B9404"/>
    <w:rsid w:val="DFFC5911"/>
    <w:rsid w:val="DFFD2007"/>
    <w:rsid w:val="DFFD21B4"/>
    <w:rsid w:val="DFFF0C3D"/>
    <w:rsid w:val="DFFF39BE"/>
    <w:rsid w:val="E3F77247"/>
    <w:rsid w:val="E46F0980"/>
    <w:rsid w:val="E6DE3619"/>
    <w:rsid w:val="E76FA171"/>
    <w:rsid w:val="E7EDECD4"/>
    <w:rsid w:val="E7FB79A4"/>
    <w:rsid w:val="E7FF9513"/>
    <w:rsid w:val="EABFA2A5"/>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3EB59FB"/>
    <w:rsid w:val="F54DF3BC"/>
    <w:rsid w:val="F5789050"/>
    <w:rsid w:val="F57F890C"/>
    <w:rsid w:val="F5D5D8A9"/>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F06CD"/>
    <w:rsid w:val="FBFFB950"/>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chart" Target="charts/chart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rotWithShape="0">
                  <a:schemeClr val="accent1">
                    <a:alpha val="20000"/>
                  </a:schemeClr>
                </a:outerShdw>
              </a:effectLst>
            </c:spPr>
          </c:dPt>
          <c:dPt>
            <c:idx val="1"/>
            <c:bubble3D val="0"/>
            <c:spPr>
              <a:solidFill>
                <a:schemeClr val="accent3"/>
              </a:solidFill>
              <a:ln>
                <a:noFill/>
              </a:ln>
              <a:effectLst>
                <a:outerShdw blurRad="254000" sx="102000" sy="102000" rotWithShape="0">
                  <a:schemeClr val="accent1">
                    <a:alpha val="20000"/>
                  </a:schemeClr>
                </a:outerShdw>
              </a:effectLst>
            </c:spPr>
          </c:dPt>
          <c:dPt>
            <c:idx val="2"/>
            <c:bubble3D val="0"/>
            <c:spPr>
              <a:solidFill>
                <a:schemeClr val="accent5"/>
              </a:solidFill>
              <a:ln>
                <a:noFill/>
              </a:ln>
              <a:effectLst>
                <a:outerShdw blurRad="254000" sx="102000" sy="102000" rotWithShape="0">
                  <a:schemeClr val="accent1">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2018-02-23T23:18:00Z</dcterms:created>
  <dc:creator>cgsdfc</dc:creator>
  <cp:lastModifiedBy>cgsdfc</cp:lastModifiedBy>
  <dcterms:modified xsi:type="dcterms:W3CDTF">2018-03-03T15:14:18Z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