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s1050" o:spid="_x0000_s1050" o:spt="75" alt="16" type="#_x0000_t75" style="position:absolute;left:0pt;margin-left:0pt;margin-top:2.2pt;height:840.6pt;width:612.5pt;mso-position-horizontal-relative:page;mso-position-vertical-relative:page;z-index:-251658240;mso-width-relative:page;mso-height-relative:page;" filled="f" o:preferrelative="f" stroked="f" coordsize="21600,21600">
            <v:path/>
            <v:fill on="f" focussize="0,0"/>
            <v:stroke on="f" joinstyle="miter"/>
            <v:imagedata r:id="rId11" o:title="16"/>
            <o:lock v:ext="edit" aspectratio="f"/>
          </v:shape>
        </w:pi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7" w:right="1134" w:bottom="1417" w:left="1701" w:header="851" w:footer="992" w:gutter="0"/>
          <w:paperSrc/>
          <w:pgNumType w:fmt="decimal" w:start="1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4297680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6940" y="522795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25pt;margin-top:338.4pt;height:144pt;width:144pt;mso-wrap-style:none;z-index:251666432;mso-width-relative:page;mso-height-relative:page;" filled="f" stroked="f" coordsize="21600,21600" o:gfxdata="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kQOPaAAAADAEAAA8A&#10;AAAAAAAAAQAgAAAAIgAAAGRycy9kb3ducmV2LnhtbFBLAQIUABQAAAAIAIdO4kAC+Rm2FQIAACI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3672840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北京爱厨艺餐饮有限公司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2pt;margin-top:289.2pt;height:144pt;width:144pt;mso-wrap-style:none;z-index:251661312;mso-width-relative:page;mso-height-relative:page;" filled="f" stroked="f" coordsize="21600,21600" o:gfxdata="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ZV7g9oAAAALAQAADwAAAAAAAAABACAAAAAi&#10;AAAAZHJzL2Rvd25yZXYueG1sUEsBAhQAFAAAAAgAh07iQCwJ0xIIAgAAFgQAAA4AAAAAAAAAAQAg&#10;AAAAKQ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北京爱厨艺餐饮有限公司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1083945</wp:posOffset>
                </wp:positionV>
                <wp:extent cx="63754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160" y="3071495"/>
                          <a:ext cx="63754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以亲子互动为主题的特色餐馆的市场推广策划书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5pt;margin-top:85.35pt;height:144pt;width:502pt;z-index:251667456;mso-width-relative:page;mso-height-relative:page;" filled="f" stroked="f" coordsize="21600,21600" o:gfxdata="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afS/tcAAAALAQAA&#10;DwAAAAAAAAABACAAAAAiAAAAZHJzL2Rvd25yZXYueG1sUEsBAhQAFAAAAAgAh07iQPFLO7YaAgAA&#10;JA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以亲子互动为主题的特色餐馆的市场推广策划书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u w:val="none"/>
          <w:lang w:eastAsia="zh-CN"/>
        </w:rPr>
        <w:pict>
          <v:shape id="_x0000_s1048" o:spid="_x0000_s1048" o:spt="136" type="#_x0000_t136" style="position:absolute;left:0pt;margin-left:130.7pt;margin-top:459.35pt;height:83pt;width:364.1pt;z-index:251660288;mso-width-relative:page;mso-height-relative:page;" fillcolor="#FFFFFF" filled="t" stroked="t" coordsize="21600,21600" adj="10800">
            <v:path/>
            <v:fill on="t" focussize="0,0"/>
            <v:stroke color="#000000"/>
            <v:imagedata o:title=""/>
            <o:lock v:ext="edit" aspectratio="f"/>
            <v:textpath on="t" fitpath="t" trim="t" xscale="f" string=" " style="font-family:Times New Roman;font-size:36pt;font-weight:bold;v-text-align:center;"/>
          </v:shape>
        </w:pict>
      </w:r>
    </w:p>
    <w:p>
      <w:pPr>
        <w:pStyle w:val="10"/>
        <w:tabs>
          <w:tab w:val="right" w:leader="dot" w:pos="9071"/>
        </w:tabs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default" w:ascii="黑体" w:hAnsi="黑体" w:eastAsia="黑体" w:cs="黑体"/>
          <w:sz w:val="32"/>
          <w:szCs w:val="32"/>
        </w:rPr>
        <w:t>目录</w:t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TOC \o "1-3" \t "" \h \z \u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instrText xml:space="preserve"> HYPERLINK \l _Toc1995164536 </w:instrText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1执行纲要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_Toc1995164536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_Toc1025536558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1.1市场描述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_Toc1025536558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_Toc292732244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1.2 核心技术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_Toc292732244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_Toc1735819720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1.3 团队概述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_Toc1735819720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_Toc1462224576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1.4 发展战略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_Toc1462224576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_Toc1673159623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2 产品项目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_Toc1673159623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_Toc316458898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2.1 产业前景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_Toc316458898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_Toc2101112962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2.1.1 背景介绍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_Toc2101112962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_Toc935594877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2.1.2 移动端云计算虚拟三维技术的概念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_Toc935594877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_Toc376462827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2.1.3 移动端云计算虚拟三维技术在生活中的应用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_Toc376462827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_Toc1133108034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2.2 产品概述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_Toc1133108034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_Toc500022842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2.2.1 产品介绍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_Toc500022842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_Toc1328860582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2.2.2 产品优势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_Toc1328860582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_Toc486765100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2.2.3 产品前景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_Toc486765100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_Toc142578485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2.2.4 研究与开发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_Toc142578485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_Toc331879032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2.2.5 未来产品与服务规划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_Toc331879032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_Toc917236953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2.3 生产技术管理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_Toc917236953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_Toc210858481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2.3.1 生产场地管理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_Toc210858481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_Toc1263764684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2.3.2 原材料的采购与管理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_Toc1263764684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_Toc1998475775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2.3.3 产品质量管理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_Toc1998475775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_Toc159908927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2.3.4 成本控制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_Toc159908927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_Toc639543792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2.3.5 管理模式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_Toc639543792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_Toc817046438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3 市场调查与分析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_Toc817046438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_Toc329508027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3.1 移动端云计算虚拟三维产业链分析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_Toc329508027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_Toc1383591503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3.2 竞争因素分析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_Toc1383591503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_Toc154928642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3.2.1 竞争产品分析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_Toc154928642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_Toc554572348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3.2.2 潜在进入者分析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_Toc554572348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_Toc150929058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3.2.3 竞争优势分析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_Toc150929058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_Toc1113651491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3.3 市场发展预期走势分析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_Toc1113651491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_Toc430684000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3.4 市场预测分析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_Toc430684000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_Toc177337915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3.4.1 预测的市场规模与总容量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_Toc177337915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_Toc961332380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3.4.2 行业市场划分与应用内容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_Toc961332380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_Toc1456220559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3.4.3 移动端云计算三维的商业模式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_Toc1456220559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_Toc470070159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4 市场营销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_Toc470070159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_Toc549668452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4.1 营销计划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_Toc549668452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_Toc770961487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4.1.1 市场进入和开发阶段(1-2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_Toc770961487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_Toc2143229782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4.1.2 市场成长阶段(3-5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_Toc2143229782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_Toc866127351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4.1.3 市场成熟阶段(5-10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_Toc866127351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_Toc724590801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4.2 定价战略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_Toc724590801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_Toc931341011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5 机遇与风险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_Toc931341011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_Toc1242590178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5.1 机遇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_Toc1242590178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_Toc1857698836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5.2 外部风险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_Toc1857698836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sectPr>
          <w:footerReference r:id="rId5" w:type="default"/>
          <w:pgSz w:w="11906" w:h="16838"/>
          <w:pgMar w:top="1417" w:right="1134" w:bottom="1417" w:left="1701" w:header="851" w:footer="992" w:gutter="0"/>
          <w:paperSrc/>
          <w:pgNumType w:fmt="upperRoman" w:start="1"/>
          <w:cols w:space="0" w:num="1"/>
          <w:rtlGutter w:val="0"/>
          <w:docGrid w:type="lines" w:linePitch="312" w:charSpace="0"/>
        </w:sectPr>
      </w:pP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_Toc1431363854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5.3 内部风险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_Toc1431363854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_Toc423967113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5.4 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_Toc423967113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_Toc196980288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6 组织与管理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_Toc196980288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_Toc1573942339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6.1 公司简介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_Toc1573942339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_Toc755846145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6.2 公司的核心价值观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_Toc755846145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_Toc1114217242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6.3 公司目标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_Toc1114217242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_Toc1784800821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 公司组织结构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_Toc1784800821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_Toc2019610829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6.4.1 公司初期组织结构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_Toc2019610829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_Toc965209369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6.4.2 公司中后期结构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_Toc965209369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_Toc1944709748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 管理形式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_Toc1944709748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_Toc511670974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6.5.1 管理团队和基本思想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_Toc511670974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_Toc1782255807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6.5.2 岗位说明书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_Toc1782255807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_Toc126734127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6.5.3 公司的规章制度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_Toc126734127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_Toc1895262477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 企业文化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_Toc1895262477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_Toc1937184450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6.6.1 团队标志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_Toc1937184450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_Toc681306475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6.6.2 企业文化理念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_Toc681306475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_Toc2046191535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 人力激励与约束机制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_Toc2046191535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_Toc903352293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6.7.1 激励机制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_Toc903352293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_Toc1111990475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6.7.2 约束机制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_Toc1111990475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_Toc76045803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7财务计划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_Toc76045803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_Toc1864684673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7.1 股本结构与规模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_Toc1864684673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_Toc420727386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 运营收入及相关税金估算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_Toc420727386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_Toc546115962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7.2.1 公司营业量及营业收入估算: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_Toc546115962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_Toc266869478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7.2.2 运营收入及税额估算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_Toc266869478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_Toc1191688873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 投资状况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_Toc1191688873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_Toc541862097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7.3.1 初始投资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_Toc541862097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_Toc1132996829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7.3.2 固定资产投资估算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_Toc1132996829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_Toc1916279675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7.3.3 投资使用计划与资金筹措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_Toc1916279675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_Toc1473203108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 成本费用估算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_Toc1473203108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_Toc228103359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7.4.1 研发费用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_Toc228103359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_Toc1626494863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7.4.2 员工结构及工资费用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_Toc1626494863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_Toc757083314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7.4.3 折旧费用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_Toc757083314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_Toc652070472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7.4.4 办公、差旅费用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_Toc652070472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_Toc1823475151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7.4.5 摊销费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_Toc1823475151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_Toc183542006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7.4.6 公关及宣传费用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_Toc183542006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_Toc1407916618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8财务分析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_Toc1407916618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_Toc790208745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8.1 公司利润表及现金流量表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_Toc790208745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_Toc1968342827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8.1.1 公司利润估算分析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_Toc1968342827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_Toc1280043799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8.1.2 公司现金流量分析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_Toc1280043799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_Toc1755418114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8.2 公司盈利能力分析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_Toc1755418114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_Toc1765568927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8.2.1 静态盈利能力分析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_Toc1765568927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_Toc1791714773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8.2.2 动态盈利能力分析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_Toc1791714773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_Toc1390190274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8.3 敏感性分析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_Toc1390190274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_Toc1892303054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 w:ascii="黑体" w:hAnsi="黑体" w:cs="黑体" w:eastAsiaTheme="minorEastAsia"/>
          <w:kern w:val="2"/>
          <w:szCs w:val="32"/>
          <w:lang w:val="en-US" w:eastAsia="zh-CN" w:bidi="ar-SA"/>
        </w:rPr>
        <w:t>9</w:t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投资分析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_Toc1892303054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sectPr>
          <w:footerReference r:id="rId6" w:type="default"/>
          <w:pgSz w:w="11906" w:h="16838"/>
          <w:pgMar w:top="1417" w:right="1134" w:bottom="1417" w:left="1701" w:header="851" w:footer="992" w:gutter="0"/>
          <w:paperSrc/>
          <w:pgNumType w:fmt="upperRoman"/>
          <w:cols w:space="0" w:num="1"/>
          <w:rtlGutter w:val="0"/>
          <w:docGrid w:type="lines" w:linePitch="312" w:charSpace="0"/>
        </w:sectPr>
      </w:pP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_Toc1539493603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9.1 投资结构及分析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_Toc1539493603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_Toc1179891076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9.1.1 注册资本结构与规模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_Toc1179891076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_Toc426125881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9.1.2 投资回报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_Toc426125881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_Toc1438201490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9.2 风险分析及防范措施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_Toc1438201490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_Toc2083243369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9.2.1风险管理系统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_Toc2083243369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_Toc1538116356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9.2.2 市场风险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_Toc1538116356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_Toc1514247293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9.2.3 运作风险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_Toc1514247293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_Toc1800444395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9.2.4 人力资源风险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_Toc1800444395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_Toc1958843743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9.2.5 公关风险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_Toc1958843743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_Toc2060363256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9.3 风险投资资金的撤出方式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_Toc2060363256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_Toc2067313873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1 公司经营第五年资产负债表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_Toc2067313873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_Toc1003048968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2公司经营五年期利润表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_Toc1003048968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_Toc454741705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3公司经营五年期现金流量表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_Toc454741705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footerReference r:id="rId7" w:type="default"/>
          <w:pgSz w:w="11906" w:h="16838"/>
          <w:pgMar w:top="1417" w:right="1134" w:bottom="1417" w:left="1701" w:header="851" w:footer="992" w:gutter="0"/>
          <w:paperSrc/>
          <w:pgNumType w:fmt="upperRoman" w:start="3"/>
          <w:cols w:space="0" w:num="1"/>
          <w:rtlGutter w:val="0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0" w:name="_Toc1995164536"/>
      <w:r>
        <w:rPr>
          <w:rFonts w:hint="eastAsia" w:ascii="黑体" w:hAnsi="黑体" w:eastAsia="黑体" w:cs="黑体"/>
          <w:sz w:val="32"/>
          <w:szCs w:val="32"/>
        </w:rPr>
        <w:t>1执行纲要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1" w:name="_Toc1025536558"/>
      <w:r>
        <w:rPr>
          <w:rFonts w:hint="eastAsia" w:ascii="黑体" w:hAnsi="黑体" w:eastAsia="黑体" w:cs="黑体"/>
          <w:sz w:val="28"/>
          <w:szCs w:val="28"/>
        </w:rPr>
        <w:t>1.1市场描述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亲子互动是指家庭中父母和孩子间的交互活动，它能够增进孩子和父母以及其他家庭成员之间的感情，提高家庭的凝聚力，培养孩子的归属感和父母的责任感，是一种非常有益的活动。在市场经济不断发展的今天，人们在物质需求日益得到满足后，越来越重视情感层面的需求。在国外，许多餐馆纷纷推出亲子套餐，许多娱乐节目也推出了亲子档，比如红极一时的《爸爸去哪儿》系列节目，可见亲子项目是比较喜闻乐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从家庭活动的角度，用餐算是一个父母和子女交流的重要时刻。然而，许多为工作奔波的父母并不能陪在子女身边用餐，这给家庭生活造成了难以弥补的损失。除此之外，就算父母和子女一起外出用餐，餐厅的氛围也是无法和家里相比的；家里人外出吃饭却无话可说的尴尬局面也是常见的场景。父母和孩子们需要一个这样的餐馆：它的环境和家里相似、每一个家庭可以得到相对独立的环境、配备了各种亲子互动所需的设施的餐馆，在这里，父母和孩子们边吃边聊，举行各种家庭活动，谈心或者享受美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目前，在国内这种亲子主题餐馆并不多见，这意味着这个领域是一片蓝海；而亲子互动中潜在的巨大商机则足以说服投资者。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2" w:name="_Toc292732244"/>
      <w:r>
        <w:rPr>
          <w:rFonts w:hint="eastAsia" w:ascii="黑体" w:hAnsi="黑体" w:eastAsia="黑体" w:cs="黑体"/>
          <w:sz w:val="28"/>
          <w:szCs w:val="28"/>
        </w:rPr>
        <w:t>1.2 核心技术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作为一家餐馆，食品的供应是最重要的技术之一。作为一家亲子主题餐馆，我们有专业的装潢师、会做各式家常菜的厨师、布景师等等。为了能够提供更好的服务，我们还有表演团队为家庭庆典提供庆祝演出。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3" w:name="_Toc1735819720"/>
      <w:r>
        <w:rPr>
          <w:rFonts w:hint="eastAsia" w:ascii="黑体" w:hAnsi="黑体" w:eastAsia="黑体" w:cs="黑体"/>
          <w:sz w:val="28"/>
          <w:szCs w:val="28"/>
        </w:rPr>
        <w:t>1.3 团队概述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我们的团队最初的成员是来自北航餐饮厨艺协会的三位会员。随着我们创业计划的推广，越来越多不同院系的同学加入了我们。目前，我们有来着计算机系的负责开发手机APP点餐系统、网页开发等等IT业务的同学；有来着法学院的负责法律顾问的同学；由来着经管学院的负责财务的同学；还有来着北京农业大学的同学，负责采购原材料。还有从社会招募来的服务员和演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团队核心成员共20名，分工明确，主要负责餐馆的日常经营，菜式的研发，亲子活动的策划以及线上推广。团队已经开发了完整的运作流程，进行了详尽的市场分析,撰写了完善的商业项目策划,目前已经完成了创业前期的一切工作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4" w:name="_Toc1462224576"/>
      <w:r>
        <w:rPr>
          <w:rFonts w:hint="eastAsia" w:ascii="黑体" w:hAnsi="黑体" w:eastAsia="黑体" w:cs="黑体"/>
          <w:sz w:val="28"/>
          <w:szCs w:val="28"/>
        </w:rPr>
        <w:t>1.4 发展战略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rFonts w:hint="default"/>
          <w:sz w:val="24"/>
          <w:szCs w:val="24"/>
        </w:rPr>
        <w:t xml:space="preserve"> 近期发展目标 (1-2年)：在北京经营3-4家分店，积累活跃顾客，建立“亲子互动”，“亲子共享美食”的新的生活风尚。加大宣传力度，开发点餐APP。在“饿了吗”等外卖平台提供服务、在微信建立公众号、在微博建立官微、在大众点评获得比较好的评价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rFonts w:hint="default"/>
          <w:sz w:val="24"/>
          <w:szCs w:val="24"/>
        </w:rPr>
        <w:t xml:space="preserve"> 中期发展目标 (3-</w:t>
      </w:r>
      <w:r>
        <w:rPr>
          <w:rFonts w:hint="default"/>
          <w:sz w:val="24"/>
          <w:szCs w:val="24"/>
        </w:rPr>
        <w:t>5</w:t>
      </w:r>
      <w:r>
        <w:rPr>
          <w:rFonts w:hint="default"/>
          <w:sz w:val="24"/>
          <w:szCs w:val="24"/>
        </w:rPr>
        <w:t>年):</w:t>
      </w:r>
      <w:r>
        <w:rPr>
          <w:rFonts w:hint="default"/>
          <w:sz w:val="24"/>
          <w:szCs w:val="24"/>
        </w:rPr>
        <w:t xml:space="preserve"> 把分店扩散到其他省份，特别是餐饮消费占百分比较高的省份。开始走中高档路线，提高服务质量，提供更多增值服务，比如亲子卡拉OK，亲子脱口秀，生日送蛋糕等等。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rFonts w:hint="default"/>
          <w:sz w:val="24"/>
          <w:szCs w:val="24"/>
        </w:rPr>
        <w:t xml:space="preserve"> 长期发展目标(5-10年):</w:t>
      </w:r>
      <w:r>
        <w:rPr>
          <w:rFonts w:hint="default"/>
          <w:sz w:val="24"/>
          <w:szCs w:val="24"/>
        </w:rPr>
        <w:t xml:space="preserve"> 提升品牌知名度，打造国内亲子餐饮领先品牌，开发国外市场，提供国际化的亲子餐饮服务。</w:t>
      </w:r>
      <w:bookmarkStart w:id="99" w:name="_GoBack"/>
      <w:bookmarkEnd w:id="99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5" w:name="_Toc1673159623"/>
      <w:r>
        <w:rPr>
          <w:rFonts w:hint="eastAsia" w:ascii="黑体" w:hAnsi="黑体" w:eastAsia="黑体" w:cs="黑体"/>
          <w:sz w:val="32"/>
          <w:szCs w:val="32"/>
        </w:rPr>
        <w:t>2 产品项目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6" w:name="_Toc316458898"/>
      <w:r>
        <w:rPr>
          <w:rFonts w:hint="eastAsia" w:ascii="黑体" w:hAnsi="黑体" w:eastAsia="黑体" w:cs="黑体"/>
          <w:sz w:val="28"/>
          <w:szCs w:val="28"/>
          <w:lang w:eastAsia="zh-CN"/>
        </w:rPr>
        <w:t>2.1 产业前景</w:t>
      </w:r>
      <w:bookmarkEnd w:id="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7" w:name="_Toc2101112962"/>
      <w:r>
        <w:rPr>
          <w:rFonts w:hint="eastAsia" w:ascii="黑体" w:hAnsi="黑体" w:eastAsia="黑体" w:cs="黑体"/>
          <w:sz w:val="24"/>
          <w:szCs w:val="24"/>
          <w:lang w:eastAsia="zh-CN"/>
        </w:rPr>
        <w:t>2.1.1 背景介绍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8" w:name="_Toc935594877"/>
      <w:r>
        <w:rPr>
          <w:rFonts w:hint="eastAsia" w:ascii="黑体" w:hAnsi="黑体" w:eastAsia="黑体" w:cs="黑体"/>
          <w:sz w:val="24"/>
          <w:szCs w:val="24"/>
          <w:lang w:eastAsia="zh-CN"/>
        </w:rPr>
        <w:t>2.1.2 移动端云计算虚拟三维技术的概念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9" w:name="_Toc376462827"/>
      <w:r>
        <w:rPr>
          <w:rFonts w:hint="eastAsia" w:ascii="黑体" w:hAnsi="黑体" w:eastAsia="黑体" w:cs="黑体"/>
          <w:sz w:val="24"/>
          <w:szCs w:val="24"/>
          <w:lang w:eastAsia="zh-CN"/>
        </w:rPr>
        <w:t>2.1.3 移动端云计算虚拟三维技术在生活中的应用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10" w:name="_Toc1133108034"/>
      <w:r>
        <w:rPr>
          <w:rFonts w:hint="eastAsia" w:ascii="黑体" w:hAnsi="黑体" w:eastAsia="黑体" w:cs="黑体"/>
          <w:sz w:val="28"/>
          <w:szCs w:val="28"/>
          <w:lang w:eastAsia="zh-CN"/>
        </w:rPr>
        <w:t>2.2 产品概述</w:t>
      </w:r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1" w:name="_Toc500022842"/>
      <w:r>
        <w:rPr>
          <w:rFonts w:hint="eastAsia" w:ascii="黑体" w:hAnsi="黑体" w:eastAsia="黑体" w:cs="黑体"/>
          <w:sz w:val="24"/>
          <w:szCs w:val="24"/>
          <w:lang w:eastAsia="zh-CN"/>
        </w:rPr>
        <w:t>2.2.1 产品介绍</w:t>
      </w:r>
      <w:bookmarkEnd w:id="1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2" w:name="_Toc1328860582"/>
      <w:r>
        <w:rPr>
          <w:rFonts w:hint="eastAsia" w:ascii="黑体" w:hAnsi="黑体" w:eastAsia="黑体" w:cs="黑体"/>
          <w:sz w:val="24"/>
          <w:szCs w:val="24"/>
          <w:lang w:eastAsia="zh-CN"/>
        </w:rPr>
        <w:t>2.2.2 产品优势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3" w:name="_Toc486765100"/>
      <w:r>
        <w:rPr>
          <w:rFonts w:hint="eastAsia" w:ascii="黑体" w:hAnsi="黑体" w:eastAsia="黑体" w:cs="黑体"/>
          <w:sz w:val="24"/>
          <w:szCs w:val="24"/>
          <w:lang w:eastAsia="zh-CN"/>
        </w:rPr>
        <w:t>2.2.3 产品前景</w:t>
      </w:r>
      <w:bookmarkEnd w:id="1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4" w:name="_Toc142578485"/>
      <w:r>
        <w:rPr>
          <w:rFonts w:hint="eastAsia" w:ascii="黑体" w:hAnsi="黑体" w:eastAsia="黑体" w:cs="黑体"/>
          <w:sz w:val="24"/>
          <w:szCs w:val="24"/>
          <w:lang w:eastAsia="zh-CN"/>
        </w:rPr>
        <w:t>2.2.4 研究与开发</w:t>
      </w:r>
      <w:bookmarkEnd w:id="1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短期目标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中长期目标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5" w:name="_Toc331879032"/>
      <w:r>
        <w:rPr>
          <w:rFonts w:hint="eastAsia" w:ascii="黑体" w:hAnsi="黑体" w:eastAsia="黑体" w:cs="黑体"/>
          <w:sz w:val="24"/>
          <w:szCs w:val="24"/>
          <w:lang w:eastAsia="zh-CN"/>
        </w:rPr>
        <w:t>2.2.5 未来产品与服务规划</w:t>
      </w:r>
      <w:bookmarkEnd w:id="1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16" w:name="_Toc917236953"/>
      <w:r>
        <w:rPr>
          <w:rFonts w:hint="eastAsia" w:ascii="黑体" w:hAnsi="黑体" w:eastAsia="黑体" w:cs="黑体"/>
          <w:sz w:val="28"/>
          <w:szCs w:val="28"/>
          <w:lang w:eastAsia="zh-CN"/>
        </w:rPr>
        <w:t>2.3 生产技术管理</w:t>
      </w:r>
      <w:bookmarkEnd w:id="1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7" w:name="_Toc210858481"/>
      <w:r>
        <w:rPr>
          <w:rFonts w:hint="eastAsia" w:ascii="黑体" w:hAnsi="黑体" w:eastAsia="黑体" w:cs="黑体"/>
          <w:sz w:val="24"/>
          <w:szCs w:val="24"/>
          <w:lang w:eastAsia="zh-CN"/>
        </w:rPr>
        <w:t>2.3.1 生产场地管理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8" w:name="_Toc1263764684"/>
      <w:r>
        <w:rPr>
          <w:rFonts w:hint="eastAsia" w:ascii="黑体" w:hAnsi="黑体" w:eastAsia="黑体" w:cs="黑体"/>
          <w:sz w:val="24"/>
          <w:szCs w:val="24"/>
          <w:lang w:eastAsia="zh-CN"/>
        </w:rPr>
        <w:t>2.3.2 原材料的采购与管理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9" w:name="_Toc1998475775"/>
      <w:r>
        <w:rPr>
          <w:rFonts w:hint="eastAsia" w:ascii="黑体" w:hAnsi="黑体" w:eastAsia="黑体" w:cs="黑体"/>
          <w:sz w:val="24"/>
          <w:szCs w:val="24"/>
          <w:lang w:eastAsia="zh-CN"/>
        </w:rPr>
        <w:t>2.3.3 产品质量管理</w:t>
      </w:r>
      <w:bookmarkEnd w:id="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0" w:name="_Toc159908927"/>
      <w:r>
        <w:rPr>
          <w:rFonts w:hint="eastAsia" w:ascii="黑体" w:hAnsi="黑体" w:eastAsia="黑体" w:cs="黑体"/>
          <w:sz w:val="24"/>
          <w:szCs w:val="24"/>
          <w:lang w:eastAsia="zh-CN"/>
        </w:rPr>
        <w:t>2.3.4 成本控制</w:t>
      </w:r>
      <w:bookmarkEnd w:id="2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1" w:name="_Toc639543792"/>
      <w:r>
        <w:rPr>
          <w:rFonts w:hint="eastAsia" w:ascii="黑体" w:hAnsi="黑体" w:eastAsia="黑体" w:cs="黑体"/>
          <w:sz w:val="24"/>
          <w:szCs w:val="24"/>
          <w:lang w:eastAsia="zh-CN"/>
        </w:rPr>
        <w:t>2.3.5 管理模式</w:t>
      </w:r>
      <w:bookmarkEnd w:id="21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22" w:name="_Toc817046438"/>
      <w:r>
        <w:rPr>
          <w:rFonts w:hint="eastAsia" w:ascii="黑体" w:hAnsi="黑体" w:eastAsia="黑体" w:cs="黑体"/>
          <w:sz w:val="32"/>
          <w:szCs w:val="32"/>
          <w:lang w:eastAsia="zh-CN"/>
        </w:rPr>
        <w:t>3 市场调查与分析</w:t>
      </w:r>
      <w:bookmarkEnd w:id="2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3" w:name="_Toc329508027"/>
      <w:r>
        <w:rPr>
          <w:rFonts w:hint="eastAsia" w:ascii="黑体" w:hAnsi="黑体" w:eastAsia="黑体" w:cs="黑体"/>
          <w:sz w:val="28"/>
          <w:szCs w:val="28"/>
          <w:lang w:eastAsia="zh-CN"/>
        </w:rPr>
        <w:t>3.1 移动端云计算虚拟三维产业链分析</w:t>
      </w:r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4" w:name="_Toc1383591503"/>
      <w:r>
        <w:rPr>
          <w:rFonts w:hint="eastAsia" w:ascii="黑体" w:hAnsi="黑体" w:eastAsia="黑体" w:cs="黑体"/>
          <w:sz w:val="28"/>
          <w:szCs w:val="28"/>
          <w:lang w:eastAsia="zh-CN"/>
        </w:rPr>
        <w:t>3.2 竞争因素分析</w:t>
      </w:r>
      <w:bookmarkEnd w:id="2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5" w:name="_Toc154928642"/>
      <w:r>
        <w:rPr>
          <w:rFonts w:hint="eastAsia" w:ascii="黑体" w:hAnsi="黑体" w:eastAsia="黑体" w:cs="黑体"/>
          <w:sz w:val="24"/>
          <w:szCs w:val="24"/>
          <w:lang w:eastAsia="zh-CN"/>
        </w:rPr>
        <w:t>3.2.1 竞争产品分析</w:t>
      </w:r>
      <w:bookmarkEnd w:id="2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6" w:name="_Toc554572348"/>
      <w:r>
        <w:rPr>
          <w:rFonts w:hint="eastAsia" w:ascii="黑体" w:hAnsi="黑体" w:eastAsia="黑体" w:cs="黑体"/>
          <w:sz w:val="24"/>
          <w:szCs w:val="24"/>
          <w:lang w:eastAsia="zh-CN"/>
        </w:rPr>
        <w:t>3.2.2 潜在进入者分析</w:t>
      </w:r>
      <w:bookmarkEnd w:id="2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7" w:name="_Toc150929058"/>
      <w:r>
        <w:rPr>
          <w:rFonts w:hint="eastAsia" w:ascii="黑体" w:hAnsi="黑体" w:eastAsia="黑体" w:cs="黑体"/>
          <w:sz w:val="24"/>
          <w:szCs w:val="24"/>
          <w:lang w:eastAsia="zh-CN"/>
        </w:rPr>
        <w:t>3.2.3 竞争优势分析</w:t>
      </w:r>
      <w:bookmarkEnd w:id="2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8" w:name="_Toc1113651491"/>
      <w:r>
        <w:rPr>
          <w:rFonts w:hint="eastAsia" w:ascii="黑体" w:hAnsi="黑体" w:eastAsia="黑体" w:cs="黑体"/>
          <w:sz w:val="28"/>
          <w:szCs w:val="28"/>
          <w:lang w:eastAsia="zh-CN"/>
        </w:rPr>
        <w:t>3.3 市场发展预期走势分析</w:t>
      </w:r>
      <w:bookmarkEnd w:id="2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9" w:name="_Toc430684000"/>
      <w:r>
        <w:rPr>
          <w:rFonts w:hint="eastAsia" w:ascii="黑体" w:hAnsi="黑体" w:eastAsia="黑体" w:cs="黑体"/>
          <w:sz w:val="28"/>
          <w:szCs w:val="28"/>
          <w:lang w:eastAsia="zh-CN"/>
        </w:rPr>
        <w:t>3.4 市场预测分析</w:t>
      </w:r>
      <w:bookmarkEnd w:id="2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0" w:name="_Toc177337915"/>
      <w:r>
        <w:rPr>
          <w:rFonts w:hint="eastAsia" w:ascii="黑体" w:hAnsi="黑体" w:eastAsia="黑体" w:cs="黑体"/>
          <w:sz w:val="24"/>
          <w:szCs w:val="24"/>
          <w:lang w:eastAsia="zh-CN"/>
        </w:rPr>
        <w:t>3.4.1 预测的市场规模与总容量</w:t>
      </w:r>
      <w:bookmarkEnd w:id="3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1" w:name="_Toc961332380"/>
      <w:r>
        <w:rPr>
          <w:rFonts w:hint="eastAsia" w:ascii="黑体" w:hAnsi="黑体" w:eastAsia="黑体" w:cs="黑体"/>
          <w:sz w:val="24"/>
          <w:szCs w:val="24"/>
          <w:lang w:eastAsia="zh-CN"/>
        </w:rPr>
        <w:t>3.4.2 行业市场划分与应用内容</w:t>
      </w:r>
      <w:bookmarkEnd w:id="3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2" w:name="_Toc1456220559"/>
      <w:r>
        <w:rPr>
          <w:rFonts w:hint="eastAsia" w:ascii="黑体" w:hAnsi="黑体" w:eastAsia="黑体" w:cs="黑体"/>
          <w:sz w:val="24"/>
          <w:szCs w:val="24"/>
          <w:lang w:eastAsia="zh-CN"/>
        </w:rPr>
        <w:t>3.4.3 移动端云计算三维的商业模式</w:t>
      </w:r>
      <w:bookmarkEnd w:id="32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33" w:name="_Toc470070159"/>
      <w:r>
        <w:rPr>
          <w:rFonts w:hint="eastAsia" w:ascii="黑体" w:hAnsi="黑体" w:eastAsia="黑体" w:cs="黑体"/>
          <w:sz w:val="32"/>
          <w:szCs w:val="32"/>
          <w:lang w:eastAsia="zh-CN"/>
        </w:rPr>
        <w:t>4 市场营销</w:t>
      </w:r>
      <w:bookmarkEnd w:id="3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34" w:name="_Toc549668452"/>
      <w:r>
        <w:rPr>
          <w:rFonts w:hint="eastAsia" w:ascii="黑体" w:hAnsi="黑体" w:eastAsia="黑体" w:cs="黑体"/>
          <w:sz w:val="28"/>
          <w:szCs w:val="28"/>
          <w:lang w:eastAsia="zh-CN"/>
        </w:rPr>
        <w:t>4.1 营销计划</w:t>
      </w:r>
      <w:bookmarkEnd w:id="3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5" w:name="_Toc770961487"/>
      <w:r>
        <w:rPr>
          <w:rFonts w:hint="eastAsia" w:ascii="黑体" w:hAnsi="黑体" w:eastAsia="黑体" w:cs="黑体"/>
          <w:sz w:val="24"/>
          <w:szCs w:val="24"/>
          <w:lang w:eastAsia="zh-CN"/>
        </w:rPr>
        <w:t>4.1.1 市场进入和开发阶段(1-2 年)</w:t>
      </w:r>
      <w:bookmarkEnd w:id="3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6" w:name="_Toc2143229782"/>
      <w:r>
        <w:rPr>
          <w:rFonts w:hint="eastAsia" w:ascii="黑体" w:hAnsi="黑体" w:eastAsia="黑体" w:cs="黑体"/>
          <w:sz w:val="24"/>
          <w:szCs w:val="24"/>
          <w:lang w:eastAsia="zh-CN"/>
        </w:rPr>
        <w:t>4.1.2 市场成长阶段(3-5 年)</w:t>
      </w:r>
      <w:bookmarkEnd w:id="3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7" w:name="_Toc866127351"/>
      <w:r>
        <w:rPr>
          <w:rFonts w:hint="eastAsia" w:ascii="黑体" w:hAnsi="黑体" w:eastAsia="黑体" w:cs="黑体"/>
          <w:sz w:val="24"/>
          <w:szCs w:val="24"/>
          <w:lang w:eastAsia="zh-CN"/>
        </w:rPr>
        <w:t>4.1.3 市场成熟阶段(5-10 年)</w:t>
      </w:r>
      <w:bookmarkEnd w:id="3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38" w:name="_Toc724590801"/>
      <w:r>
        <w:rPr>
          <w:rFonts w:hint="eastAsia" w:ascii="黑体" w:hAnsi="黑体" w:eastAsia="黑体" w:cs="黑体"/>
          <w:sz w:val="28"/>
          <w:szCs w:val="28"/>
          <w:lang w:eastAsia="zh-CN"/>
        </w:rPr>
        <w:t>4.2 定价战略</w:t>
      </w:r>
      <w:bookmarkEnd w:id="38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39" w:name="_Toc931341011"/>
      <w:r>
        <w:rPr>
          <w:rFonts w:hint="eastAsia" w:ascii="黑体" w:hAnsi="黑体" w:eastAsia="黑体" w:cs="黑体"/>
          <w:sz w:val="32"/>
          <w:szCs w:val="32"/>
          <w:lang w:eastAsia="zh-CN"/>
        </w:rPr>
        <w:t>5 机遇与风险</w:t>
      </w:r>
      <w:bookmarkEnd w:id="3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0" w:name="_Toc1242590178"/>
      <w:r>
        <w:rPr>
          <w:rFonts w:hint="eastAsia" w:ascii="黑体" w:hAnsi="黑体" w:eastAsia="黑体" w:cs="黑体"/>
          <w:sz w:val="28"/>
          <w:szCs w:val="28"/>
          <w:lang w:eastAsia="zh-CN"/>
        </w:rPr>
        <w:t>5.1 机遇</w:t>
      </w:r>
      <w:bookmarkEnd w:id="4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1" w:name="_Toc1857698836"/>
      <w:r>
        <w:rPr>
          <w:rFonts w:hint="eastAsia" w:ascii="黑体" w:hAnsi="黑体" w:eastAsia="黑体" w:cs="黑体"/>
          <w:sz w:val="28"/>
          <w:szCs w:val="28"/>
          <w:lang w:eastAsia="zh-CN"/>
        </w:rPr>
        <w:t>5.2 外部风险</w:t>
      </w:r>
      <w:bookmarkEnd w:id="4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2" w:name="_Toc1431363854"/>
      <w:r>
        <w:rPr>
          <w:rFonts w:hint="eastAsia" w:ascii="黑体" w:hAnsi="黑体" w:eastAsia="黑体" w:cs="黑体"/>
          <w:sz w:val="28"/>
          <w:szCs w:val="28"/>
          <w:lang w:eastAsia="zh-CN"/>
        </w:rPr>
        <w:t>5.3 内部风险</w:t>
      </w:r>
      <w:bookmarkEnd w:id="4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3" w:name="_Toc423967113"/>
      <w:r>
        <w:rPr>
          <w:rFonts w:hint="eastAsia" w:ascii="黑体" w:hAnsi="黑体" w:eastAsia="黑体" w:cs="黑体"/>
          <w:sz w:val="28"/>
          <w:szCs w:val="28"/>
          <w:lang w:eastAsia="zh-CN"/>
        </w:rPr>
        <w:t>5.4 解决方案</w:t>
      </w:r>
      <w:bookmarkEnd w:id="43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44" w:name="_Toc196980288"/>
      <w:r>
        <w:rPr>
          <w:rFonts w:hint="eastAsia" w:ascii="黑体" w:hAnsi="黑体" w:eastAsia="黑体" w:cs="黑体"/>
          <w:sz w:val="32"/>
          <w:szCs w:val="32"/>
          <w:lang w:eastAsia="zh-CN"/>
        </w:rPr>
        <w:t>6 组织与管理</w:t>
      </w:r>
      <w:bookmarkEnd w:id="4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5" w:name="_Toc1573942339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6.1 公司简介</w:t>
      </w:r>
      <w:bookmarkEnd w:id="4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6" w:name="_Toc755846145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6.2 公司的核心价值观</w:t>
      </w:r>
      <w:bookmarkEnd w:id="4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7" w:name="_Toc1114217242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6.3 公司目标</w:t>
      </w:r>
      <w:bookmarkEnd w:id="4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8" w:name="_Toc1784800821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6.4 公司组织结构</w:t>
      </w:r>
      <w:bookmarkEnd w:id="4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49" w:name="_Toc201961082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6.4.1 公司初期组织结构</w:t>
      </w:r>
      <w:bookmarkEnd w:id="4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0" w:name="_Toc96520936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6.4.2 公司中后期结构</w:t>
      </w:r>
      <w:bookmarkEnd w:id="5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1" w:name="_Toc1944709748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6.5 管理形式</w:t>
      </w:r>
      <w:bookmarkEnd w:id="5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2" w:name="_Toc511670974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6.5.1 管理团队和基本思想</w:t>
      </w:r>
      <w:bookmarkEnd w:id="5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3" w:name="_Toc178225580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6.5.2 岗位说明书</w:t>
      </w:r>
      <w:bookmarkEnd w:id="5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4" w:name="_Toc12673412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6.5.3 公司的规章制度</w:t>
      </w:r>
      <w:bookmarkEnd w:id="5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5" w:name="_Toc1895262477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6.6 企业文化</w:t>
      </w:r>
      <w:bookmarkEnd w:id="5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6" w:name="_Toc1937184450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6.6.1 团队标志</w:t>
      </w:r>
      <w:bookmarkEnd w:id="5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7" w:name="_Toc6813064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6.6.2 企业文化理念</w:t>
      </w:r>
      <w:bookmarkEnd w:id="5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8" w:name="_Toc2046191535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6.7 人力激励与约束机制</w:t>
      </w:r>
      <w:bookmarkEnd w:id="5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9" w:name="_Toc903352293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6.7.1 激励机制</w:t>
      </w:r>
      <w:bookmarkEnd w:id="5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0" w:name="_Toc11119904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6.7.2 约束机制</w:t>
      </w:r>
      <w:bookmarkEnd w:id="60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61" w:name="_Toc76045803"/>
      <w:r>
        <w:rPr>
          <w:rFonts w:hint="eastAsia" w:ascii="黑体" w:hAnsi="黑体" w:eastAsia="黑体" w:cs="黑体"/>
          <w:sz w:val="32"/>
          <w:szCs w:val="32"/>
          <w:lang w:eastAsia="zh-CN"/>
        </w:rPr>
        <w:t>7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财务计划</w:t>
      </w:r>
      <w:bookmarkEnd w:id="61"/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2" w:name="_Toc1864684673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7.1 股本结构与规模</w:t>
      </w:r>
      <w:bookmarkEnd w:id="6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3" w:name="_Toc420727386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7.2 运营收入及相关税金估算</w:t>
      </w:r>
      <w:bookmarkEnd w:id="6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4" w:name="_Toc546115962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7.2.1 公司营业量及营业收入估算:</w:t>
      </w:r>
      <w:bookmarkEnd w:id="6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5" w:name="_Toc266869478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7.2.2 运营收入及税额估算</w:t>
      </w:r>
      <w:bookmarkEnd w:id="6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6" w:name="_Toc1191688873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7.3 投资状况</w:t>
      </w:r>
      <w:bookmarkEnd w:id="6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7" w:name="_Toc54186209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7.3.1 初始投资</w:t>
      </w:r>
      <w:bookmarkEnd w:id="6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8" w:name="_Toc113299682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7.3.2 固定资产投资估算</w:t>
      </w:r>
      <w:bookmarkEnd w:id="6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9" w:name="_Toc19162796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7.3.3 投资使用计划与资金筹措</w:t>
      </w:r>
      <w:bookmarkEnd w:id="6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70" w:name="_Toc1473203108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7.4 成本费用估算</w:t>
      </w:r>
      <w:bookmarkEnd w:id="7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1" w:name="_Toc22810335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7.4.1 研发费用</w:t>
      </w:r>
      <w:bookmarkEnd w:id="7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2" w:name="_Toc1626494863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7.4.2 员工结构及工资费用</w:t>
      </w:r>
      <w:bookmarkEnd w:id="7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3" w:name="_Toc757083314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7.4.3 折旧费用</w:t>
      </w:r>
      <w:bookmarkEnd w:id="7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4" w:name="_Toc652070472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7.4.4 办公、差旅费用</w:t>
      </w:r>
      <w:bookmarkEnd w:id="7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5" w:name="_Toc1823475151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7.4.5 摊销费</w:t>
      </w:r>
      <w:bookmarkEnd w:id="7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6" w:name="_Toc183542006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7.4.6 公关及宣传费用</w:t>
      </w:r>
      <w:bookmarkEnd w:id="76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77" w:name="_Toc1407916618"/>
      <w:r>
        <w:rPr>
          <w:rFonts w:hint="eastAsia" w:ascii="黑体" w:hAnsi="黑体" w:eastAsia="黑体" w:cs="黑体"/>
          <w:sz w:val="32"/>
          <w:szCs w:val="32"/>
          <w:lang w:eastAsia="zh-CN"/>
        </w:rPr>
        <w:t>8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财务分析</w:t>
      </w:r>
      <w:bookmarkEnd w:id="7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78" w:name="_Toc790208745"/>
      <w:r>
        <w:rPr>
          <w:rFonts w:hint="eastAsia" w:ascii="黑体" w:hAnsi="黑体" w:eastAsia="黑体" w:cs="黑体"/>
          <w:sz w:val="28"/>
          <w:szCs w:val="28"/>
          <w:lang w:eastAsia="zh-CN"/>
        </w:rPr>
        <w:t>8.1 公司利润表及现金流量表</w:t>
      </w:r>
      <w:bookmarkEnd w:id="7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79" w:name="_Toc1968342827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8.1.1 公司利润估算分析</w:t>
      </w:r>
      <w:bookmarkEnd w:id="7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0" w:name="_Toc1280043799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8.1.2 公司现金流量分析</w:t>
      </w:r>
      <w:bookmarkEnd w:id="8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1" w:name="_Toc1755418114"/>
      <w:r>
        <w:rPr>
          <w:rFonts w:hint="eastAsia" w:ascii="黑体" w:hAnsi="黑体" w:eastAsia="黑体" w:cs="黑体"/>
          <w:sz w:val="28"/>
          <w:szCs w:val="28"/>
          <w:lang w:eastAsia="zh-CN"/>
        </w:rPr>
        <w:t>8.2 公司盈利能力分析</w:t>
      </w:r>
      <w:bookmarkEnd w:id="8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2" w:name="_Toc1765568927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8.2.1 静态盈利能力分析</w:t>
      </w:r>
      <w:bookmarkEnd w:id="8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3" w:name="_Toc179171477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8.2.2 动态盈利能力分析</w:t>
      </w:r>
      <w:bookmarkEnd w:id="8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4" w:name="_Toc1390190274"/>
      <w:r>
        <w:rPr>
          <w:rFonts w:hint="eastAsia" w:ascii="黑体" w:hAnsi="黑体" w:eastAsia="黑体" w:cs="黑体"/>
          <w:sz w:val="28"/>
          <w:szCs w:val="28"/>
          <w:lang w:eastAsia="zh-CN"/>
        </w:rPr>
        <w:t>8.3 敏感性分析</w:t>
      </w:r>
      <w:bookmarkEnd w:id="84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85" w:name="_Toc1892303054"/>
      <w:r>
        <w:rPr>
          <w:rFonts w:hint="default" w:ascii="黑体" w:hAnsi="黑体" w:cs="黑体"/>
          <w:sz w:val="32"/>
          <w:szCs w:val="32"/>
          <w:lang w:eastAsia="zh-CN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投资分析</w:t>
      </w:r>
      <w:bookmarkEnd w:id="8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6" w:name="_Toc1539493603"/>
      <w:r>
        <w:rPr>
          <w:rFonts w:hint="eastAsia" w:ascii="黑体" w:hAnsi="黑体" w:eastAsia="黑体" w:cs="黑体"/>
          <w:sz w:val="28"/>
          <w:szCs w:val="28"/>
          <w:lang w:eastAsia="zh-CN"/>
        </w:rPr>
        <w:t>9.1 投资结构及分析</w:t>
      </w:r>
      <w:bookmarkEnd w:id="8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7" w:name="_Toc1179891076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9.1.1 注册资本结构与规模</w:t>
      </w:r>
      <w:bookmarkEnd w:id="8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8" w:name="_Toc426125881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9.1.2 投资回报</w:t>
      </w:r>
      <w:bookmarkEnd w:id="8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9" w:name="_Toc1438201490"/>
      <w:r>
        <w:rPr>
          <w:rFonts w:hint="eastAsia" w:ascii="黑体" w:hAnsi="黑体" w:eastAsia="黑体" w:cs="黑体"/>
          <w:sz w:val="28"/>
          <w:szCs w:val="28"/>
          <w:lang w:eastAsia="zh-CN"/>
        </w:rPr>
        <w:t>9.2 风险分析及防范措施</w:t>
      </w:r>
      <w:bookmarkEnd w:id="8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0" w:name="_Toc2083243369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9.2.1风险管理系统</w:t>
      </w:r>
      <w:bookmarkEnd w:id="9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1" w:name="_Toc1538116356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9.2.2 市场风险</w:t>
      </w:r>
      <w:bookmarkEnd w:id="9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2" w:name="_Toc151424729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9.2.3 运作风险</w:t>
      </w:r>
      <w:bookmarkEnd w:id="9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3" w:name="_Toc1800444395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9.2.4 人力资源风险</w:t>
      </w:r>
      <w:bookmarkEnd w:id="9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4" w:name="_Toc195884374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9.2.5 公关风险</w:t>
      </w:r>
      <w:bookmarkEnd w:id="9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95" w:name="_Toc2060363256"/>
      <w:r>
        <w:rPr>
          <w:rFonts w:hint="eastAsia" w:ascii="黑体" w:hAnsi="黑体" w:eastAsia="黑体" w:cs="黑体"/>
          <w:sz w:val="28"/>
          <w:szCs w:val="28"/>
          <w:lang w:eastAsia="zh-CN"/>
        </w:rPr>
        <w:t>9.3 风险投资资金的撤出方式</w:t>
      </w:r>
      <w:bookmarkEnd w:id="95"/>
    </w:p>
    <w:p>
      <w:pPr>
        <w:pStyle w:val="2"/>
        <w:outlineLvl w:val="0"/>
        <w:rPr>
          <w:rFonts w:hint="eastAsia"/>
          <w:lang w:eastAsia="zh-CN"/>
        </w:rPr>
      </w:pPr>
      <w:bookmarkStart w:id="96" w:name="_Toc2067313873"/>
      <w:r>
        <w:rPr>
          <w:rFonts w:hint="eastAsia"/>
          <w:lang w:eastAsia="zh-CN"/>
        </w:rPr>
        <w:t>附录 1 公司经营第五年资产负债表</w:t>
      </w:r>
      <w:bookmarkEnd w:id="96"/>
    </w:p>
    <w:p>
      <w:pPr>
        <w:pStyle w:val="2"/>
        <w:rPr>
          <w:rFonts w:hint="eastAsia"/>
          <w:lang w:eastAsia="zh-CN"/>
        </w:rPr>
      </w:pPr>
      <w:bookmarkStart w:id="97" w:name="_Toc1003048968"/>
      <w:r>
        <w:rPr>
          <w:rFonts w:hint="eastAsia"/>
          <w:lang w:eastAsia="zh-CN"/>
        </w:rPr>
        <w:t>附录 2公司经营五年期利润表</w:t>
      </w:r>
      <w:bookmarkEnd w:id="97"/>
    </w:p>
    <w:p>
      <w:pPr>
        <w:pStyle w:val="2"/>
        <w:rPr>
          <w:rFonts w:hint="eastAsia"/>
          <w:lang w:eastAsia="zh-CN"/>
        </w:rPr>
      </w:pPr>
      <w:bookmarkStart w:id="98" w:name="_Toc454741705"/>
      <w:r>
        <w:rPr>
          <w:rFonts w:hint="eastAsia"/>
          <w:lang w:eastAsia="zh-CN"/>
        </w:rPr>
        <w:t>附录 3公司经营五年期现金流量表</w:t>
      </w:r>
      <w:bookmarkEnd w:id="98"/>
    </w:p>
    <w:sectPr>
      <w:headerReference r:id="rId8" w:type="default"/>
      <w:footerReference r:id="rId9" w:type="default"/>
      <w:pgSz w:w="11906" w:h="16838"/>
      <w:pgMar w:top="1417" w:right="1134" w:bottom="1417" w:left="1701" w:header="851" w:footer="992" w:gutter="0"/>
      <w:paperSrc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楷体">
    <w:altName w:val="FZKai-Z03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华文中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9z1vb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a62yAgAA1w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w5Wut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hp6TO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B4aekz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ebOze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nmzs3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rFonts w:hint="eastAsia" w:asciiTheme="minorEastAsia" w:hAnsiTheme="minorEastAsia" w:eastAsiaTheme="minorEastAsia" w:cstheme="minorEastAsia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u w:val="single"/>
      </w:rPr>
    </w:pPr>
    <w:r>
      <w:rPr>
        <w:rFonts w:hint="default"/>
        <w:u w:val="single"/>
      </w:rPr>
      <w:t>北</w:t>
    </w:r>
    <w:r>
      <w:rPr>
        <w:rFonts w:hint="default"/>
        <w:u w:val="single"/>
      </w:rPr>
      <w:t>京航空航天大学第二十八届“冯如杯”学生创业计划竞赛参赛作品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A32D4"/>
    <w:rsid w:val="1A4D2617"/>
    <w:rsid w:val="1E7D1283"/>
    <w:rsid w:val="2EBFB001"/>
    <w:rsid w:val="2FF7B286"/>
    <w:rsid w:val="377FF002"/>
    <w:rsid w:val="37CF9C34"/>
    <w:rsid w:val="3BF22CCA"/>
    <w:rsid w:val="3F3A23B9"/>
    <w:rsid w:val="4CFD60CB"/>
    <w:rsid w:val="4EB89CC8"/>
    <w:rsid w:val="57B910F0"/>
    <w:rsid w:val="5B76EE13"/>
    <w:rsid w:val="5BDF7C48"/>
    <w:rsid w:val="5D7CC2C5"/>
    <w:rsid w:val="5DF6B632"/>
    <w:rsid w:val="5FB3E20A"/>
    <w:rsid w:val="5FFFFFEB"/>
    <w:rsid w:val="62EFAA4C"/>
    <w:rsid w:val="6DB4C395"/>
    <w:rsid w:val="6E7F5948"/>
    <w:rsid w:val="6F2B680B"/>
    <w:rsid w:val="725FBC46"/>
    <w:rsid w:val="73B661C7"/>
    <w:rsid w:val="74F795DE"/>
    <w:rsid w:val="75FA7FE5"/>
    <w:rsid w:val="77B60E53"/>
    <w:rsid w:val="77CF6D5A"/>
    <w:rsid w:val="77D48F87"/>
    <w:rsid w:val="7A5F5077"/>
    <w:rsid w:val="7A7FE625"/>
    <w:rsid w:val="7C6CA64F"/>
    <w:rsid w:val="7E3771F4"/>
    <w:rsid w:val="7F6D3917"/>
    <w:rsid w:val="7FBFCE2A"/>
    <w:rsid w:val="7FD3EA3B"/>
    <w:rsid w:val="9FBBF0E8"/>
    <w:rsid w:val="A97B68DC"/>
    <w:rsid w:val="AD7E144E"/>
    <w:rsid w:val="AFA3516C"/>
    <w:rsid w:val="B7779973"/>
    <w:rsid w:val="B9D3CEA4"/>
    <w:rsid w:val="BE2FF99D"/>
    <w:rsid w:val="BEFEA6DF"/>
    <w:rsid w:val="BF5DBC74"/>
    <w:rsid w:val="BF7A1A9F"/>
    <w:rsid w:val="BF8F1711"/>
    <w:rsid w:val="BFEFDDB9"/>
    <w:rsid w:val="CFFEBA9F"/>
    <w:rsid w:val="DBFF10F0"/>
    <w:rsid w:val="DE5F44A0"/>
    <w:rsid w:val="DFBF3256"/>
    <w:rsid w:val="DFFB9404"/>
    <w:rsid w:val="E46F0980"/>
    <w:rsid w:val="E6DE3619"/>
    <w:rsid w:val="E7EDECD4"/>
    <w:rsid w:val="EBFFF559"/>
    <w:rsid w:val="ECD96AA3"/>
    <w:rsid w:val="EF3FD582"/>
    <w:rsid w:val="EFF71584"/>
    <w:rsid w:val="EFFFE303"/>
    <w:rsid w:val="F1DBF0AF"/>
    <w:rsid w:val="F2E7C393"/>
    <w:rsid w:val="F5789050"/>
    <w:rsid w:val="F5D5D8A9"/>
    <w:rsid w:val="F74FBA3A"/>
    <w:rsid w:val="F77D5C6B"/>
    <w:rsid w:val="F79B976A"/>
    <w:rsid w:val="F7F77D07"/>
    <w:rsid w:val="F7FB09C0"/>
    <w:rsid w:val="F7FFCDE0"/>
    <w:rsid w:val="FA993E81"/>
    <w:rsid w:val="FABE7B23"/>
    <w:rsid w:val="FAFE820B"/>
    <w:rsid w:val="FBEF47E3"/>
    <w:rsid w:val="FC83DA3A"/>
    <w:rsid w:val="FCC30B66"/>
    <w:rsid w:val="FDFB49B3"/>
    <w:rsid w:val="FE6DF20D"/>
    <w:rsid w:val="FEB7BA87"/>
    <w:rsid w:val="FEF644DF"/>
    <w:rsid w:val="FEF98EF5"/>
    <w:rsid w:val="FEFE8DA5"/>
    <w:rsid w:val="FF27534C"/>
    <w:rsid w:val="FF7EA340"/>
    <w:rsid w:val="FFFF4F19"/>
    <w:rsid w:val="FFFF88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gsdfc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ailboat"/>
    </customSectPr>
    <customSectPr>
      <sectNamePr val="Table of Content"/>
    </customSectPr>
    <customSectPr>
      <sectNamePr val="Table of Content"/>
    </customSectPr>
    <customSectPr>
      <sectNamePr val="Table of Content"/>
    </customSectPr>
    <customSectPr>
      <sectNamePr val="Main Content"/>
    </customSectPr>
  </customSectProps>
  <customShpExts>
    <customShpInfo spid="_x0000_s1026" textRotate="1"/>
    <customShpInfo spid="_x0000_s1050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2018-02-22T07:18:00Z</dcterms:created>
  <dc:creator>cgsdfc</dc:creator>
  <cp:lastModifiedBy>cgsdfc</cp:lastModifiedBy>
  <dcterms:modified xsi:type="dcterms:W3CDTF">2018-03-01T21:08:09Z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