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s1050" o:spid="_x0000_s1050" o:spt="75" alt="16" type="#_x0000_t75" style="position:absolute;left:0pt;margin-left:0pt;margin-top:2.2pt;height:840.6pt;width:612.5pt;mso-position-horizontal-relative:page;mso-position-vertical-relative:page;z-index:-251658240;mso-width-relative:page;mso-height-relative:page;" filled="f" o:preferrelative="f" stroked="f" coordsize="21600,21600">
            <v:path/>
            <v:fill on="f" focussize="0,0"/>
            <v:stroke on="f" joinstyle="miter"/>
            <v:imagedata r:id="rId10" o:title="16"/>
            <o:lock v:ext="edit" aspectratio="f"/>
          </v:shape>
        </w:pic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17" w:right="1134" w:bottom="1417" w:left="1701" w:header="851" w:footer="992" w:gutter="0"/>
          <w:paperSrc/>
          <w:pgNumType w:fmt="decimal" w:start="1"/>
          <w:cols w:space="0" w:num="1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4297680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6940" y="522795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25pt;margin-top:338.4pt;height:144pt;width:144pt;mso-wrap-style:none;z-index:251666432;mso-width-relative:page;mso-height-relative:page;" filled="f" stroked="f" coordsize="21600,21600" o:gfxdata="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NkQOPaAAAADAEAAA8A&#10;AAAAAAAAAQAgAAAAIgAAAGRycy9kb3ducmV2LnhtbFBLAQIUABQAAAAIAIdO4kAC+Rm2FQIAACIE&#10;AAAOAAAAAAAAAAEAIAAAACk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4C4C4C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3672840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北京爱厨艺餐饮有限公司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2pt;margin-top:289.2pt;height:144pt;width:144pt;mso-wrap-style:none;z-index:251661312;mso-width-relative:page;mso-height-relative:page;" filled="f" stroked="f" coordsize="21600,21600" o:gfxdata="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ZV7g9oAAAALAQAADwAAAAAAAAABACAAAAAi&#10;AAAAZHJzL2Rvd25yZXYueG1sUEsBAhQAFAAAAAgAh07iQCwJ0xIIAgAAFgQAAA4AAAAAAAAAAQAg&#10;AAAAKQEAAGRycy9lMm9Eb2MueG1sUEsFBgAAAAAGAAYAWQEAAK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4C4C4C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北京爱厨艺餐饮有限公司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1083945</wp:posOffset>
                </wp:positionV>
                <wp:extent cx="63754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9160" y="3071495"/>
                          <a:ext cx="63754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以亲子互动为主题的特色餐馆的市场推广策划书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5pt;margin-top:85.35pt;height:144pt;width:502pt;z-index:251667456;mso-width-relative:page;mso-height-relative:page;" filled="f" stroked="f" coordsize="21600,21600" o:gfxdata="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afS/tcAAAALAQAA&#10;DwAAAAAAAAABACAAAAAiAAAAZHJzL2Rvd25yZXYueG1sUEsBAhQAFAAAAAgAh07iQPFLO7YaAgAA&#10;JAQAAA4AAAAAAAAAAQAgAAAAJ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color w:val="5B9BD5" w:themeColor="accent1"/>
                          <w:sz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:sz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以亲子互动为主题的特色餐馆的市场推广策划书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u w:val="none"/>
          <w:lang w:eastAsia="zh-CN"/>
        </w:rPr>
        <w:pict>
          <v:shape id="_x0000_s1048" o:spid="_x0000_s1048" o:spt="136" type="#_x0000_t136" style="position:absolute;left:0pt;margin-left:130.7pt;margin-top:459.35pt;height:83pt;width:364.1pt;z-index:251660288;mso-width-relative:page;mso-height-relative:page;" fillcolor="#FFFFFF" filled="t" stroked="t" coordsize="21600,21600" adj="10800">
            <v:path/>
            <v:fill on="t" focussize="0,0"/>
            <v:stroke color="#000000"/>
            <v:imagedata o:title=""/>
            <o:lock v:ext="edit" aspectratio="f"/>
            <v:textpath on="t" fitpath="t" trim="t" xscale="f" string=" " style="font-family:Times New Roman;font-size:36pt;font-weight:bold;v-text-align:center;"/>
          </v:shape>
        </w:pict>
      </w:r>
    </w:p>
    <w:p>
      <w:pPr>
        <w:pStyle w:val="10"/>
        <w:tabs>
          <w:tab w:val="right" w:leader="dot" w:pos="9071"/>
        </w:tabs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default" w:ascii="黑体" w:hAnsi="黑体" w:eastAsia="黑体" w:cs="黑体"/>
          <w:sz w:val="32"/>
          <w:szCs w:val="32"/>
        </w:rPr>
        <w:t>目录</w:t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sz w:val="32"/>
          <w:szCs w:val="32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</w:rPr>
        <w:instrText xml:space="preserve">TOC \o "1-3" \t "" \h \z \u </w:instrText>
      </w:r>
      <w:r>
        <w:rPr>
          <w:rFonts w:hint="eastAsia" w:ascii="黑体" w:hAnsi="黑体" w:eastAsia="黑体" w:cs="黑体"/>
          <w:sz w:val="32"/>
          <w:szCs w:val="32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eastAsia="zh-CN" w:bidi="ar-SA"/>
        </w:rPr>
        <w:fldChar w:fldCharType="begin"/>
      </w:r>
      <w:r>
        <w:rPr>
          <w:rFonts w:hint="eastAsia" w:ascii="黑体" w:hAnsi="黑体" w:eastAsia="黑体" w:cs="黑体"/>
          <w:kern w:val="2"/>
          <w:szCs w:val="32"/>
          <w:lang w:eastAsia="zh-CN" w:bidi="ar-SA"/>
        </w:rPr>
        <w:instrText xml:space="preserve"> HYPERLINK \l _Toc1995164536 </w:instrText>
      </w:r>
      <w:r>
        <w:rPr>
          <w:rFonts w:hint="eastAsia" w:ascii="黑体" w:hAnsi="黑体" w:eastAsia="黑体" w:cs="黑体"/>
          <w:kern w:val="2"/>
          <w:szCs w:val="32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1执行纲要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_Toc1995164536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kern w:val="2"/>
          <w:szCs w:val="32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_Toc1025536558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1.1市场描述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_Toc1025536558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_Toc292732244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1.2 核心技术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_Toc292732244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_Toc1735819720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1.3 团队概述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_Toc1735819720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_Toc1462224576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1.4 发展战略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_Toc1462224576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_Toc1673159623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2 产品项目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_Toc1673159623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_Toc316458898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2.1 产业前景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_Toc316458898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_Toc2101112962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2.1.1 背景介绍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_Toc2101112962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_Toc935594877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2.1.2 移动端云计算虚拟三维技术的概念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_Toc935594877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_Toc376462827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2.1.3 移动端云计算虚拟三维技术在生活中的应用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_Toc376462827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_Toc1133108034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2.2 产品概述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_Toc1133108034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_Toc500022842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2.2.1 产品介绍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_Toc500022842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_Toc1328860582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2.2.2 产品优势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_Toc1328860582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_Toc486765100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2.2.3 产品前景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_Toc486765100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_Toc142578485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2.2.4 研究与开发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_Toc142578485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_Toc331879032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2.2.5 未来产品与服务规划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_Toc331879032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_Toc917236953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2.3 生产技术管理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_Toc917236953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_Toc210858481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2.3.1 生产场地管理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_Toc210858481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_Toc1263764684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2.3.2 原材料的采购与管理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_Toc1263764684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_Toc1998475775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2.3.3 产品质量管理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_Toc1998475775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_Toc159908927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2.3.4 成本控制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_Toc159908927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_Toc639543792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2.3.5 管理模式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_Toc639543792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_Toc817046438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3 市场调查与分析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_Toc817046438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_Toc329508027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3.1 移动端云计算虚拟三维产业链分析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_Toc329508027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_Toc1383591503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3.2 竞争因素分析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_Toc1383591503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_Toc154928642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3.2.1 竞争产品分析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_Toc154928642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_Toc554572348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3.2.2 潜在进入者分析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_Toc554572348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_Toc150929058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3.2.3 竞争优势分析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_Toc150929058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_Toc1113651491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3.3 市场发展预期走势分析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_Toc1113651491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_Toc430684000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3.4 市场预测分析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_Toc430684000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_Toc177337915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3.4.1 预测的市场规模与总容量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_Toc177337915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_Toc961332380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3.4.2 行业市场划分与应用内容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_Toc961332380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_Toc1456220559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3.4.3 移动端云计算三维的商业模式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_Toc1456220559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_Toc470070159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4 市场营销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_Toc470070159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_Toc549668452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4.1 营销计划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_Toc549668452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_Toc770961487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4.1.1 市场进入和开发阶段(1-2 年)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_Toc770961487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_Toc2143229782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4.1.2 市场成长阶段(3-5 年)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_Toc2143229782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_Toc866127351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4"/>
          <w:lang w:val="en-US" w:eastAsia="zh-CN" w:bidi="ar-SA"/>
        </w:rPr>
        <w:t>4.1.3 市场成熟阶段(5-10 年)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_Toc866127351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_Toc724590801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4.2 定价战略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_Toc724590801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_Toc931341011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5 机遇与风险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_Toc931341011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_Toc1242590178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5.1 机遇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_Toc1242590178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_Toc1857698836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5.2 外部风险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_Toc1857698836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sectPr>
          <w:footerReference r:id="rId5" w:type="default"/>
          <w:pgSz w:w="11906" w:h="16838"/>
          <w:pgMar w:top="1417" w:right="1134" w:bottom="1417" w:left="1701" w:header="851" w:footer="992" w:gutter="0"/>
          <w:paperSrc/>
          <w:pgNumType w:fmt="decimal"/>
          <w:cols w:space="0" w:num="1"/>
          <w:rtlGutter w:val="0"/>
          <w:docGrid w:type="lines" w:linePitch="312" w:charSpace="0"/>
        </w:sectPr>
      </w:pP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_Toc1431363854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5.3 内部风险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_Toc1431363854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_Toc423967113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5.4 解决方案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_Toc423967113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_Toc196980288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6 组织与管理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_Toc196980288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_Toc1573942339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6.1 公司简介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_Toc1573942339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_Toc755846145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6.2 公司的核心价值观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_Toc755846145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_Toc1114217242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6.3 公司目标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_Toc1114217242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_Toc1784800821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6.4 公司组织结构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_Toc1784800821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_Toc2019610829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6.4.1 公司初期组织结构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_Toc2019610829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_Toc965209369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6.4.2 公司中后期结构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_Toc965209369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_Toc1944709748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6.5 管理形式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_Toc1944709748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_Toc511670974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6.5.1 管理团队和基本思想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_Toc511670974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_Toc1782255807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6.5.2 岗位说明书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_Toc1782255807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_Toc126734127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6.5.3 公司的规章制度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_Toc126734127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_Toc1895262477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6.6 企业文化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_Toc1895262477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_Toc1937184450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6.6.1 团队标志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_Toc1937184450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_Toc681306475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6.6.2 企业文化理念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_Toc681306475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_Toc2046191535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6.7 人力激励与约束机制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_Toc2046191535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_Toc903352293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6.7.1 激励机制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_Toc903352293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_Toc1111990475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6.7.2 约束机制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_Toc1111990475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_Toc76045803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7财务计划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_Toc76045803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_Toc1864684673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7.1 股本结构与规模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_Toc1864684673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_Toc420727386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7.2 运营收入及相关税金估算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_Toc420727386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_Toc546115962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7.2.1 公司营业量及营业收入估算: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_Toc546115962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_Toc266869478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7.2.2 运营收入及税额估算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_Toc266869478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_Toc1191688873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7.3 投资状况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_Toc1191688873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_Toc541862097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7.3.1 初始投资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_Toc541862097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_Toc1132996829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7.3.2 固定资产投资估算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_Toc1132996829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_Toc1916279675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7.3.3 投资使用计划与资金筹措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_Toc1916279675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_Toc1473203108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 成本费用估算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_Toc1473203108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_Toc228103359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7.4.1 研发费用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_Toc228103359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_Toc1626494863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7.4.2 员工结构及工资费用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_Toc1626494863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_Toc757083314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7.4.3 折旧费用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_Toc757083314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_Toc652070472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7.4.4 办公、差旅费用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_Toc652070472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_Toc1823475151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7.4.5 摊销费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_Toc1823475151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_Toc183542006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32"/>
          <w:lang w:val="en-US" w:eastAsia="zh-CN" w:bidi="ar-SA"/>
        </w:rPr>
        <w:t>7.4.6 公关及宣传费用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_Toc183542006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_Toc1407916618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8财务分析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_Toc1407916618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_Toc790208745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8.1 公司利润表及现金流量表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_Toc790208745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_Toc1968342827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8.1.1 公司利润估算分析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_Toc1968342827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_Toc1280043799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8.1.2 公司现金流量分析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_Toc1280043799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_Toc1755418114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8.2 公司盈利能力分析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_Toc1755418114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_Toc1765568927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8.2.1 静态盈利能力分析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_Toc1765568927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_Toc1791714773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8.2.2 动态盈利能力分析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_Toc1791714773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_Toc1390190274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8.3 敏感性分析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_Toc1390190274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_Toc1892303054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 w:ascii="黑体" w:hAnsi="黑体" w:cs="黑体" w:eastAsiaTheme="minorEastAsia"/>
          <w:kern w:val="2"/>
          <w:szCs w:val="32"/>
          <w:lang w:val="en-US" w:eastAsia="zh-CN" w:bidi="ar-SA"/>
        </w:rPr>
        <w:t>9</w:t>
      </w:r>
      <w:r>
        <w:rPr>
          <w:rFonts w:hint="eastAsia" w:ascii="黑体" w:hAnsi="黑体" w:eastAsia="黑体" w:cs="黑体"/>
          <w:kern w:val="2"/>
          <w:szCs w:val="32"/>
          <w:lang w:val="en-US" w:eastAsia="zh-CN" w:bidi="ar-SA"/>
        </w:rPr>
        <w:t>投资分析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_Toc1892303054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_Toc1539493603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9.1 投资结构及分析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_Toc1539493603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_Toc1179891076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9.1.1 注册资本结构与规模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_Toc1179891076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_Toc426125881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9.1.2 投资回报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_Toc426125881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_Toc1438201490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9.2 风险分析及防范措施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_Toc1438201490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_Toc2083243369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9.2.1风险管理系统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_Toc2083243369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_Toc1538116356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9.2.2 市场风险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_Toc1538116356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_Toc1514247293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9.2.3 运作风险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_Toc1514247293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_Toc1800444395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9.2.4 人力资源风险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_Toc1800444395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2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_Toc1958843743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bCs/>
          <w:kern w:val="2"/>
          <w:szCs w:val="28"/>
          <w:lang w:val="en-US" w:eastAsia="zh-CN" w:bidi="ar-SA"/>
        </w:rPr>
        <w:t>9.2.5 公关风险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_Toc1958843743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1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_Toc2060363256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8"/>
          <w:lang w:val="en-US" w:eastAsia="zh-CN" w:bidi="ar-SA"/>
        </w:rPr>
        <w:t>9.3 风险投资资金的撤出方式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_Toc2060363256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_Toc2067313873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附录 1 公司经营第五年资产负债表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_Toc2067313873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_Toc1003048968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附录 2公司经营五年期利润表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_Toc1003048968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0"/>
        <w:tabs>
          <w:tab w:val="right" w:leader="dot" w:pos="9071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instrText xml:space="preserve"> HYPERLINK \l _Toc454741705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附录 3公司经营五年期现金流量表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_Toc454741705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  <w:sectPr>
          <w:footerReference r:id="rId6" w:type="default"/>
          <w:pgSz w:w="11906" w:h="16838"/>
          <w:pgMar w:top="1417" w:right="1134" w:bottom="1417" w:left="1701" w:header="851" w:footer="992" w:gutter="0"/>
          <w:paperSrc/>
          <w:pgNumType w:fmt="decimal"/>
          <w:cols w:space="0" w:num="1"/>
          <w:rtlGutter w:val="0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0" w:name="_Toc1995164536"/>
      <w:r>
        <w:rPr>
          <w:rFonts w:hint="eastAsia" w:ascii="黑体" w:hAnsi="黑体" w:eastAsia="黑体" w:cs="黑体"/>
          <w:sz w:val="32"/>
          <w:szCs w:val="32"/>
        </w:rPr>
        <w:t>1执行纲要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1" w:name="_Toc1025536558"/>
      <w:r>
        <w:rPr>
          <w:rFonts w:hint="eastAsia" w:ascii="黑体" w:hAnsi="黑体" w:eastAsia="黑体" w:cs="黑体"/>
          <w:sz w:val="28"/>
          <w:szCs w:val="28"/>
        </w:rPr>
        <w:t>1.1市场描述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2" w:name="_Toc292732244"/>
      <w:r>
        <w:rPr>
          <w:rFonts w:hint="eastAsia" w:ascii="黑体" w:hAnsi="黑体" w:eastAsia="黑体" w:cs="黑体"/>
          <w:sz w:val="28"/>
          <w:szCs w:val="28"/>
        </w:rPr>
        <w:t>1.2 核心技术</w:t>
      </w:r>
      <w:bookmarkEnd w:id="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3" w:name="_Toc1735819720"/>
      <w:r>
        <w:rPr>
          <w:rFonts w:hint="eastAsia" w:ascii="黑体" w:hAnsi="黑体" w:eastAsia="黑体" w:cs="黑体"/>
          <w:sz w:val="28"/>
          <w:szCs w:val="28"/>
        </w:rPr>
        <w:t>1.3 团队概述</w:t>
      </w:r>
      <w:bookmarkEnd w:id="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</w:rPr>
      </w:pPr>
      <w:bookmarkStart w:id="4" w:name="_Toc1462224576"/>
      <w:r>
        <w:rPr>
          <w:rFonts w:hint="eastAsia" w:ascii="黑体" w:hAnsi="黑体" w:eastAsia="黑体" w:cs="黑体"/>
          <w:sz w:val="28"/>
          <w:szCs w:val="28"/>
        </w:rPr>
        <w:t>1.4 发展战略</w:t>
      </w:r>
      <w:bookmarkEnd w:id="4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5" w:name="_Toc1673159623"/>
      <w:r>
        <w:rPr>
          <w:rFonts w:hint="eastAsia" w:ascii="黑体" w:hAnsi="黑体" w:eastAsia="黑体" w:cs="黑体"/>
          <w:sz w:val="32"/>
          <w:szCs w:val="32"/>
        </w:rPr>
        <w:t>2 产品项目</w:t>
      </w:r>
      <w:bookmarkEnd w:id="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6" w:name="_Toc316458898"/>
      <w:r>
        <w:rPr>
          <w:rFonts w:hint="eastAsia" w:ascii="黑体" w:hAnsi="黑体" w:eastAsia="黑体" w:cs="黑体"/>
          <w:sz w:val="28"/>
          <w:szCs w:val="28"/>
          <w:lang w:eastAsia="zh-CN"/>
        </w:rPr>
        <w:t>2.1 产业前景</w:t>
      </w:r>
      <w:bookmarkEnd w:id="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7" w:name="_Toc2101112962"/>
      <w:r>
        <w:rPr>
          <w:rFonts w:hint="eastAsia" w:ascii="黑体" w:hAnsi="黑体" w:eastAsia="黑体" w:cs="黑体"/>
          <w:sz w:val="24"/>
          <w:szCs w:val="24"/>
          <w:lang w:eastAsia="zh-CN"/>
        </w:rPr>
        <w:t>2.1.1 背景介绍</w:t>
      </w:r>
      <w:bookmarkEnd w:id="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8" w:name="_Toc935594877"/>
      <w:r>
        <w:rPr>
          <w:rFonts w:hint="eastAsia" w:ascii="黑体" w:hAnsi="黑体" w:eastAsia="黑体" w:cs="黑体"/>
          <w:sz w:val="24"/>
          <w:szCs w:val="24"/>
          <w:lang w:eastAsia="zh-CN"/>
        </w:rPr>
        <w:t>2.1.2 移动端云计算虚拟三维技术的概念</w:t>
      </w:r>
      <w:bookmarkEnd w:id="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9" w:name="_Toc376462827"/>
      <w:r>
        <w:rPr>
          <w:rFonts w:hint="eastAsia" w:ascii="黑体" w:hAnsi="黑体" w:eastAsia="黑体" w:cs="黑体"/>
          <w:sz w:val="24"/>
          <w:szCs w:val="24"/>
          <w:lang w:eastAsia="zh-CN"/>
        </w:rPr>
        <w:t>2.1.3 移动端云计算虚拟三维技术在生活中的应用</w:t>
      </w:r>
      <w:bookmarkEnd w:id="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10" w:name="_Toc1133108034"/>
      <w:r>
        <w:rPr>
          <w:rFonts w:hint="eastAsia" w:ascii="黑体" w:hAnsi="黑体" w:eastAsia="黑体" w:cs="黑体"/>
          <w:sz w:val="28"/>
          <w:szCs w:val="28"/>
          <w:lang w:eastAsia="zh-CN"/>
        </w:rPr>
        <w:t>2.2 产品概述</w:t>
      </w:r>
      <w:bookmarkEnd w:id="1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1" w:name="_Toc500022842"/>
      <w:r>
        <w:rPr>
          <w:rFonts w:hint="eastAsia" w:ascii="黑体" w:hAnsi="黑体" w:eastAsia="黑体" w:cs="黑体"/>
          <w:sz w:val="24"/>
          <w:szCs w:val="24"/>
          <w:lang w:eastAsia="zh-CN"/>
        </w:rPr>
        <w:t>2.2.1 产品介绍</w:t>
      </w:r>
      <w:bookmarkEnd w:id="1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2" w:name="_Toc1328860582"/>
      <w:r>
        <w:rPr>
          <w:rFonts w:hint="eastAsia" w:ascii="黑体" w:hAnsi="黑体" w:eastAsia="黑体" w:cs="黑体"/>
          <w:sz w:val="24"/>
          <w:szCs w:val="24"/>
          <w:lang w:eastAsia="zh-CN"/>
        </w:rPr>
        <w:t>2.2.2 产品优势</w:t>
      </w:r>
      <w:bookmarkEnd w:id="1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3" w:name="_Toc486765100"/>
      <w:r>
        <w:rPr>
          <w:rFonts w:hint="eastAsia" w:ascii="黑体" w:hAnsi="黑体" w:eastAsia="黑体" w:cs="黑体"/>
          <w:sz w:val="24"/>
          <w:szCs w:val="24"/>
          <w:lang w:eastAsia="zh-CN"/>
        </w:rPr>
        <w:t>2.2.3 产品前景</w:t>
      </w:r>
      <w:bookmarkEnd w:id="1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4" w:name="_Toc142578485"/>
      <w:r>
        <w:rPr>
          <w:rFonts w:hint="eastAsia" w:ascii="黑体" w:hAnsi="黑体" w:eastAsia="黑体" w:cs="黑体"/>
          <w:sz w:val="24"/>
          <w:szCs w:val="24"/>
          <w:lang w:eastAsia="zh-CN"/>
        </w:rPr>
        <w:t>2.2.4 研究与开发</w:t>
      </w:r>
      <w:bookmarkEnd w:id="14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短期目标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中长期目标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5" w:name="_Toc331879032"/>
      <w:r>
        <w:rPr>
          <w:rFonts w:hint="eastAsia" w:ascii="黑体" w:hAnsi="黑体" w:eastAsia="黑体" w:cs="黑体"/>
          <w:sz w:val="24"/>
          <w:szCs w:val="24"/>
          <w:lang w:eastAsia="zh-CN"/>
        </w:rPr>
        <w:t>2.2.5 未来产品与服务规划</w:t>
      </w:r>
      <w:bookmarkEnd w:id="1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16" w:name="_Toc917236953"/>
      <w:r>
        <w:rPr>
          <w:rFonts w:hint="eastAsia" w:ascii="黑体" w:hAnsi="黑体" w:eastAsia="黑体" w:cs="黑体"/>
          <w:sz w:val="28"/>
          <w:szCs w:val="28"/>
          <w:lang w:eastAsia="zh-CN"/>
        </w:rPr>
        <w:t>2.3 生产技术管理</w:t>
      </w:r>
      <w:bookmarkEnd w:id="1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7" w:name="_Toc210858481"/>
      <w:r>
        <w:rPr>
          <w:rFonts w:hint="eastAsia" w:ascii="黑体" w:hAnsi="黑体" w:eastAsia="黑体" w:cs="黑体"/>
          <w:sz w:val="24"/>
          <w:szCs w:val="24"/>
          <w:lang w:eastAsia="zh-CN"/>
        </w:rPr>
        <w:t>2.3.1 生产场地管理</w:t>
      </w:r>
      <w:bookmarkEnd w:id="1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8" w:name="_Toc1263764684"/>
      <w:r>
        <w:rPr>
          <w:rFonts w:hint="eastAsia" w:ascii="黑体" w:hAnsi="黑体" w:eastAsia="黑体" w:cs="黑体"/>
          <w:sz w:val="24"/>
          <w:szCs w:val="24"/>
          <w:lang w:eastAsia="zh-CN"/>
        </w:rPr>
        <w:t>2.3.2 原材料的采购与管理</w:t>
      </w:r>
      <w:bookmarkEnd w:id="1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19" w:name="_Toc1998475775"/>
      <w:r>
        <w:rPr>
          <w:rFonts w:hint="eastAsia" w:ascii="黑体" w:hAnsi="黑体" w:eastAsia="黑体" w:cs="黑体"/>
          <w:sz w:val="24"/>
          <w:szCs w:val="24"/>
          <w:lang w:eastAsia="zh-CN"/>
        </w:rPr>
        <w:t>2.3.3 产品质量管理</w:t>
      </w:r>
      <w:bookmarkEnd w:id="1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0" w:name="_Toc159908927"/>
      <w:r>
        <w:rPr>
          <w:rFonts w:hint="eastAsia" w:ascii="黑体" w:hAnsi="黑体" w:eastAsia="黑体" w:cs="黑体"/>
          <w:sz w:val="24"/>
          <w:szCs w:val="24"/>
          <w:lang w:eastAsia="zh-CN"/>
        </w:rPr>
        <w:t>2.3.4 成本控制</w:t>
      </w:r>
      <w:bookmarkEnd w:id="2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1" w:name="_Toc639543792"/>
      <w:r>
        <w:rPr>
          <w:rFonts w:hint="eastAsia" w:ascii="黑体" w:hAnsi="黑体" w:eastAsia="黑体" w:cs="黑体"/>
          <w:sz w:val="24"/>
          <w:szCs w:val="24"/>
          <w:lang w:eastAsia="zh-CN"/>
        </w:rPr>
        <w:t>2.3.5 管理模式</w:t>
      </w:r>
      <w:bookmarkEnd w:id="21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22" w:name="_Toc817046438"/>
      <w:r>
        <w:rPr>
          <w:rFonts w:hint="eastAsia" w:ascii="黑体" w:hAnsi="黑体" w:eastAsia="黑体" w:cs="黑体"/>
          <w:sz w:val="32"/>
          <w:szCs w:val="32"/>
          <w:lang w:eastAsia="zh-CN"/>
        </w:rPr>
        <w:t>3 市场调查与分析</w:t>
      </w:r>
      <w:bookmarkEnd w:id="2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23" w:name="_Toc329508027"/>
      <w:r>
        <w:rPr>
          <w:rFonts w:hint="eastAsia" w:ascii="黑体" w:hAnsi="黑体" w:eastAsia="黑体" w:cs="黑体"/>
          <w:sz w:val="28"/>
          <w:szCs w:val="28"/>
          <w:lang w:eastAsia="zh-CN"/>
        </w:rPr>
        <w:t>3.1 移动端云计算虚拟三维产业链分析</w:t>
      </w:r>
      <w:bookmarkEnd w:id="2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24" w:name="_Toc1383591503"/>
      <w:r>
        <w:rPr>
          <w:rFonts w:hint="eastAsia" w:ascii="黑体" w:hAnsi="黑体" w:eastAsia="黑体" w:cs="黑体"/>
          <w:sz w:val="28"/>
          <w:szCs w:val="28"/>
          <w:lang w:eastAsia="zh-CN"/>
        </w:rPr>
        <w:t>3.2 竞争因素分析</w:t>
      </w:r>
      <w:bookmarkEnd w:id="2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5" w:name="_Toc154928642"/>
      <w:r>
        <w:rPr>
          <w:rFonts w:hint="eastAsia" w:ascii="黑体" w:hAnsi="黑体" w:eastAsia="黑体" w:cs="黑体"/>
          <w:sz w:val="24"/>
          <w:szCs w:val="24"/>
          <w:lang w:eastAsia="zh-CN"/>
        </w:rPr>
        <w:t>3.2.1 竞争产品分析</w:t>
      </w:r>
      <w:bookmarkEnd w:id="2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6" w:name="_Toc554572348"/>
      <w:r>
        <w:rPr>
          <w:rFonts w:hint="eastAsia" w:ascii="黑体" w:hAnsi="黑体" w:eastAsia="黑体" w:cs="黑体"/>
          <w:sz w:val="24"/>
          <w:szCs w:val="24"/>
          <w:lang w:eastAsia="zh-CN"/>
        </w:rPr>
        <w:t>3.2.2 潜在进入者分析</w:t>
      </w:r>
      <w:bookmarkEnd w:id="2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27" w:name="_Toc150929058"/>
      <w:r>
        <w:rPr>
          <w:rFonts w:hint="eastAsia" w:ascii="黑体" w:hAnsi="黑体" w:eastAsia="黑体" w:cs="黑体"/>
          <w:sz w:val="24"/>
          <w:szCs w:val="24"/>
          <w:lang w:eastAsia="zh-CN"/>
        </w:rPr>
        <w:t>3.2.3 竞争优势分析</w:t>
      </w:r>
      <w:bookmarkEnd w:id="2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28" w:name="_Toc1113651491"/>
      <w:r>
        <w:rPr>
          <w:rFonts w:hint="eastAsia" w:ascii="黑体" w:hAnsi="黑体" w:eastAsia="黑体" w:cs="黑体"/>
          <w:sz w:val="28"/>
          <w:szCs w:val="28"/>
          <w:lang w:eastAsia="zh-CN"/>
        </w:rPr>
        <w:t>3.3 市场发展预期走势分析</w:t>
      </w:r>
      <w:bookmarkEnd w:id="2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29" w:name="_Toc430684000"/>
      <w:r>
        <w:rPr>
          <w:rFonts w:hint="eastAsia" w:ascii="黑体" w:hAnsi="黑体" w:eastAsia="黑体" w:cs="黑体"/>
          <w:sz w:val="28"/>
          <w:szCs w:val="28"/>
          <w:lang w:eastAsia="zh-CN"/>
        </w:rPr>
        <w:t>3.4 市场预测分析</w:t>
      </w:r>
      <w:bookmarkEnd w:id="2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0" w:name="_Toc177337915"/>
      <w:r>
        <w:rPr>
          <w:rFonts w:hint="eastAsia" w:ascii="黑体" w:hAnsi="黑体" w:eastAsia="黑体" w:cs="黑体"/>
          <w:sz w:val="24"/>
          <w:szCs w:val="24"/>
          <w:lang w:eastAsia="zh-CN"/>
        </w:rPr>
        <w:t>3.4.1 预测的市场规模与总容量</w:t>
      </w:r>
      <w:bookmarkEnd w:id="3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1" w:name="_Toc961332380"/>
      <w:r>
        <w:rPr>
          <w:rFonts w:hint="eastAsia" w:ascii="黑体" w:hAnsi="黑体" w:eastAsia="黑体" w:cs="黑体"/>
          <w:sz w:val="24"/>
          <w:szCs w:val="24"/>
          <w:lang w:eastAsia="zh-CN"/>
        </w:rPr>
        <w:t>3.4.2 行业市场划分与应用内容</w:t>
      </w:r>
      <w:bookmarkEnd w:id="3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2" w:name="_Toc1456220559"/>
      <w:r>
        <w:rPr>
          <w:rFonts w:hint="eastAsia" w:ascii="黑体" w:hAnsi="黑体" w:eastAsia="黑体" w:cs="黑体"/>
          <w:sz w:val="24"/>
          <w:szCs w:val="24"/>
          <w:lang w:eastAsia="zh-CN"/>
        </w:rPr>
        <w:t>3.4.3 移动端云计算三维的商业模式</w:t>
      </w:r>
      <w:bookmarkEnd w:id="32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33" w:name="_Toc470070159"/>
      <w:r>
        <w:rPr>
          <w:rFonts w:hint="eastAsia" w:ascii="黑体" w:hAnsi="黑体" w:eastAsia="黑体" w:cs="黑体"/>
          <w:sz w:val="32"/>
          <w:szCs w:val="32"/>
          <w:lang w:eastAsia="zh-CN"/>
        </w:rPr>
        <w:t>4 市场营销</w:t>
      </w:r>
      <w:bookmarkEnd w:id="3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34" w:name="_Toc549668452"/>
      <w:r>
        <w:rPr>
          <w:rFonts w:hint="eastAsia" w:ascii="黑体" w:hAnsi="黑体" w:eastAsia="黑体" w:cs="黑体"/>
          <w:sz w:val="28"/>
          <w:szCs w:val="28"/>
          <w:lang w:eastAsia="zh-CN"/>
        </w:rPr>
        <w:t>4.1 营销计划</w:t>
      </w:r>
      <w:bookmarkEnd w:id="3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5" w:name="_Toc770961487"/>
      <w:r>
        <w:rPr>
          <w:rFonts w:hint="eastAsia" w:ascii="黑体" w:hAnsi="黑体" w:eastAsia="黑体" w:cs="黑体"/>
          <w:sz w:val="24"/>
          <w:szCs w:val="24"/>
          <w:lang w:eastAsia="zh-CN"/>
        </w:rPr>
        <w:t>4.1.1 市场进入和开发阶段(1-2 年)</w:t>
      </w:r>
      <w:bookmarkEnd w:id="3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6" w:name="_Toc2143229782"/>
      <w:r>
        <w:rPr>
          <w:rFonts w:hint="eastAsia" w:ascii="黑体" w:hAnsi="黑体" w:eastAsia="黑体" w:cs="黑体"/>
          <w:sz w:val="24"/>
          <w:szCs w:val="24"/>
          <w:lang w:eastAsia="zh-CN"/>
        </w:rPr>
        <w:t>4.1.2 市场成长阶段(3-5 年)</w:t>
      </w:r>
      <w:bookmarkEnd w:id="3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4"/>
          <w:szCs w:val="24"/>
          <w:lang w:eastAsia="zh-CN"/>
        </w:rPr>
      </w:pPr>
      <w:bookmarkStart w:id="37" w:name="_Toc866127351"/>
      <w:r>
        <w:rPr>
          <w:rFonts w:hint="eastAsia" w:ascii="黑体" w:hAnsi="黑体" w:eastAsia="黑体" w:cs="黑体"/>
          <w:sz w:val="24"/>
          <w:szCs w:val="24"/>
          <w:lang w:eastAsia="zh-CN"/>
        </w:rPr>
        <w:t>4.1.3 市场成熟阶段(5-10 年)</w:t>
      </w:r>
      <w:bookmarkEnd w:id="3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38" w:name="_Toc724590801"/>
      <w:r>
        <w:rPr>
          <w:rFonts w:hint="eastAsia" w:ascii="黑体" w:hAnsi="黑体" w:eastAsia="黑体" w:cs="黑体"/>
          <w:sz w:val="28"/>
          <w:szCs w:val="28"/>
          <w:lang w:eastAsia="zh-CN"/>
        </w:rPr>
        <w:t>4.2 定价战略</w:t>
      </w:r>
      <w:bookmarkEnd w:id="38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39" w:name="_Toc931341011"/>
      <w:r>
        <w:rPr>
          <w:rFonts w:hint="eastAsia" w:ascii="黑体" w:hAnsi="黑体" w:eastAsia="黑体" w:cs="黑体"/>
          <w:sz w:val="32"/>
          <w:szCs w:val="32"/>
          <w:lang w:eastAsia="zh-CN"/>
        </w:rPr>
        <w:t>5 机遇与风险</w:t>
      </w:r>
      <w:bookmarkEnd w:id="3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40" w:name="_Toc1242590178"/>
      <w:r>
        <w:rPr>
          <w:rFonts w:hint="eastAsia" w:ascii="黑体" w:hAnsi="黑体" w:eastAsia="黑体" w:cs="黑体"/>
          <w:sz w:val="28"/>
          <w:szCs w:val="28"/>
          <w:lang w:eastAsia="zh-CN"/>
        </w:rPr>
        <w:t>5.1 机遇</w:t>
      </w:r>
      <w:bookmarkEnd w:id="4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41" w:name="_Toc1857698836"/>
      <w:r>
        <w:rPr>
          <w:rFonts w:hint="eastAsia" w:ascii="黑体" w:hAnsi="黑体" w:eastAsia="黑体" w:cs="黑体"/>
          <w:sz w:val="28"/>
          <w:szCs w:val="28"/>
          <w:lang w:eastAsia="zh-CN"/>
        </w:rPr>
        <w:t>5.2 外部风险</w:t>
      </w:r>
      <w:bookmarkEnd w:id="4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42" w:name="_Toc1431363854"/>
      <w:r>
        <w:rPr>
          <w:rFonts w:hint="eastAsia" w:ascii="黑体" w:hAnsi="黑体" w:eastAsia="黑体" w:cs="黑体"/>
          <w:sz w:val="28"/>
          <w:szCs w:val="28"/>
          <w:lang w:eastAsia="zh-CN"/>
        </w:rPr>
        <w:t>5.3 内部风险</w:t>
      </w:r>
      <w:bookmarkEnd w:id="4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43" w:name="_Toc423967113"/>
      <w:r>
        <w:rPr>
          <w:rFonts w:hint="eastAsia" w:ascii="黑体" w:hAnsi="黑体" w:eastAsia="黑体" w:cs="黑体"/>
          <w:sz w:val="28"/>
          <w:szCs w:val="28"/>
          <w:lang w:eastAsia="zh-CN"/>
        </w:rPr>
        <w:t>5.4 解决方案</w:t>
      </w:r>
      <w:bookmarkEnd w:id="43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44" w:name="_Toc196980288"/>
      <w:r>
        <w:rPr>
          <w:rFonts w:hint="eastAsia" w:ascii="黑体" w:hAnsi="黑体" w:eastAsia="黑体" w:cs="黑体"/>
          <w:sz w:val="32"/>
          <w:szCs w:val="32"/>
          <w:lang w:eastAsia="zh-CN"/>
        </w:rPr>
        <w:t>6 组织与管理</w:t>
      </w:r>
      <w:bookmarkEnd w:id="4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45" w:name="_Toc1573942339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6.1 公司简介</w:t>
      </w:r>
      <w:bookmarkEnd w:id="4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46" w:name="_Toc755846145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6.2 公司的核心价值观</w:t>
      </w:r>
      <w:bookmarkEnd w:id="46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47" w:name="_Toc1114217242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6.3 公司目标</w:t>
      </w:r>
      <w:bookmarkEnd w:id="4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48" w:name="_Toc1784800821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6.4 公司组织结构</w:t>
      </w:r>
      <w:bookmarkEnd w:id="4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49" w:name="_Toc2019610829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6.4.1 公司初期组织结构</w:t>
      </w:r>
      <w:bookmarkEnd w:id="4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0" w:name="_Toc965209369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6.4.2 公司中后期结构</w:t>
      </w:r>
      <w:bookmarkEnd w:id="5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51" w:name="_Toc1944709748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6.5 管理形式</w:t>
      </w:r>
      <w:bookmarkEnd w:id="5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2" w:name="_Toc511670974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6.5.1 管理团队和基本思想</w:t>
      </w:r>
      <w:bookmarkEnd w:id="5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3" w:name="_Toc1782255807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6.5.2 岗位说明书</w:t>
      </w:r>
      <w:bookmarkEnd w:id="5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4" w:name="_Toc126734127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6.5.3 公司的规章制度</w:t>
      </w:r>
      <w:bookmarkEnd w:id="5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55" w:name="_Toc1895262477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6.6 企业文化</w:t>
      </w:r>
      <w:bookmarkEnd w:id="5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6" w:name="_Toc1937184450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6.6.1 团队标志</w:t>
      </w:r>
      <w:bookmarkEnd w:id="5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7" w:name="_Toc681306475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6.6.2 企业文化理念</w:t>
      </w:r>
      <w:bookmarkEnd w:id="5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58" w:name="_Toc2046191535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6.7 人力激励与约束机制</w:t>
      </w:r>
      <w:bookmarkEnd w:id="5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59" w:name="_Toc903352293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6.7.1 激励机制</w:t>
      </w:r>
      <w:bookmarkEnd w:id="5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0" w:name="_Toc1111990475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6.7.2 约束机制</w:t>
      </w:r>
      <w:bookmarkEnd w:id="60"/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61" w:name="_Toc76045803"/>
      <w:r>
        <w:rPr>
          <w:rFonts w:hint="eastAsia" w:ascii="黑体" w:hAnsi="黑体" w:eastAsia="黑体" w:cs="黑体"/>
          <w:sz w:val="32"/>
          <w:szCs w:val="32"/>
          <w:lang w:eastAsia="zh-CN"/>
        </w:rPr>
        <w:t>7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财务计划</w:t>
      </w:r>
      <w:bookmarkEnd w:id="61"/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62" w:name="_Toc1864684673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7.1 股本结构与规模</w:t>
      </w:r>
      <w:bookmarkEnd w:id="6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63" w:name="_Toc420727386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7.2 运营收入及相关税金估算</w:t>
      </w:r>
      <w:bookmarkEnd w:id="6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4" w:name="_Toc546115962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7.2.1 公司营业量及营业收入估算:</w:t>
      </w:r>
      <w:bookmarkEnd w:id="6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5" w:name="_Toc266869478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7.2.2 运营收入及税额估算</w:t>
      </w:r>
      <w:bookmarkEnd w:id="6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66" w:name="_Toc1191688873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7.3 投资状况</w:t>
      </w:r>
      <w:bookmarkEnd w:id="6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7" w:name="_Toc541862097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7.3.1 初始投资</w:t>
      </w:r>
      <w:bookmarkEnd w:id="6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8" w:name="_Toc1132996829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7.3.2 固定资产投资估算</w:t>
      </w:r>
      <w:bookmarkEnd w:id="6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69" w:name="_Toc1916279675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7.3.3 投资使用计划与资金筹措</w:t>
      </w:r>
      <w:bookmarkEnd w:id="6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bookmarkStart w:id="70" w:name="_Toc1473203108"/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7.4 成本费用估算</w:t>
      </w:r>
      <w:bookmarkEnd w:id="7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1" w:name="_Toc228103359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7.4.1 研发费用</w:t>
      </w:r>
      <w:bookmarkEnd w:id="7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2" w:name="_Toc1626494863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7.4.2 员工结构及工资费用</w:t>
      </w:r>
      <w:bookmarkEnd w:id="7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3" w:name="_Toc757083314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7.4.3 折旧费用</w:t>
      </w:r>
      <w:bookmarkEnd w:id="7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4" w:name="_Toc652070472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7.4.4 办公、差旅费用</w:t>
      </w:r>
      <w:bookmarkEnd w:id="74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5" w:name="_Toc1823475151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7.4.5 摊销费</w:t>
      </w:r>
      <w:bookmarkEnd w:id="7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bookmarkStart w:id="76" w:name="_Toc183542006"/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7.4.6 公关及宣传费用</w:t>
      </w:r>
      <w:bookmarkEnd w:id="76"/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77" w:name="_Toc1407916618"/>
      <w:r>
        <w:rPr>
          <w:rFonts w:hint="eastAsia" w:ascii="黑体" w:hAnsi="黑体" w:eastAsia="黑体" w:cs="黑体"/>
          <w:sz w:val="32"/>
          <w:szCs w:val="32"/>
          <w:lang w:eastAsia="zh-CN"/>
        </w:rPr>
        <w:t>8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财务分析</w:t>
      </w:r>
      <w:bookmarkEnd w:id="7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78" w:name="_Toc790208745"/>
      <w:r>
        <w:rPr>
          <w:rFonts w:hint="eastAsia" w:ascii="黑体" w:hAnsi="黑体" w:eastAsia="黑体" w:cs="黑体"/>
          <w:sz w:val="28"/>
          <w:szCs w:val="28"/>
          <w:lang w:eastAsia="zh-CN"/>
        </w:rPr>
        <w:t>8.1 公司利润表及现金流量表</w:t>
      </w:r>
      <w:bookmarkEnd w:id="7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79" w:name="_Toc1968342827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8.1.1 公司利润估算分析</w:t>
      </w:r>
      <w:bookmarkEnd w:id="7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0" w:name="_Toc1280043799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8.1.2 公司现金流量分析</w:t>
      </w:r>
      <w:bookmarkEnd w:id="8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81" w:name="_Toc1755418114"/>
      <w:r>
        <w:rPr>
          <w:rFonts w:hint="eastAsia" w:ascii="黑体" w:hAnsi="黑体" w:eastAsia="黑体" w:cs="黑体"/>
          <w:sz w:val="28"/>
          <w:szCs w:val="28"/>
          <w:lang w:eastAsia="zh-CN"/>
        </w:rPr>
        <w:t>8.2 公司盈利能力分析</w:t>
      </w:r>
      <w:bookmarkEnd w:id="8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2" w:name="_Toc1765568927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8.2.1 静态盈利能力分析</w:t>
      </w:r>
      <w:bookmarkEnd w:id="8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3" w:name="_Toc1791714773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8.2.2 动态盈利能力分析</w:t>
      </w:r>
      <w:bookmarkEnd w:id="8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84" w:name="_Toc1390190274"/>
      <w:r>
        <w:rPr>
          <w:rFonts w:hint="eastAsia" w:ascii="黑体" w:hAnsi="黑体" w:eastAsia="黑体" w:cs="黑体"/>
          <w:sz w:val="28"/>
          <w:szCs w:val="28"/>
          <w:lang w:eastAsia="zh-CN"/>
        </w:rPr>
        <w:t>8.3 敏感性分析</w:t>
      </w:r>
      <w:bookmarkEnd w:id="84"/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bookmarkStart w:id="85" w:name="_Toc1892303054"/>
      <w:r>
        <w:rPr>
          <w:rFonts w:hint="default" w:ascii="黑体" w:hAnsi="黑体" w:cs="黑体"/>
          <w:sz w:val="32"/>
          <w:szCs w:val="32"/>
          <w:lang w:eastAsia="zh-CN"/>
        </w:rPr>
        <w:t>9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投资分析</w:t>
      </w:r>
      <w:bookmarkEnd w:id="85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86" w:name="_Toc1539493603"/>
      <w:r>
        <w:rPr>
          <w:rFonts w:hint="eastAsia" w:ascii="黑体" w:hAnsi="黑体" w:eastAsia="黑体" w:cs="黑体"/>
          <w:sz w:val="28"/>
          <w:szCs w:val="28"/>
          <w:lang w:eastAsia="zh-CN"/>
        </w:rPr>
        <w:t>9.1 投资结构及分析</w:t>
      </w:r>
      <w:bookmarkEnd w:id="86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7" w:name="_Toc1179891076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9.1.1 注册资本结构与规模</w:t>
      </w:r>
      <w:bookmarkEnd w:id="87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88" w:name="_Toc426125881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9.1.2 投资回报</w:t>
      </w:r>
      <w:bookmarkEnd w:id="8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89" w:name="_Toc1438201490"/>
      <w:r>
        <w:rPr>
          <w:rFonts w:hint="eastAsia" w:ascii="黑体" w:hAnsi="黑体" w:eastAsia="黑体" w:cs="黑体"/>
          <w:sz w:val="28"/>
          <w:szCs w:val="28"/>
          <w:lang w:eastAsia="zh-CN"/>
        </w:rPr>
        <w:t>9.2 风险分析及防范措施</w:t>
      </w:r>
      <w:bookmarkEnd w:id="89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0" w:name="_Toc2083243369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9.2.1风险管理系统</w:t>
      </w:r>
      <w:bookmarkEnd w:id="90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1" w:name="_Toc1538116356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9.2.2 市场风险</w:t>
      </w:r>
      <w:bookmarkEnd w:id="91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2" w:name="_Toc1514247293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9.2.3 运作风险</w:t>
      </w:r>
      <w:bookmarkEnd w:id="9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3" w:name="_Toc1800444395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9.2.4 人力资源风险</w:t>
      </w:r>
      <w:bookmarkEnd w:id="9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bookmarkStart w:id="94" w:name="_Toc1958843743"/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9.2.5 公关风险</w:t>
      </w:r>
      <w:bookmarkEnd w:id="9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95" w:name="_Toc2060363256"/>
      <w:r>
        <w:rPr>
          <w:rFonts w:hint="eastAsia" w:ascii="黑体" w:hAnsi="黑体" w:eastAsia="黑体" w:cs="黑体"/>
          <w:sz w:val="28"/>
          <w:szCs w:val="28"/>
          <w:lang w:eastAsia="zh-CN"/>
        </w:rPr>
        <w:t>9.3 风险投资资金的撤出方式</w:t>
      </w:r>
      <w:bookmarkEnd w:id="95"/>
    </w:p>
    <w:p>
      <w:pPr>
        <w:pStyle w:val="2"/>
        <w:outlineLvl w:val="0"/>
        <w:rPr>
          <w:rFonts w:hint="eastAsia"/>
          <w:lang w:eastAsia="zh-CN"/>
        </w:rPr>
      </w:pPr>
      <w:bookmarkStart w:id="96" w:name="_Toc2067313873"/>
      <w:r>
        <w:rPr>
          <w:rFonts w:hint="eastAsia"/>
          <w:lang w:eastAsia="zh-CN"/>
        </w:rPr>
        <w:t>附录 1 公司经营第五年资产负债表</w:t>
      </w:r>
      <w:bookmarkEnd w:id="96"/>
    </w:p>
    <w:p>
      <w:pPr>
        <w:pStyle w:val="2"/>
        <w:rPr>
          <w:rFonts w:hint="eastAsia"/>
          <w:lang w:eastAsia="zh-CN"/>
        </w:rPr>
      </w:pPr>
      <w:bookmarkStart w:id="97" w:name="_Toc1003048968"/>
      <w:r>
        <w:rPr>
          <w:rFonts w:hint="eastAsia"/>
          <w:lang w:eastAsia="zh-CN"/>
        </w:rPr>
        <w:t>附录 2公司经营五年期利润表</w:t>
      </w:r>
      <w:bookmarkEnd w:id="97"/>
    </w:p>
    <w:p>
      <w:pPr>
        <w:pStyle w:val="2"/>
        <w:rPr>
          <w:rFonts w:hint="eastAsia"/>
          <w:lang w:eastAsia="zh-CN"/>
        </w:rPr>
      </w:pPr>
      <w:bookmarkStart w:id="98" w:name="_Toc454741705"/>
      <w:r>
        <w:rPr>
          <w:rFonts w:hint="eastAsia"/>
          <w:lang w:eastAsia="zh-CN"/>
        </w:rPr>
        <w:t>附录 3公司经营五年期现金流量表</w:t>
      </w:r>
      <w:bookmarkEnd w:id="98"/>
    </w:p>
    <w:sectPr>
      <w:headerReference r:id="rId7" w:type="default"/>
      <w:footerReference r:id="rId8" w:type="default"/>
      <w:pgSz w:w="11906" w:h="16838"/>
      <w:pgMar w:top="1417" w:right="1134" w:bottom="1417" w:left="1701" w:header="851" w:footer="992" w:gutter="0"/>
      <w:paperSrc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楷体">
    <w:altName w:val="FZKai-Z03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altName w:val="FZHei-B01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华文中宋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bookmarkStart w:id="99" w:name="_GoBack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ebOzeyAgAA1w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nmzs3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bookmarkEnd w:id="99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jc w:val="center"/>
      <w:rPr>
        <w:u w:val="single"/>
      </w:rPr>
    </w:pPr>
    <w:r>
      <w:rPr>
        <w:rFonts w:hint="default"/>
        <w:u w:val="single"/>
      </w:rPr>
      <w:t>北京航空航天大学第二十八届“冯如杯”学生创业计划竞赛参赛作品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jc w:val="center"/>
      <w:rPr>
        <w:u w:val="single"/>
      </w:rPr>
    </w:pPr>
    <w:r>
      <w:rPr>
        <w:rFonts w:hint="default"/>
        <w:u w:val="single"/>
      </w:rPr>
      <w:t>北京航空航天大学第二十八届“冯如杯”学生创业计划竞赛参赛作品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FA32D4"/>
    <w:rsid w:val="1A4D2617"/>
    <w:rsid w:val="1E7D1283"/>
    <w:rsid w:val="2FF7B286"/>
    <w:rsid w:val="377FF002"/>
    <w:rsid w:val="37CF9C34"/>
    <w:rsid w:val="3BF22CCA"/>
    <w:rsid w:val="57B910F0"/>
    <w:rsid w:val="5B76EE13"/>
    <w:rsid w:val="5D7CC2C5"/>
    <w:rsid w:val="5DF6B632"/>
    <w:rsid w:val="5FB3E20A"/>
    <w:rsid w:val="6DB4C395"/>
    <w:rsid w:val="6E7F5948"/>
    <w:rsid w:val="6F2B680B"/>
    <w:rsid w:val="725FBC46"/>
    <w:rsid w:val="73B661C7"/>
    <w:rsid w:val="74F795DE"/>
    <w:rsid w:val="75FA7FE5"/>
    <w:rsid w:val="77B60E53"/>
    <w:rsid w:val="77D48F87"/>
    <w:rsid w:val="7A5F5077"/>
    <w:rsid w:val="7A7FE625"/>
    <w:rsid w:val="7C6CA64F"/>
    <w:rsid w:val="7E3771F4"/>
    <w:rsid w:val="7FBFCE2A"/>
    <w:rsid w:val="A97B68DC"/>
    <w:rsid w:val="AD7E144E"/>
    <w:rsid w:val="AFA3516C"/>
    <w:rsid w:val="B9D3CEA4"/>
    <w:rsid w:val="BEFEA6DF"/>
    <w:rsid w:val="BF5DBC74"/>
    <w:rsid w:val="CFFEBA9F"/>
    <w:rsid w:val="E7EDECD4"/>
    <w:rsid w:val="EBFFF559"/>
    <w:rsid w:val="ECD96AA3"/>
    <w:rsid w:val="EF3FD582"/>
    <w:rsid w:val="EFF71584"/>
    <w:rsid w:val="F1DBF0AF"/>
    <w:rsid w:val="F2E7C393"/>
    <w:rsid w:val="F5D5D8A9"/>
    <w:rsid w:val="F74FBA3A"/>
    <w:rsid w:val="F77D5C6B"/>
    <w:rsid w:val="F7F77D07"/>
    <w:rsid w:val="F7FB09C0"/>
    <w:rsid w:val="F7FFCDE0"/>
    <w:rsid w:val="FABE7B23"/>
    <w:rsid w:val="FBEF47E3"/>
    <w:rsid w:val="FCC30B66"/>
    <w:rsid w:val="FDFB49B3"/>
    <w:rsid w:val="FEB7BA87"/>
    <w:rsid w:val="FEF644DF"/>
    <w:rsid w:val="FEF98EF5"/>
    <w:rsid w:val="FF27534C"/>
    <w:rsid w:val="FF7EA340"/>
    <w:rsid w:val="FFFF4F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character" w:default="1" w:styleId="19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5"/>
    <w:basedOn w:val="1"/>
    <w:next w:val="1"/>
    <w:uiPriority w:val="0"/>
    <w:pPr>
      <w:ind w:left="1680" w:leftChars="8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7"/>
    <w:basedOn w:val="1"/>
    <w:next w:val="1"/>
    <w:uiPriority w:val="0"/>
    <w:pPr>
      <w:ind w:left="2520" w:leftChars="1200"/>
    </w:pPr>
  </w:style>
  <w:style w:type="paragraph" w:styleId="17">
    <w:name w:val="toc 8"/>
    <w:basedOn w:val="1"/>
    <w:next w:val="1"/>
    <w:uiPriority w:val="0"/>
    <w:pPr>
      <w:ind w:left="2940" w:leftChars="1400"/>
    </w:pPr>
  </w:style>
  <w:style w:type="paragraph" w:styleId="18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cgsdfc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ailboat"/>
    </customSectPr>
    <customSectPr>
      <sectNamePr val="Table of Content"/>
    </customSectPr>
    <customSectPr>
      <sectNamePr val="Table of Content"/>
    </customSectPr>
    <customSectPr>
      <sectNamePr val="Main Content"/>
    </customSectPr>
  </customSectProps>
  <customShpExts>
    <customShpInfo spid="_x0000_s1026" textRotate="1"/>
    <customShpInfo spid="_x0000_s1050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2018-02-22T07:18:00Z</dcterms:created>
  <dc:creator>cgsdfc</dc:creator>
  <cp:lastModifiedBy>cgsdfc</cp:lastModifiedBy>
  <dcterms:modified xsi:type="dcterms:W3CDTF">2018-03-01T20:02:21Z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