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SimSun"/>
          <w:lang w:eastAsia="zh-CN"/>
        </w:rPr>
      </w:pPr>
      <w:r>
        <w:rPr>
          <w:rFonts w:hint="eastAsia" w:eastAsia="SimSun"/>
          <w:lang w:eastAsia="zh-CN"/>
        </w:rPr>
        <w:pict>
          <v:shape id="_x0000_s1050" o:spid="_x0000_s1050" o:spt="75" alt="16" type="#_x0000_t75" style="position:absolute;left:0pt;margin-left:1.1pt;margin-top:1.1pt;height:840.6pt;width:612.5pt;mso-position-horizontal-relative:page;mso-position-vertical-relative:page;z-index:-251658240;mso-width-relative:page;mso-height-relative:page;" filled="f" o:preferrelative="f" stroked="f" coordsize="21600,21600">
            <v:path/>
            <v:fill on="f" focussize="0,0"/>
            <v:stroke on="f" joinstyle="miter"/>
            <v:imagedata r:id="rId9" o:title="16"/>
            <o:lock v:ext="edit" aspectratio="f"/>
          </v:shape>
        </w:pict>
      </w:r>
      <w:r>
        <w:rPr>
          <w:rFonts w:hint="eastAsia" w:eastAsia="SimSun"/>
          <w:lang w:eastAsia="zh-CN"/>
        </w:rPr>
        <w:drawing>
          <wp:inline distT="0" distB="0" distL="114300" distR="114300">
            <wp:extent cx="1481455" cy="1062355"/>
            <wp:effectExtent l="0" t="0" r="4445" b="4445"/>
            <wp:docPr id="17" name="Picture 17"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pany-logo"/>
                    <pic:cNvPicPr>
                      <a:picLocks noChangeAspect="1"/>
                    </pic:cNvPicPr>
                  </pic:nvPicPr>
                  <pic:blipFill>
                    <a:blip r:embed="rId10"/>
                    <a:stretch>
                      <a:fillRect/>
                    </a:stretch>
                  </pic:blipFill>
                  <pic:spPr>
                    <a:xfrm>
                      <a:off x="0" y="0"/>
                      <a:ext cx="1481455" cy="1062355"/>
                    </a:xfrm>
                    <a:prstGeom prst="rect">
                      <a:avLst/>
                    </a:prstGeom>
                    <a:solidFill>
                      <a:schemeClr val="accent1"/>
                    </a:solidFill>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2048510</wp:posOffset>
                </wp:positionH>
                <wp:positionV relativeFrom="paragraph">
                  <wp:posOffset>3434715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1.3pt;margin-top:270.45pt;height:144pt;width:144pt;mso-wrap-style:none;z-index:251661312;mso-width-relative:page;mso-height-relative:page;" filled="f" stroked="f" coordsize="21600,21600" o:gfxdata="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LesGtoAAAALAQAADwAAAAAAAAABACAAAAAi&#10;AAAAZHJzL2Rvd25yZXYueG1sUEsBAhQAFAAAAAgAh07iQCwJ0xIIAgAAFgQAAA4AAAAAAAAAAQAg&#10;AAAAKQEAAGRycy9lMm9Eb2MueG1sUEsFBgAAAAAGAAYAWQEAAKMFAAAAAA==&#10;">
                <v:fill on="f" focussize="0,0"/>
                <v:stroke on="f" weight="0.5pt"/>
                <v:imagedata o:title=""/>
                <o:lock v:ext="edit" aspectratio="f"/>
                <v:textbox style="mso-fit-shape-to-text:t;">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-474980</wp:posOffset>
                </wp:positionH>
                <wp:positionV relativeFrom="paragraph">
                  <wp:posOffset>461645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4pt;margin-top:36.35pt;height:144pt;width:502pt;z-index:251667456;mso-width-relative:page;mso-height-relative:page;" filled="f" stroked="f" coordsize="21600,21600" o:gfxdata="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rlCktcAAAAK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asciiTheme="majorEastAsia" w:hAnsiTheme="majorEastAsia" w:eastAsiaTheme="majorEastAsia" w:cstheme="majorEastAsia"/>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eastAsia" w:asciiTheme="majorEastAsia" w:hAnsiTheme="majorEastAsia" w:eastAsiaTheme="majorEastAsia" w:cstheme="majorEastAsia"/>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rFonts w:hint="eastAsia" w:eastAsia="SimSun"/>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1执行纲要</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1.1市场描述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 w:val="21"/>
          <w:szCs w:val="32"/>
          <w:lang w:val="en-US" w:eastAsia="zh-CN" w:bidi="ar-SA"/>
        </w:rPr>
      </w:pP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HYPERLINK \l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1.2 核心技术</w:t>
      </w:r>
      <w:r>
        <w:rPr>
          <w:rFonts w:hint="eastAsia" w:ascii="黑体" w:hAnsi="黑体" w:eastAsia="黑体" w:cs="黑体"/>
          <w:kern w:val="2"/>
          <w:sz w:val="21"/>
          <w:szCs w:val="32"/>
          <w:lang w:val="en-US" w:eastAsia="zh-CN" w:bidi="ar-SA"/>
        </w:rPr>
        <w:tab/>
      </w: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PAGEREF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w:t>
      </w:r>
      <w:r>
        <w:rPr>
          <w:rFonts w:hint="eastAsia" w:ascii="黑体" w:hAnsi="黑体" w:eastAsia="黑体" w:cs="黑体"/>
          <w:kern w:val="2"/>
          <w:sz w:val="21"/>
          <w:szCs w:val="32"/>
          <w:lang w:val="en-US" w:eastAsia="zh-CN" w:bidi="ar-SA"/>
        </w:rPr>
        <w:fldChar w:fldCharType="end"/>
      </w:r>
      <w:r>
        <w:rPr>
          <w:rFonts w:hint="eastAsia" w:ascii="黑体" w:hAnsi="黑体" w:eastAsia="黑体" w:cs="黑体"/>
          <w:kern w:val="2"/>
          <w:sz w:val="21"/>
          <w:szCs w:val="32"/>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1.3 团队概述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1.4 发展战略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2 产品项目</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2.1 产业前景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2.1.1 背景介绍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2.1.2 亲子主题餐饮的概念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2.1.3 亲子主题餐饮的发展空间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2.2 服务概述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2.2.1 服务介绍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2.2.2 服务优势</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2.2.3 服务前景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2.2.4 研究与开发</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2.2.5 未来产品与服务规划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2.3 生产技术管理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2.3.1 生产场地管理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2.3.2 原材料的采购与管理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2.3.3 产品质量管理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2.3.4 成本控制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2.3.5 管理模式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3 市场调查与分析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3.1 亲子主题餐饮产业链分析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3.2 竞争因素分析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3.2.1 竞争产品分析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3.2.2 潜在进入者分析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3.2.3 竞争优势分析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3.3 市场发展预期走势分析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3.4 市场预测分析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3.4.1 预测的市场规模与总容量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3.4.2 行业市场划分与应用内容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3.4.3 亲子主题餐饮的商业模式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4 市场营销</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4.1 营销计划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4.1.1 市场进入和开发阶段（1-2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4.1.2 市场成长阶段（3-5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4.1.3 市场成熟阶段（5-10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4.2 定价战略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5 机遇与风险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5.1 机遇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5.2 外部风险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5.3 内部风险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5.4 解决方案</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6 组织与管理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6.1 公司简介</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6.2 公司的核心价值观</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6.3 公司目标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 公司组织结构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6.4.1 公司初期组织结构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6.4.2 公司中后期结构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 管理形式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6.5.1 管理团队和基本思想</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6.5.2 岗位说明书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6.5.3 公司的规章制度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 企业文化</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6.6.1 团队标志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6.6.2 企业文化理念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 人力激励与约束机制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6.7.1 激励机制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6.7.2 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7财务计划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7.1 股本结构与规模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7.2.2 运营收入及税额估算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 投资状况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7.3.1 初始投资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7.3.2 固定资产投资估算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 成本费用估算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7.4.1 原材料费用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7.4.2 员工结构及工资费用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7.4.3 折旧费用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7.4.4 办公、差旅费用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7.4.5 摊销费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7.4.6 公关及宣传费用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8财务分析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8.1 公司利润表及现金流量表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8.1.1 公司利润估算分析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8.1.2 公司现金流量分析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8.2 公司盈利能力分析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8.2.1 静态盈利能力分析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8.2.2 动态盈利能力分析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8.3 敏感性分析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9投资分析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9.1 投资结构及分析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9.1.1 注册资本结构与规模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9.1.2 投资回报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9.2 风险分析及防范措施</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9.2.1风险管理系统</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9.2.2 市场风险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9.2.3 运作风险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9.2.4 人力资源风险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9.2.5 公关风险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9.3 风险投资资金的撤出方式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1 公司经营第五年资产负债表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2公司经营五年期利润表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3公司经营五年期现金流量表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rPr>
          <w:rFonts w:hint="eastAsia"/>
        </w:rPr>
      </w:pPr>
      <w:r>
        <w:rPr>
          <w:rFonts w:hint="eastAsia" w:ascii="黑体" w:hAnsi="黑体" w:eastAsia="黑体" w:cs="黑体"/>
          <w:kern w:val="2"/>
          <w:szCs w:val="24"/>
          <w:lang w:val="en-US"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402142756"/>
      <w:bookmarkStart w:id="1" w:name="_Toc463708154"/>
      <w:bookmarkStart w:id="2" w:name="_Toc1995164536"/>
      <w:r>
        <w:rPr>
          <w:rFonts w:hint="eastAsia" w:ascii="黑体" w:hAnsi="黑体" w:eastAsia="黑体" w:cs="黑体"/>
          <w:sz w:val="32"/>
          <w:szCs w:val="32"/>
        </w:rPr>
        <w:t>1执行纲要</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025536558"/>
      <w:bookmarkStart w:id="4" w:name="_Toc1500629081"/>
      <w:bookmarkStart w:id="5" w:name="_Toc1820470115"/>
      <w:r>
        <w:rPr>
          <w:rFonts w:hint="eastAsia" w:ascii="黑体" w:hAnsi="黑体" w:eastAsia="黑体" w:cs="黑体"/>
          <w:sz w:val="28"/>
          <w:szCs w:val="28"/>
        </w:rPr>
        <w:t>1.1市场描述</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它能够增进孩子和父母以及其他家庭成员之间的感情，提高家庭的凝聚力，培养孩子的归属感和父母的责任感，是一种非常有益的活动。在市场经济不断发展的今天，人们在物质需求日益得到满足后，越来越重视情感层面的需求。在国外，许多餐馆纷纷推出亲子套餐，许多娱乐节目也推出了亲子档，比如红极一时的《爸爸去哪儿》系列节目，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用餐算是一个父母和子女交流的重要时刻。然而，许多为工作奔波的父母并不能陪在子女身边用餐，这给家庭生活造成了难以弥补的损失。除此之外，就算父母和子女一起外出用餐，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在这里，父母和孩子们边吃边聊，举行各种家庭活动，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目前，在国内这种亲子主题餐馆并不多见，这意味着这个领域是一片蓝海；而亲子互动中潜在的巨大商机则足以说服投资者。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568065" cy="2246630"/>
            <wp:effectExtent l="9525" t="9525" r="22860" b="10795"/>
            <wp:docPr id="139" name="Picture 13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2"/>
                    <pic:cNvPicPr>
                      <a:picLocks noChangeAspect="1"/>
                    </pic:cNvPicPr>
                  </pic:nvPicPr>
                  <pic:blipFill>
                    <a:blip r:embed="rId11"/>
                    <a:srcRect t="-572" b="19495"/>
                    <a:stretch>
                      <a:fillRect/>
                    </a:stretch>
                  </pic:blipFill>
                  <pic:spPr>
                    <a:xfrm>
                      <a:off x="0" y="0"/>
                      <a:ext cx="3568065" cy="224663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 1-1 某家亲子餐厅内景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797935" cy="2527935"/>
            <wp:effectExtent l="9525" t="9525" r="21590" b="15240"/>
            <wp:docPr id="182" name="Picture 18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3"/>
                    <pic:cNvPicPr>
                      <a:picLocks noChangeAspect="1"/>
                    </pic:cNvPicPr>
                  </pic:nvPicPr>
                  <pic:blipFill>
                    <a:blip r:embed="rId12"/>
                    <a:stretch>
                      <a:fillRect/>
                    </a:stretch>
                  </pic:blipFill>
                  <pic:spPr>
                    <a:xfrm>
                      <a:off x="0" y="0"/>
                      <a:ext cx="3797935" cy="252793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rPr>
      </w:pPr>
      <w:r>
        <w:rPr>
          <w:rFonts w:hint="default" w:asciiTheme="minorEastAsia" w:hAnsiTheme="minorEastAsia" w:eastAsiaTheme="minorEastAsia" w:cstheme="minorEastAsia"/>
          <w:b/>
          <w:bCs/>
          <w:sz w:val="21"/>
          <w:szCs w:val="21"/>
        </w:rPr>
        <w:t>图 1-1 另外一家家亲子餐厅内景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6" w:name="_Toc250225773"/>
      <w:bookmarkStart w:id="7" w:name="_Toc292732244"/>
      <w:bookmarkStart w:id="8" w:name="_Toc1875505421"/>
      <w:r>
        <w:rPr>
          <w:rFonts w:hint="eastAsia" w:ascii="黑体" w:hAnsi="黑体" w:eastAsia="黑体" w:cs="黑体"/>
          <w:sz w:val="28"/>
          <w:szCs w:val="28"/>
        </w:rPr>
        <w:t>1.2 核心技术</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作为一家餐馆，食品的供应是最重要的技术之一。作为一家亲子主题餐馆，我们有专业的装潢师、会做各式家常菜的厨师、布景师等等。为了能够提供更好的服务，我们还有表演团队为家庭庆典提供庆祝演出。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9" w:name="_Toc1120072708"/>
      <w:bookmarkStart w:id="10" w:name="_Toc1788811348"/>
      <w:bookmarkStart w:id="11" w:name="_Toc1735819720"/>
      <w:r>
        <w:rPr>
          <w:rFonts w:hint="eastAsia" w:ascii="黑体" w:hAnsi="黑体" w:eastAsia="黑体" w:cs="黑体"/>
          <w:sz w:val="28"/>
          <w:szCs w:val="28"/>
        </w:rPr>
        <w:t>1.3 团队概述</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越来越多不同院系的同学加入了我们。目前，我们有来着计算机系的负责开发手机APP点餐系统、网页开发等等IT业务的同学；有来着法学院的负责法律顾问的同学；由来着经管学院的负责财务的同学；还有来着北京农业大学的同学，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分工明确，主要负责餐馆的日常经营，菜式的研发，亲子活动的策划以及线上推广。团队已经开发了完整的运作流程，进行了详尽的市场分析，撰写了完善的商业项目策划，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2" w:name="_Toc1264651650"/>
      <w:bookmarkStart w:id="13" w:name="_Toc1462224576"/>
      <w:bookmarkStart w:id="14" w:name="_Toc548349057"/>
      <w:r>
        <w:rPr>
          <w:rFonts w:hint="eastAsia" w:ascii="黑体" w:hAnsi="黑体" w:eastAsia="黑体" w:cs="黑体"/>
          <w:sz w:val="28"/>
          <w:szCs w:val="28"/>
        </w:rPr>
        <w:t>1.4 发展战略</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积累活跃顾客，建立“亲子互动”，“亲子共享美食”的新的生活风尚。加大宣传力度，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把分店扩散到其他省份，特别是餐饮消费占百分比较高的省份。开始走中高档路线，提高服务质量，提供更多增值服务，比如亲子卡拉OK，亲子脱口秀，生日送蛋糕等等。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提升品牌知名度，打造国内亲子主题餐饮领先品牌，开发国外市场，提供国际化的亲子主题餐饮服务。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15" w:name="_Toc1673159623"/>
      <w:bookmarkStart w:id="16" w:name="_Toc1348610778"/>
      <w:bookmarkStart w:id="17" w:name="_Toc1505850220"/>
      <w:r>
        <w:rPr>
          <w:rFonts w:hint="eastAsia" w:ascii="黑体" w:hAnsi="黑体" w:eastAsia="黑体" w:cs="黑体"/>
          <w:sz w:val="32"/>
          <w:szCs w:val="32"/>
        </w:rPr>
        <w:t>2 产品项目</w:t>
      </w:r>
      <w:bookmarkEnd w:id="15"/>
      <w:bookmarkEnd w:id="16"/>
      <w:bookmarkEnd w:id="1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8" w:name="_Toc2089469518"/>
      <w:bookmarkStart w:id="19" w:name="_Toc316458898"/>
      <w:bookmarkStart w:id="20" w:name="_Toc792300912"/>
      <w:r>
        <w:rPr>
          <w:rFonts w:hint="eastAsia" w:ascii="黑体" w:hAnsi="黑体" w:eastAsia="黑体" w:cs="黑体"/>
          <w:sz w:val="28"/>
          <w:szCs w:val="28"/>
          <w:lang w:eastAsia="zh-CN"/>
        </w:rPr>
        <w:t>2.1 产业前景</w:t>
      </w:r>
      <w:bookmarkEnd w:id="18"/>
      <w:bookmarkEnd w:id="19"/>
      <w:bookmarkEnd w:id="2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2101112962"/>
      <w:bookmarkStart w:id="22" w:name="_Toc1795626493"/>
      <w:bookmarkStart w:id="23" w:name="_Toc793650015"/>
      <w:r>
        <w:rPr>
          <w:rFonts w:hint="eastAsia" w:ascii="黑体" w:hAnsi="黑体" w:eastAsia="黑体" w:cs="黑体"/>
          <w:sz w:val="24"/>
          <w:szCs w:val="24"/>
          <w:lang w:eastAsia="zh-CN"/>
        </w:rPr>
        <w:t>2.1.1 背景介绍</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是每一个家庭不得不面对的话题；良好的亲子关系是孩子健康成长的基石，也是父母安心工作的基础。维护良好的亲子关系需要孩子和父母在日常生活的方方面面的共同努力，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和新式菜，比如火锅店、洋快餐、拉面店等等。这些餐馆基本上除了提供菜品和就餐环境，并没有为就餐人群作特殊的考虑。一些洋快餐店确实提供了儿童活动区，但是并没有为家长做考虑。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为了弥补已有餐饮企业的不足，我们为家长和孩子创造一个温馨舒适的就餐环境，提供老少咸宜的菜品以及家庭活动的道具，让孩子和家长在就餐的同时多多沟通，增加感情。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4" w:name="_Toc1058002239"/>
      <w:bookmarkStart w:id="25" w:name="_Toc540997589"/>
      <w:bookmarkStart w:id="26"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24"/>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为家长孩子提供既健康美味又有趣的就餐体验，进行愉快的亲子交流和互动。我们的目标人群是3-12岁的儿童和重视下一代培养和教育的家长。我们提供亲子DIY烹饪，儿童餐厅，生日派对等等活动。我们的服务人员都具有幼教资格。更重要的是，我们有专业的健康膳食研究团队，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27" w:name="_Toc376462827"/>
      <w:bookmarkStart w:id="28" w:name="_Toc1681449720"/>
      <w:bookmarkStart w:id="29" w:name="_Toc1563685850"/>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27"/>
      <w:r>
        <w:rPr>
          <w:rFonts w:hint="default" w:ascii="黑体" w:hAnsi="黑体" w:eastAsia="黑体" w:cs="黑体"/>
          <w:sz w:val="24"/>
          <w:szCs w:val="24"/>
          <w:lang w:eastAsia="zh-CN"/>
        </w:rPr>
        <w:t>发展空间</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必须提供差异化的产品和服务和合理的价格才能有竞争力。为此，我们必须抓住儿童和父母心理上的特点，满足各自的需求。父母希望孩子吃健康的食品，收获一些对成长有利的知识；孩子希望见到新奇的食物，喜欢动手尝试，获得成就感和归属感。亲子主题餐饮可以有针对性的提供各种食品DIY，让孩子在动手动脑中制作出精美的食物；父母则从旁帮助，从而和孩子交流和合作，促进感情的交流。为了丰富业务，还可以提供制作示范，让年轻妈妈学做健康的幼儿膳食。如果针对亲子特有的需求提供差异化的服务，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0" w:name="_Toc1133108034"/>
      <w:bookmarkStart w:id="31" w:name="_Toc1161532124"/>
      <w:bookmarkStart w:id="32" w:name="_Toc2112225267"/>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30"/>
      <w:bookmarkEnd w:id="31"/>
      <w:bookmarkEnd w:id="3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3" w:name="_Toc56242974"/>
      <w:bookmarkStart w:id="34" w:name="_Toc500022842"/>
      <w:bookmarkStart w:id="35" w:name="_Toc1465409486"/>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33"/>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6" w:name="_Toc651066311"/>
      <w:bookmarkStart w:id="37" w:name="_Toc1686052793"/>
      <w:bookmarkStart w:id="38"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9" w:name="_Toc1367316754"/>
      <w:bookmarkStart w:id="40" w:name="_Toc486765100"/>
      <w:bookmarkStart w:id="41" w:name="_Toc1539476721"/>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39"/>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2" w:name="_Toc2016924803"/>
      <w:bookmarkStart w:id="43" w:name="_Toc1053382421"/>
      <w:bookmarkStart w:id="44" w:name="_Toc142578485"/>
      <w:r>
        <w:rPr>
          <w:rFonts w:hint="eastAsia" w:ascii="黑体" w:hAnsi="黑体" w:eastAsia="黑体" w:cs="黑体"/>
          <w:sz w:val="24"/>
          <w:szCs w:val="24"/>
          <w:lang w:eastAsia="zh-CN"/>
        </w:rPr>
        <w:t>2.2.4 研究与开发</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5" w:name="_Toc331879032"/>
      <w:bookmarkStart w:id="46" w:name="_Toc944558716"/>
      <w:bookmarkStart w:id="47" w:name="_Toc710268600"/>
      <w:r>
        <w:rPr>
          <w:rFonts w:hint="eastAsia" w:ascii="黑体" w:hAnsi="黑体" w:eastAsia="黑体" w:cs="黑体"/>
          <w:sz w:val="24"/>
          <w:szCs w:val="24"/>
          <w:lang w:eastAsia="zh-CN"/>
        </w:rPr>
        <w:t>2.2.5 未来产品与服务规划</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年存在的叛逆心理，提供对症下药的服务，促进家长和孩子缓和矛盾，增进相互理解。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8" w:name="_Toc393948018"/>
      <w:bookmarkStart w:id="49" w:name="_Toc917236953"/>
      <w:bookmarkStart w:id="50" w:name="_Toc1893047258"/>
      <w:r>
        <w:rPr>
          <w:rFonts w:hint="eastAsia" w:ascii="黑体" w:hAnsi="黑体" w:eastAsia="黑体" w:cs="黑体"/>
          <w:sz w:val="28"/>
          <w:szCs w:val="28"/>
          <w:lang w:eastAsia="zh-CN"/>
        </w:rPr>
        <w:t>2.3 生产技术管理</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1" w:name="_Toc1082738082"/>
      <w:bookmarkStart w:id="52" w:name="_Toc210858481"/>
      <w:bookmarkStart w:id="53" w:name="_Toc1885529940"/>
      <w:r>
        <w:rPr>
          <w:rFonts w:hint="eastAsia" w:ascii="黑体" w:hAnsi="黑体" w:eastAsia="黑体" w:cs="黑体"/>
          <w:sz w:val="24"/>
          <w:szCs w:val="24"/>
          <w:lang w:eastAsia="zh-CN"/>
        </w:rPr>
        <w:t>2.3.1 生产场地管理</w:t>
      </w:r>
      <w:bookmarkEnd w:id="51"/>
      <w:bookmarkEnd w:id="52"/>
      <w:bookmarkEnd w:id="53"/>
    </w:p>
    <w:p>
      <w:pPr>
        <w:rPr>
          <w:rFonts w:hint="eastAsia"/>
          <w:lang w:eastAsia="zh-CN"/>
        </w:rPr>
      </w:pPr>
      <w:r>
        <w:rPr>
          <w:sz w:val="21"/>
        </w:rPr>
        <mc:AlternateContent>
          <mc:Choice Requires="wpg">
            <w:drawing>
              <wp:anchor distT="0" distB="0" distL="114300" distR="114300" simplePos="0" relativeHeight="252732416" behindDoc="0" locked="0" layoutInCell="1" allowOverlap="1">
                <wp:simplePos x="0" y="0"/>
                <wp:positionH relativeFrom="column">
                  <wp:posOffset>509270</wp:posOffset>
                </wp:positionH>
                <wp:positionV relativeFrom="paragraph">
                  <wp:posOffset>445135</wp:posOffset>
                </wp:positionV>
                <wp:extent cx="1859280" cy="1130300"/>
                <wp:effectExtent l="0" t="0" r="7620" b="12700"/>
                <wp:wrapNone/>
                <wp:docPr id="41" name="Group 41"/>
                <wp:cNvGraphicFramePr/>
                <a:graphic xmlns:a="http://schemas.openxmlformats.org/drawingml/2006/main">
                  <a:graphicData uri="http://schemas.microsoft.com/office/word/2010/wordprocessingGroup">
                    <wpg:wgp>
                      <wpg:cNvGrpSpPr/>
                      <wpg:grpSpPr>
                        <a:xfrm>
                          <a:off x="0" y="0"/>
                          <a:ext cx="1859280" cy="1130300"/>
                          <a:chOff x="5175" y="142333"/>
                          <a:chExt cx="2928" cy="1780"/>
                        </a:xfrm>
                      </wpg:grpSpPr>
                      <wps:wsp>
                        <wps:cNvPr id="1" name="Text Box 1"/>
                        <wps:cNvSpPr txBox="1"/>
                        <wps:spPr>
                          <a:xfrm>
                            <a:off x="5175" y="142333"/>
                            <a:ext cx="2598" cy="1309"/>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0.1pt;margin-top:35.05pt;height:89pt;width:146.4pt;z-index:252732416;mso-width-relative:page;mso-height-relative:page;" coordorigin="5175,142333" coordsize="2928,1780" o:gfxdata="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OHxJ1TZAAAACQEAAA8AAAAAAAAAAQAgAAAAIgAAAGRycy9k&#10;b3ducmV2LnhtbFBLAQIUABQAAAAIAIdO4kDzXAWNAgQAABoMAAAOAAAAAAAAAAEAIAAAACgBAABk&#10;cnMvZTJvRG9jLnhtbFBLBQYAAAAABgAGAFkBAACcBwAAAAA=&#10;">
                <o:lock v:ext="edit" aspectratio="f"/>
                <v:shape id="_x0000_s1026" o:spid="_x0000_s1026" o:spt="202" type="#_x0000_t202" style="position:absolute;left:5175;top:142333;height:1309;width:2598;" fillcolor="#BDD7EE [1300]" filled="t" stroked="f" coordsize="21600,21600" o:gfxdata="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wnEm5AAAA2g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vlpSboAAADa&#10;AAAADwAAAGRycy9kb3ducmV2LnhtbEWPQYvCMBSE78L+h/AWvGlqBZGu0YOLUOpequL50bxtis1L&#10;t4lV//1GEDwOM/MNs9rcbSsG6n3jWMFsmoAgrpxuuFZwOu4mSxA+IGtsHZOCB3nYrD9GK8y0u3FJ&#10;wyHUIkLYZ6jAhNBlUvrKkEU/dR1x9H5dbzFE2ddS93iLcNvKNEkW0mLDccFgR1tD1eVwtQp+ir0+&#10;s5sPNk/L7/LPFLnnQqnx5yz5AhHoHt7hVzvXClJ4Xok3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WlJugAAANoA&#10;AAAPAAAAAAAAAAEAIAAAACIAAABkcnMvZG93bnJldi54bWxQSwECFAAUAAAACACHTuJAMy8FnjsA&#10;AAA5AAAAEAAAAAAAAAABACAAAAAJAQAAZHJzL3NoYXBleG1sLnhtbFBLBQYAAAAABgAGAFsBAACz&#10;AwAAAAA=&#10;">
                    <v:fill on="f" focussize="0,0"/>
                    <v:stroke weight="1pt" color="#ED7D31 [3205]"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3"/>
                    <a:stretch>
                      <a:fillRect/>
                    </a:stretch>
                  </pic:blipFill>
                  <pic:spPr>
                    <a:xfrm>
                      <a:off x="0" y="0"/>
                      <a:ext cx="5473700" cy="3429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图 2-9 公司选址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4" w:name="_Toc1263764684"/>
      <w:bookmarkStart w:id="55" w:name="_Toc1265004813"/>
      <w:bookmarkStart w:id="56" w:name="_Toc350904155"/>
      <w:r>
        <w:rPr>
          <w:rFonts w:hint="eastAsia" w:ascii="黑体" w:hAnsi="黑体" w:eastAsia="黑体" w:cs="黑体"/>
          <w:sz w:val="24"/>
          <w:szCs w:val="24"/>
          <w:lang w:eastAsia="zh-CN"/>
        </w:rPr>
        <w:t>2.3.2 原材料的采购与管理</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7" w:name="_Toc46291091"/>
      <w:bookmarkStart w:id="58" w:name="_Toc1998475775"/>
      <w:bookmarkStart w:id="59" w:name="_Toc1570360915"/>
      <w:r>
        <w:rPr>
          <w:rFonts w:hint="eastAsia" w:ascii="黑体" w:hAnsi="黑体" w:eastAsia="黑体" w:cs="黑体"/>
          <w:sz w:val="24"/>
          <w:szCs w:val="24"/>
          <w:lang w:eastAsia="zh-CN"/>
        </w:rPr>
        <w:t>2.3.3 产品质量管理</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 xml:space="preserve">图 2-10 </w:t>
      </w:r>
      <w:r>
        <w:rPr>
          <w:rFonts w:hint="default" w:asciiTheme="minorEastAsia" w:hAnsiTheme="minorEastAsia" w:cstheme="minorEastAsia"/>
          <w:b/>
          <w:bCs/>
          <w:lang w:eastAsia="zh-CN"/>
        </w:rPr>
        <w:t>餐厅各部分关系</w:t>
      </w: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sz w:val="24"/>
          <w:szCs w:val="24"/>
          <w:lang w:eastAsia="zh-CN"/>
        </w:rPr>
      </w:pPr>
      <w:r>
        <w:rPr>
          <w:rFonts w:hint="default"/>
          <w:sz w:val="24"/>
          <w:szCs w:val="24"/>
          <w:lang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default"/>
          <w:sz w:val="24"/>
          <w:szCs w:val="24"/>
          <w:lang w:eastAsia="zh-CN"/>
        </w:rPr>
      </w:pPr>
      <w:r>
        <w:rPr>
          <w:rFonts w:hint="default"/>
          <w:sz w:val="24"/>
          <w:szCs w:val="24"/>
          <w:lang w:eastAsia="zh-CN"/>
        </w:rPr>
        <w:t>二、各部门人员分配：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 技术研发人员分配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both"/>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0" w:name="_Toc159908927"/>
      <w:bookmarkStart w:id="61" w:name="_Toc1693192740"/>
      <w:bookmarkStart w:id="62" w:name="_Toc1770111117"/>
      <w:r>
        <w:rPr>
          <w:rFonts w:hint="eastAsia" w:ascii="黑体" w:hAnsi="黑体" w:eastAsia="黑体" w:cs="黑体"/>
          <w:sz w:val="24"/>
          <w:szCs w:val="24"/>
          <w:lang w:eastAsia="zh-CN"/>
        </w:rPr>
        <w:t>2.3.4 成本控制</w:t>
      </w:r>
      <w:bookmarkEnd w:id="60"/>
      <w:bookmarkEnd w:id="61"/>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3" w:name="_Toc438366214"/>
      <w:bookmarkStart w:id="64" w:name="_Toc1328572959"/>
      <w:bookmarkStart w:id="65" w:name="_Toc639543792"/>
      <w:r>
        <w:rPr>
          <w:rFonts w:hint="eastAsia" w:ascii="黑体" w:hAnsi="黑体" w:eastAsia="黑体" w:cs="黑体"/>
          <w:sz w:val="24"/>
          <w:szCs w:val="24"/>
          <w:lang w:eastAsia="zh-CN"/>
        </w:rPr>
        <w:t>2.3.5 管理模式</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6" w:name="_Toc648687942"/>
      <w:bookmarkStart w:id="67" w:name="_Toc1025450345"/>
      <w:bookmarkStart w:id="68" w:name="_Toc817046438"/>
      <w:r>
        <w:rPr>
          <w:rFonts w:hint="eastAsia" w:ascii="黑体" w:hAnsi="黑体" w:eastAsia="黑体" w:cs="黑体"/>
          <w:sz w:val="32"/>
          <w:szCs w:val="32"/>
          <w:lang w:eastAsia="zh-CN"/>
        </w:rPr>
        <w:t>3 市场调查与分析</w:t>
      </w:r>
      <w:bookmarkEnd w:id="66"/>
      <w:bookmarkEnd w:id="67"/>
      <w:bookmarkEnd w:id="6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9" w:name="_Toc329508027"/>
      <w:bookmarkStart w:id="70" w:name="_Toc240950764"/>
      <w:bookmarkStart w:id="71" w:name="_Toc1761235184"/>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sz w:val="21"/>
          <w:szCs w:val="21"/>
        </w:rPr>
        <w:t>图 2-1 产业链</w:t>
      </w:r>
      <w:r>
        <w:rPr>
          <w:rFonts w:hint="eastAsia" w:asciiTheme="majorEastAsia" w:hAnsiTheme="majorEastAsia" w:eastAsiaTheme="majorEastAsia" w:cstheme="majorEastAsia"/>
          <w:b/>
          <w:bCs/>
          <w:sz w:val="21"/>
          <w:szCs w:val="21"/>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72"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3" w:name="_Toc1526885706"/>
      <w:bookmarkStart w:id="74" w:name="_Toc1167328648"/>
      <w:r>
        <w:rPr>
          <w:rFonts w:hint="eastAsia" w:ascii="黑体" w:hAnsi="黑体" w:eastAsia="黑体" w:cs="黑体"/>
          <w:sz w:val="28"/>
          <w:szCs w:val="28"/>
          <w:lang w:eastAsia="zh-CN"/>
        </w:rPr>
        <w:t>3.2 竞争因素分析</w:t>
      </w:r>
      <w:bookmarkEnd w:id="72"/>
      <w:bookmarkEnd w:id="73"/>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5" w:name="_Toc109258422"/>
      <w:bookmarkStart w:id="76" w:name="_Toc154928642"/>
      <w:bookmarkStart w:id="77" w:name="_Toc913388114"/>
      <w:r>
        <w:rPr>
          <w:rFonts w:hint="eastAsia" w:ascii="黑体" w:hAnsi="黑体" w:eastAsia="黑体" w:cs="黑体"/>
          <w:sz w:val="24"/>
          <w:szCs w:val="24"/>
          <w:lang w:eastAsia="zh-CN"/>
        </w:rPr>
        <w:t>3.2.1 竞争产品分析</w:t>
      </w:r>
      <w:bookmarkEnd w:id="75"/>
      <w:bookmarkEnd w:id="76"/>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78" w:name="_Toc715079083"/>
      <w:bookmarkStart w:id="79" w:name="_Toc554572348"/>
      <w:bookmarkStart w:id="80" w:name="_Toc8527994"/>
      <w:r>
        <w:rPr>
          <w:rFonts w:hint="eastAsia" w:ascii="黑体" w:hAnsi="黑体" w:eastAsia="黑体" w:cs="黑体"/>
          <w:sz w:val="24"/>
          <w:szCs w:val="24"/>
          <w:lang w:eastAsia="zh-CN"/>
        </w:rPr>
        <w:t>3.2.2 潜在进入者分析</w:t>
      </w:r>
      <w:bookmarkEnd w:id="78"/>
      <w:bookmarkEnd w:id="79"/>
      <w:bookmarkEnd w:id="80"/>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2 潜在进入者</w:t>
      </w:r>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81" w:name="_Toc150929058"/>
      <w:bookmarkStart w:id="82" w:name="_Toc416818955"/>
      <w:bookmarkStart w:id="83" w:name="_Toc226720986"/>
      <w:r>
        <w:rPr>
          <w:rFonts w:hint="eastAsia" w:ascii="黑体" w:hAnsi="黑体" w:eastAsia="黑体" w:cs="黑体"/>
          <w:sz w:val="24"/>
          <w:szCs w:val="24"/>
          <w:lang w:eastAsia="zh-CN"/>
        </w:rPr>
        <w:t>3.2.3 竞争优势分析</w:t>
      </w:r>
      <w:bookmarkEnd w:id="81"/>
      <w:bookmarkEnd w:id="82"/>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71602596"/>
      <w:bookmarkStart w:id="85" w:name="_Toc1113651491"/>
      <w:bookmarkStart w:id="86" w:name="_Toc686647245"/>
      <w:r>
        <w:rPr>
          <w:rFonts w:hint="eastAsia" w:ascii="黑体" w:hAnsi="黑体" w:eastAsia="黑体" w:cs="黑体"/>
          <w:sz w:val="28"/>
          <w:szCs w:val="28"/>
          <w:lang w:eastAsia="zh-CN"/>
        </w:rPr>
        <w:t>3.3 市场发展预期走势分析</w:t>
      </w:r>
      <w:bookmarkEnd w:id="84"/>
      <w:bookmarkEnd w:id="85"/>
      <w:bookmarkEnd w:id="86"/>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3 市场发展走势分析</w:t>
      </w:r>
    </w:p>
    <w:tbl>
      <w:tblPr>
        <w:tblStyle w:val="24"/>
        <w:tblW w:w="80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1161"/>
        <w:gridCol w:w="1441"/>
        <w:gridCol w:w="1375"/>
        <w:gridCol w:w="1403"/>
        <w:gridCol w:w="1472"/>
      </w:tblGrid>
      <w:tr>
        <w:trPr>
          <w:trHeight w:val="752" w:hRule="atLeast"/>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lang w:eastAsia="zh-CN"/>
              </w:rPr>
              <w:t>年份</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2014-2015</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2015-2016</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2016-2017</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2017后</w:t>
            </w:r>
          </w:p>
        </w:tc>
      </w:tr>
      <w:tr>
        <w:trPr>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空间</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概念年</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开发年</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实验年</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推广年</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火爆年</w:t>
            </w:r>
          </w:p>
        </w:tc>
      </w:tr>
    </w:tbl>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87" w:name="_Toc430684000"/>
      <w:bookmarkStart w:id="88" w:name="_Toc458795259"/>
      <w:bookmarkStart w:id="89" w:name="_Toc1157733537"/>
      <w:r>
        <w:rPr>
          <w:rFonts w:hint="eastAsia" w:ascii="黑体" w:hAnsi="黑体" w:eastAsia="黑体" w:cs="黑体"/>
          <w:sz w:val="28"/>
          <w:szCs w:val="28"/>
          <w:lang w:eastAsia="zh-CN"/>
        </w:rPr>
        <w:t>3.4 市场预测分析</w:t>
      </w:r>
      <w:bookmarkEnd w:id="87"/>
      <w:bookmarkEnd w:id="88"/>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0" w:name="_Toc177337915"/>
      <w:bookmarkStart w:id="91" w:name="_Toc1864156490"/>
      <w:bookmarkStart w:id="92" w:name="_Toc1999516649"/>
      <w:r>
        <w:rPr>
          <w:rFonts w:hint="eastAsia" w:ascii="黑体" w:hAnsi="黑体" w:eastAsia="黑体" w:cs="黑体"/>
          <w:sz w:val="24"/>
          <w:szCs w:val="24"/>
          <w:lang w:eastAsia="zh-CN"/>
        </w:rPr>
        <w:t>3.4.1 预测的市场规模与总容量</w:t>
      </w:r>
      <w:bookmarkEnd w:id="90"/>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3" w:name="_Toc1150355399"/>
      <w:bookmarkStart w:id="94" w:name="_Toc1473745352"/>
      <w:bookmarkStart w:id="95" w:name="_Toc961332380"/>
      <w:r>
        <w:rPr>
          <w:rFonts w:hint="eastAsia" w:ascii="黑体" w:hAnsi="黑体" w:eastAsia="黑体" w:cs="黑体"/>
          <w:sz w:val="24"/>
          <w:szCs w:val="24"/>
          <w:lang w:eastAsia="zh-CN"/>
        </w:rPr>
        <w:t>3.4.2 行业市场划分与应用内容</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96" w:name="_Toc510878971"/>
      <w:bookmarkStart w:id="97" w:name="_Toc1456220559"/>
      <w:bookmarkStart w:id="98" w:name="_Toc131781726"/>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目前根据的盈利模式主要有三种</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99" w:name="_Toc1727538422"/>
      <w:bookmarkStart w:id="100" w:name="_Toc2114382263"/>
      <w:bookmarkStart w:id="101" w:name="_Toc470070159"/>
      <w:r>
        <w:rPr>
          <w:rFonts w:hint="eastAsia" w:ascii="黑体" w:hAnsi="黑体" w:eastAsia="黑体" w:cs="黑体"/>
          <w:sz w:val="32"/>
          <w:szCs w:val="32"/>
          <w:lang w:eastAsia="zh-CN"/>
        </w:rPr>
        <w:t>4 市场营销</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2" w:name="_Toc549668452"/>
      <w:bookmarkStart w:id="103" w:name="_Toc1115073052"/>
      <w:bookmarkStart w:id="104" w:name="_Toc122944460"/>
      <w:r>
        <w:rPr>
          <w:rFonts w:hint="eastAsia" w:ascii="黑体" w:hAnsi="黑体" w:eastAsia="黑体" w:cs="黑体"/>
          <w:sz w:val="28"/>
          <w:szCs w:val="28"/>
          <w:lang w:eastAsia="zh-CN"/>
        </w:rPr>
        <w:t>4.1 营销计划</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05" w:name="_Toc770961487"/>
      <w:bookmarkStart w:id="106" w:name="_Toc1059228028"/>
      <w:bookmarkStart w:id="107" w:name="_Toc1396433376"/>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105"/>
      <w:r>
        <w:rPr>
          <w:rFonts w:hint="default" w:ascii="黑体" w:hAnsi="黑体" w:eastAsia="黑体" w:cs="黑体"/>
          <w:sz w:val="24"/>
          <w:szCs w:val="24"/>
          <w:lang w:eastAsia="zh-CN"/>
        </w:rPr>
        <w:t>）</w:t>
      </w:r>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08" w:name="_Toc2143229782"/>
      <w:bookmarkStart w:id="109" w:name="_Toc928665552"/>
      <w:bookmarkStart w:id="110" w:name="_Toc1472748835"/>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108"/>
      <w:r>
        <w:rPr>
          <w:rFonts w:hint="default" w:ascii="黑体" w:hAnsi="黑体" w:eastAsia="黑体" w:cs="黑体"/>
          <w:sz w:val="24"/>
          <w:szCs w:val="24"/>
          <w:lang w:eastAsia="zh-CN"/>
        </w:rPr>
        <w:t>）</w:t>
      </w:r>
      <w:bookmarkEnd w:id="109"/>
      <w:bookmarkEnd w:id="1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11" w:name="_Toc866127351"/>
      <w:bookmarkStart w:id="112" w:name="_Toc1057058923"/>
      <w:bookmarkStart w:id="113" w:name="_Toc915245372"/>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111"/>
      <w:r>
        <w:rPr>
          <w:rFonts w:hint="default" w:ascii="黑体" w:hAnsi="黑体" w:eastAsia="黑体" w:cs="黑体"/>
          <w:sz w:val="24"/>
          <w:szCs w:val="24"/>
          <w:lang w:eastAsia="zh-CN"/>
        </w:rPr>
        <w:t>）</w:t>
      </w:r>
      <w:bookmarkEnd w:id="112"/>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14" w:name="_Toc724590801"/>
      <w:bookmarkStart w:id="115" w:name="_Toc1852878043"/>
      <w:bookmarkStart w:id="116" w:name="_Toc1044576221"/>
      <w:r>
        <w:rPr>
          <w:rFonts w:hint="eastAsia" w:ascii="黑体" w:hAnsi="黑体" w:eastAsia="黑体" w:cs="黑体"/>
          <w:sz w:val="28"/>
          <w:szCs w:val="28"/>
          <w:lang w:eastAsia="zh-CN"/>
        </w:rPr>
        <w:t>4.2 定价战略</w:t>
      </w:r>
      <w:bookmarkEnd w:id="114"/>
      <w:bookmarkEnd w:id="115"/>
      <w:bookmarkEnd w:id="1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。部分菜品参考定价如下：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表格 4 产品价格预测表</w:t>
      </w:r>
    </w:p>
    <w:tbl>
      <w:tblPr>
        <w:tblStyle w:val="24"/>
        <w:tblW w:w="9097"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1"/>
        <w:gridCol w:w="4486"/>
      </w:tblGrid>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17" w:name="_Toc1469663141"/>
      <w:bookmarkStart w:id="118" w:name="_Toc383267426"/>
      <w:bookmarkStart w:id="119" w:name="_Toc931341011"/>
      <w:r>
        <w:rPr>
          <w:rFonts w:hint="eastAsia" w:ascii="黑体" w:hAnsi="黑体" w:eastAsia="黑体" w:cs="黑体"/>
          <w:sz w:val="32"/>
          <w:szCs w:val="32"/>
          <w:lang w:eastAsia="zh-CN"/>
        </w:rPr>
        <w:t>5 机遇与风险</w:t>
      </w:r>
      <w:bookmarkEnd w:id="117"/>
      <w:bookmarkEnd w:id="118"/>
      <w:bookmarkEnd w:id="11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20" w:name="_Toc1242590178"/>
      <w:bookmarkStart w:id="121" w:name="_Toc331447574"/>
      <w:bookmarkStart w:id="122" w:name="_Toc591024995"/>
      <w:r>
        <w:rPr>
          <w:rFonts w:hint="eastAsia" w:ascii="黑体" w:hAnsi="黑体" w:eastAsia="黑体" w:cs="黑体"/>
          <w:sz w:val="28"/>
          <w:szCs w:val="28"/>
          <w:lang w:eastAsia="zh-CN"/>
        </w:rPr>
        <w:t>5.1 机遇</w:t>
      </w:r>
      <w:bookmarkEnd w:id="120"/>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3" w:name="_Toc58624698"/>
      <w:bookmarkStart w:id="124" w:name="_Toc1817619663"/>
      <w:bookmarkStart w:id="125" w:name="_Toc1857698836"/>
      <w:r>
        <w:rPr>
          <w:rFonts w:hint="eastAsia" w:ascii="黑体" w:hAnsi="黑体" w:eastAsia="黑体" w:cs="黑体"/>
          <w:sz w:val="28"/>
          <w:szCs w:val="28"/>
          <w:lang w:eastAsia="zh-CN"/>
        </w:rPr>
        <w:t>5.2 外部风险</w:t>
      </w:r>
      <w:bookmarkEnd w:id="123"/>
      <w:bookmarkEnd w:id="124"/>
      <w:bookmarkEnd w:id="1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6" w:name="_Toc1431363854"/>
      <w:bookmarkStart w:id="127" w:name="_Toc1525906116"/>
      <w:bookmarkStart w:id="128" w:name="_Toc1848676913"/>
      <w:r>
        <w:rPr>
          <w:rFonts w:hint="eastAsia" w:ascii="黑体" w:hAnsi="黑体" w:eastAsia="黑体" w:cs="黑体"/>
          <w:sz w:val="28"/>
          <w:szCs w:val="28"/>
          <w:lang w:eastAsia="zh-CN"/>
        </w:rPr>
        <w:t>5.3 内部风险</w:t>
      </w:r>
      <w:bookmarkEnd w:id="126"/>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9" w:name="_Toc423967113"/>
      <w:bookmarkStart w:id="130" w:name="_Toc982513885"/>
      <w:bookmarkStart w:id="131" w:name="_Toc129594140"/>
      <w:r>
        <w:rPr>
          <w:rFonts w:hint="eastAsia" w:ascii="黑体" w:hAnsi="黑体" w:eastAsia="黑体" w:cs="黑体"/>
          <w:sz w:val="28"/>
          <w:szCs w:val="28"/>
          <w:lang w:eastAsia="zh-CN"/>
        </w:rPr>
        <w:t>5.4 解决方案</w:t>
      </w:r>
      <w:bookmarkEnd w:id="129"/>
      <w:bookmarkEnd w:id="130"/>
      <w:bookmarkEnd w:id="1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132" w:name="_Toc1037452769"/>
      <w:bookmarkStart w:id="133" w:name="_Toc1598101419"/>
      <w:bookmarkStart w:id="134" w:name="_Toc196980288"/>
      <w:r>
        <w:rPr>
          <w:rFonts w:hint="eastAsia" w:ascii="黑体" w:hAnsi="黑体" w:eastAsia="黑体" w:cs="黑体"/>
          <w:sz w:val="32"/>
          <w:szCs w:val="32"/>
          <w:lang w:eastAsia="zh-CN"/>
        </w:rPr>
        <w:t>6 组织与管理</w:t>
      </w:r>
      <w:bookmarkEnd w:id="132"/>
      <w:bookmarkEnd w:id="133"/>
      <w:bookmarkEnd w:id="13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5" w:name="_Toc1573942339"/>
      <w:bookmarkStart w:id="136" w:name="_Toc1395347271"/>
      <w:bookmarkStart w:id="137" w:name="_Toc754575686"/>
      <w:r>
        <w:rPr>
          <w:rFonts w:hint="eastAsia" w:ascii="黑体" w:hAnsi="黑体" w:eastAsia="黑体" w:cs="黑体"/>
          <w:b/>
          <w:bCs/>
          <w:sz w:val="28"/>
          <w:szCs w:val="32"/>
          <w:lang w:eastAsia="zh-CN"/>
        </w:rPr>
        <w:t>6.1 公司简介</w:t>
      </w:r>
      <w:bookmarkEnd w:id="135"/>
      <w:bookmarkEnd w:id="136"/>
      <w:bookmarkEnd w:id="1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8" w:name="_Toc1074152856"/>
      <w:bookmarkStart w:id="139" w:name="_Toc1692782486"/>
      <w:bookmarkStart w:id="140" w:name="_Toc755846145"/>
      <w:r>
        <w:rPr>
          <w:rFonts w:hint="eastAsia" w:ascii="黑体" w:hAnsi="黑体" w:eastAsia="黑体" w:cs="黑体"/>
          <w:b/>
          <w:bCs/>
          <w:sz w:val="28"/>
          <w:szCs w:val="32"/>
          <w:lang w:eastAsia="zh-CN"/>
        </w:rPr>
        <w:t>6.2 公司的核心价值观</w:t>
      </w:r>
      <w:bookmarkEnd w:id="138"/>
      <w:bookmarkEnd w:id="139"/>
      <w:bookmarkEnd w:id="1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，是企业的灵魂。它使企业有了克服困难的勇气，开拓市场的魄力，不断创新的动力。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我们公司的核心价值观是：客户至上，敢于创新，追求卓越，勇攀高峰。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公司把核心价值观作为员工行动准则的一部分，写成标语贴在贴上；做成书签送给员工；提在画上挂在墙上；喊在嘴里做在事里。只有这样，全公司上上下下才能团结一心，奋勇当先，争创佳绩。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41" w:name="_Toc1343665029"/>
      <w:bookmarkStart w:id="142" w:name="_Toc1431400788"/>
      <w:bookmarkStart w:id="143" w:name="_Toc1114217242"/>
      <w:r>
        <w:rPr>
          <w:rFonts w:hint="eastAsia" w:ascii="黑体" w:hAnsi="黑体" w:eastAsia="黑体" w:cs="黑体"/>
          <w:b/>
          <w:bCs/>
          <w:sz w:val="28"/>
          <w:szCs w:val="32"/>
          <w:lang w:eastAsia="zh-CN"/>
        </w:rPr>
        <w:t>6.3 公司目标</w:t>
      </w:r>
      <w:bookmarkEnd w:id="141"/>
      <w:bookmarkEnd w:id="142"/>
      <w:bookmarkEnd w:id="1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我们全公司上到管理层，下到一线员工，无不秉持这一目标，努力为每一个前来就餐的家庭提供同样优质的服务。我们虚心接受每一位顾客的监督，接受他们的意见和建议，以此不断改进管理制度，不断推出新颖的菜肴，不断提升服务质量。我们也欢迎各位消费者朋友们通过微信，QQ，热线电话和邮件反馈宝贵的建议，我们的联系方式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44" w:name="_Toc1133393563"/>
      <w:bookmarkStart w:id="145" w:name="_Toc1837313768"/>
      <w:bookmarkStart w:id="146" w:name="_Toc1784800821"/>
      <w:r>
        <w:rPr>
          <w:rFonts w:hint="eastAsia" w:ascii="黑体" w:hAnsi="黑体" w:eastAsia="黑体" w:cs="黑体"/>
          <w:b/>
          <w:bCs/>
          <w:sz w:val="28"/>
          <w:szCs w:val="32"/>
          <w:lang w:eastAsia="zh-CN"/>
        </w:rPr>
        <w:t>6.4 公司组织结构</w:t>
      </w:r>
      <w:bookmarkEnd w:id="144"/>
      <w:bookmarkEnd w:id="145"/>
      <w:bookmarkEnd w:id="14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47" w:name="_Toc2043686641"/>
      <w:bookmarkStart w:id="148" w:name="_Toc191674021"/>
      <w:bookmarkStart w:id="149" w:name="_Toc2019610829"/>
      <w:r>
        <w:rPr>
          <w:rFonts w:hint="eastAsia" w:ascii="黑体" w:hAnsi="黑体" w:eastAsia="黑体" w:cs="黑体"/>
          <w:b/>
          <w:bCs/>
          <w:sz w:val="24"/>
          <w:szCs w:val="32"/>
          <w:lang w:eastAsia="zh-CN"/>
        </w:rPr>
        <w:t>6.4.1 公司初期组织结构</w:t>
      </w:r>
      <w:bookmarkEnd w:id="147"/>
      <w:bookmarkEnd w:id="148"/>
      <w:bookmarkEnd w:id="1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由于创业初期公司的规模较小，适宜采用直线型结构，这种结构能够做到快速决策，机动灵活，降低管理成本。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bookmarkStart w:id="297" w:name="_GoBack"/>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bookmarkEnd w:id="29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w:t>
      </w:r>
      <w:r>
        <w:rPr>
          <w:rFonts w:hint="default" w:asciiTheme="minorEastAsia" w:hAnsiTheme="minorEastAsia" w:cstheme="minorEastAsia"/>
          <w:sz w:val="24"/>
          <w:szCs w:val="24"/>
          <w:lang w:eastAsia="zh-CN"/>
        </w:rPr>
        <w:t>8</w:t>
      </w:r>
      <w:r>
        <w:rPr>
          <w:rFonts w:hint="default" w:asciiTheme="minorEastAsia" w:hAnsiTheme="minorEastAsia" w:eastAsiaTheme="minorEastAsia" w:cstheme="minorEastAsia"/>
          <w:sz w:val="24"/>
          <w:szCs w:val="24"/>
          <w:lang w:eastAsia="zh-CN"/>
        </w:rPr>
        <w:t>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150" w:name="_Toc766542296"/>
      <w:bookmarkStart w:id="151" w:name="_Toc1477691879"/>
      <w:bookmarkStart w:id="152" w:name="_Toc965209369"/>
      <w:r>
        <w:rPr>
          <w:rFonts w:hint="eastAsia" w:ascii="黑体" w:hAnsi="黑体" w:eastAsia="黑体" w:cs="黑体"/>
          <w:b/>
          <w:bCs/>
          <w:sz w:val="24"/>
          <w:szCs w:val="32"/>
          <w:lang w:eastAsia="zh-CN"/>
        </w:rPr>
        <w:t>6.4.2 公司中后期结构</w:t>
      </w:r>
      <w:bookmarkEnd w:id="150"/>
      <w:bookmarkEnd w:id="151"/>
      <w:bookmarkEnd w:id="1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199390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5.7pt;height:355.6pt;width:452.9pt;mso-wrap-distance-bottom:0pt;mso-wrap-distance-top:0pt;z-index:253814784;mso-width-relative:page;mso-height-relative:page;" coordorigin="5137,414415" coordsize="9058,7112" o:gfxdata="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Nyl9gdsAAAAK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cDgMcEAAADc&#10;AAAADwAAAGRycy9kb3ducmV2LnhtbEWPT2sCMRDF7wW/Qxihl6JZC21laxQsbVl6KVo9eBs24+7S&#10;ZLIk8e+n7xwK3mZ4b977zWxx9k4dKaYusIHJuABFXAfbcWNg8/MxmoJKGdmiC0wGLpRgMR/czbC0&#10;4cQrOq5zoySEU4kG2pz7UutUt+QxjUNPLNo+RI9Z1thoG/Ek4d7px6J41h47loYWe3prqf5dH7yB&#10;5eq7ujzF62FZ7b9220+3vb4/OGPuh5PiFVSmc76Z/68rK/gv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Dg&#10;Mc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v:textbox>
                      </v:shape>
                    </v:group>
                    <v:group id="_x0000_s1026" o:spid="_x0000_s1026" o:spt="203" style="position:absolute;left:6858;top:419844;height:1090;width:1276;" coordorigin="1247,421529" coordsize="1276,109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v:textbox>
                      </v:shape>
                    </v:group>
                    <v:group id="_x0000_s1026" o:spid="_x0000_s1026" o:spt="203" style="position:absolute;left:5171;top:419852;height:1090;width:1276;" coordorigin="1247,421529" coordsize="1276,109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v:textbox>
                      </v:shape>
                    </v:group>
                    <v:group id="_x0000_s1026" o:spid="_x0000_s1026" o:spt="203" style="position:absolute;left:9827;top:419854;height:1090;width:1276;" coordorigin="1247,421529" coordsize="1276,109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Wwx8Ab0AAADc&#10;AAAADwAAAGRycy9kb3ducmV2LnhtbEWPQWvCQBCF74L/YRmhF6kbA4pEVw8FQaEXbdEeh+yYDc3O&#10;huzWxH/fOQjeZnhv3vtmsxt8o+7UxTqwgfksA0VcBltzZeD7a/++AhUTssUmMBl4UITddjzaYGFD&#10;zye6n1OlJIRjgQZcSm2hdSwdeYyz0BKLdgudxyRrV2nbYS/hvtF5li21x5qlwWFLH47K3/OfNzC9&#10;ojsSlv1j+hMvR7vI0/CZG/M2mWdrUImG9DI/rw9W8HPBl2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HwB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Rdi1bsAAADc&#10;AAAADwAAAGRycy9kb3ducmV2LnhtbEVPTWsCMRC9F/ofwhS8aaKi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i1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h0TgHroAAADb&#10;AAAADwAAAGRycy9kb3ducmV2LnhtbEVPTWsCMRC9F/ofwhS81UTBYlejFEFYQQS1oN7Gzbi7dDNZ&#10;kqjbf28OgsfH+57OO9uIG/lQO9Yw6CsQxIUzNZcafvfLzzGIEJENNo5Jwz8FmM/e36aYGXfnLd12&#10;sRQphEOGGqoY20zKUFRkMfRdS5y4i/MWY4K+lMbjPYXbRg6V+pIWa04NFba0qKj4212thvPG++Po&#10;dGibn/VWbbqQO7/Kte59DNQERKQuvsRPd240f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OA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xa6ur0AAADc&#10;AAAADwAAAGRycy9kb3ducmV2LnhtbEWPQWvCQBCF70L/wzKFXqRuElAkdfVQEBS8VEV7HLLTbGh2&#10;NmRXE/9951DwNsN78943q83oW3WnPjaBDeSzDBRxFWzDtYHzafu+BBUTssU2MBl4UITN+mWywtKG&#10;gb/ofky1khCOJRpwKXWl1rFy5DHOQkcs2k/oPSZZ+1rbHgcJ960usmyhPTYsDQ47+nRU/R5v3sD0&#10;im5PWA2P6Xe87O28SOOhMObtNc8+QCUa09P8f72zgp8LrT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rq6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GIZU7wAAADc&#10;AAAADwAAAGRycy9kb3ducmV2LnhtbEVPTWsCMRC9F/wPYYTealbBUlajiGCptHvo6kFvQzJmVzeT&#10;ZRN1+++bQsHbPN7nzJe9a8SNulB7VjAeZSCItTc1WwX73eblDUSIyAYbz6TghwIsF4OnOebG3/mb&#10;bmW0IoVwyFFBFWObSxl0RQ7DyLfEiTv5zmFMsLPSdHhP4a6Rkyx7lQ5rTg0VtrSuSF/Kq1PQF3pL&#10;tvxauWL/edDn92Jrj1Gp5+E4m4GI1MeH+N/9YdL8yRT+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GV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r/wiv7wAAADc&#10;AAAADwAAAGRycy9kb3ducmV2LnhtbEVPTWsCMRC9F/wPYYTealYPtqxGEcFSaffQ1YPehmTMrm4m&#10;yybq9t83hYK3ebzPmS9714gbdaH2rGA8ykAQa29qtgr2u83LG4gQkQ02nknBDwVYLgZPc8yNv/M3&#10;3cpoRQrhkKOCKsY2lzLoihyGkW+JE3fyncOYYGel6fCewl0jJ1k2lQ5rTg0VtrSuSF/Kq1PQF3pL&#10;tvxauWL/edDn92Jrj1Gp5+E4m4GI1MeH+N/9YdL8y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Ir+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97PwpL4AAADc&#10;AAAADwAAAGRycy9kb3ducmV2LnhtbEWPQWsCMRCF7wX/Q5hCbzVRqJTVKFIQtlAErdB6Gzfj7uJm&#10;siSpbv+9cyj0NsN78943i9XgO3WlmNrAFiZjA4q4Cq7l2sLhc/P8CiplZIddYLLwSwlWy9HDAgsX&#10;bryj6z7XSkI4FWihybkvtE5VQx7TOPTEop1D9JhljbV2EW8S7js9NWamPbYsDQ329NZQddn/eAun&#10;bYzfL8evvlt/7Mx2SGWI76W1T48TMweVacj/5r/r0gn+VG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Pwp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w:t>
      </w:r>
      <w:r>
        <w:rPr>
          <w:rFonts w:hint="default" w:asciiTheme="minorEastAsia" w:hAnsiTheme="minorEastAsia" w:cstheme="minorEastAsia"/>
          <w:sz w:val="24"/>
          <w:szCs w:val="24"/>
          <w:lang w:eastAsia="zh-CN"/>
        </w:rPr>
        <w:t>有利于</w:t>
      </w:r>
      <w:r>
        <w:rPr>
          <w:rFonts w:hint="eastAsia" w:asciiTheme="minorEastAsia" w:hAnsiTheme="minorEastAsia" w:eastAsiaTheme="minorEastAsia" w:cstheme="minorEastAsia"/>
          <w:sz w:val="24"/>
          <w:szCs w:val="24"/>
          <w:lang w:eastAsia="zh-CN"/>
        </w:rPr>
        <w:t>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w:t>
      </w:r>
      <w:r>
        <w:rPr>
          <w:rFonts w:hint="default" w:asciiTheme="minorEastAsia" w:hAnsiTheme="minorEastAsia" w:cstheme="minorEastAsia"/>
          <w:sz w:val="24"/>
          <w:szCs w:val="24"/>
          <w:lang w:eastAsia="zh-CN"/>
        </w:rPr>
        <w:t>不断的开分店，</w:t>
      </w:r>
      <w:r>
        <w:rPr>
          <w:rFonts w:hint="eastAsia" w:asciiTheme="minorEastAsia" w:hAnsiTheme="minorEastAsia" w:eastAsiaTheme="minorEastAsia" w:cstheme="minorEastAsia"/>
          <w:sz w:val="24"/>
          <w:szCs w:val="24"/>
          <w:lang w:eastAsia="zh-CN"/>
        </w:rPr>
        <w:t>是一种</w:t>
      </w:r>
      <w:r>
        <w:rPr>
          <w:rFonts w:hint="default" w:asciiTheme="minorEastAsia" w:hAnsiTheme="minorEastAsia" w:cstheme="minorEastAsia"/>
          <w:sz w:val="24"/>
          <w:szCs w:val="24"/>
          <w:lang w:eastAsia="zh-CN"/>
        </w:rPr>
        <w:t>不错</w:t>
      </w:r>
      <w:r>
        <w:rPr>
          <w:rFonts w:hint="eastAsia" w:asciiTheme="minorEastAsia" w:hAnsiTheme="minorEastAsia" w:eastAsiaTheme="minorEastAsia" w:cstheme="minorEastAsia"/>
          <w:sz w:val="24"/>
          <w:szCs w:val="24"/>
          <w:lang w:eastAsia="zh-CN"/>
        </w:rPr>
        <w:t>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，此时将会建立事业部结构，</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53" w:name="_Toc1383022860"/>
      <w:bookmarkStart w:id="154" w:name="_Toc756021033"/>
      <w:bookmarkStart w:id="155" w:name="_Toc1944709748"/>
      <w:r>
        <w:rPr>
          <w:rFonts w:hint="eastAsia" w:ascii="黑体" w:hAnsi="黑体" w:eastAsia="黑体" w:cs="黑体"/>
          <w:b/>
          <w:bCs/>
          <w:sz w:val="28"/>
          <w:szCs w:val="32"/>
          <w:lang w:eastAsia="zh-CN"/>
        </w:rPr>
        <w:t>6.5 管理形式</w:t>
      </w:r>
      <w:bookmarkEnd w:id="153"/>
      <w:bookmarkEnd w:id="154"/>
      <w:bookmarkEnd w:id="1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6" w:name="_Toc511670974"/>
      <w:bookmarkStart w:id="157" w:name="_Toc1224775952"/>
      <w:bookmarkStart w:id="158" w:name="_Toc630040235"/>
      <w:r>
        <w:rPr>
          <w:rFonts w:hint="eastAsia" w:ascii="黑体" w:hAnsi="黑体" w:eastAsia="黑体" w:cs="黑体"/>
          <w:b/>
          <w:bCs/>
          <w:sz w:val="24"/>
          <w:szCs w:val="32"/>
          <w:lang w:eastAsia="zh-CN"/>
        </w:rPr>
        <w:t>6.5.1 管理团队和基本思想</w:t>
      </w:r>
      <w:bookmarkEnd w:id="156"/>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w:t>
      </w:r>
      <w:r>
        <w:rPr>
          <w:rFonts w:hint="default" w:asciiTheme="minorEastAsia" w:hAnsiTheme="minorEastAsia" w:cstheme="minorEastAsia"/>
          <w:sz w:val="24"/>
          <w:szCs w:val="24"/>
          <w:lang w:eastAsia="zh-CN"/>
        </w:rPr>
        <w:t>烹饪协会和计算机系的六名</w:t>
      </w:r>
      <w:r>
        <w:rPr>
          <w:rFonts w:hint="eastAsia" w:asciiTheme="minorEastAsia" w:hAnsiTheme="minorEastAsia" w:eastAsiaTheme="minorEastAsia" w:cstheme="minorEastAsia"/>
          <w:sz w:val="24"/>
          <w:szCs w:val="24"/>
          <w:lang w:eastAsia="zh-CN"/>
        </w:rPr>
        <w:t>本科同学构成,由专业的老师</w:t>
      </w:r>
      <w:r>
        <w:rPr>
          <w:rFonts w:hint="default" w:asciiTheme="minorEastAsia" w:hAnsiTheme="minorEastAsia" w:cstheme="minorEastAsia"/>
          <w:sz w:val="24"/>
          <w:szCs w:val="24"/>
          <w:lang w:eastAsia="zh-CN"/>
        </w:rPr>
        <w:t>为</w:t>
      </w:r>
      <w:r>
        <w:rPr>
          <w:rFonts w:hint="eastAsia" w:asciiTheme="minorEastAsia" w:hAnsiTheme="minorEastAsia" w:eastAsiaTheme="minorEastAsia" w:cstheme="minorEastAsia"/>
          <w:sz w:val="24"/>
          <w:szCs w:val="24"/>
          <w:lang w:eastAsia="zh-CN"/>
        </w:rPr>
        <w:t>我们</w:t>
      </w:r>
      <w:r>
        <w:rPr>
          <w:rFonts w:hint="default" w:asciiTheme="minorEastAsia" w:hAnsiTheme="minorEastAsia" w:cstheme="minorEastAsia"/>
          <w:sz w:val="24"/>
          <w:szCs w:val="24"/>
          <w:lang w:eastAsia="zh-CN"/>
        </w:rPr>
        <w:t>做</w:t>
      </w:r>
      <w:r>
        <w:rPr>
          <w:rFonts w:hint="eastAsia" w:asciiTheme="minorEastAsia" w:hAnsiTheme="minorEastAsia" w:eastAsiaTheme="minorEastAsia" w:cstheme="minorEastAsia"/>
          <w:sz w:val="24"/>
          <w:szCs w:val="24"/>
          <w:lang w:eastAsia="zh-CN"/>
        </w:rPr>
        <w:t>运营指导。我们将构建一支在</w:t>
      </w:r>
      <w:r>
        <w:rPr>
          <w:rFonts w:hint="default" w:asciiTheme="minorEastAsia" w:hAnsiTheme="minorEastAsia" w:cstheme="minorEastAsia"/>
          <w:sz w:val="24"/>
          <w:szCs w:val="24"/>
          <w:lang w:eastAsia="zh-CN"/>
        </w:rPr>
        <w:t>有爱心、有耐心、踏实上进的队伍</w:t>
      </w:r>
      <w:r>
        <w:rPr>
          <w:rFonts w:hint="eastAsia" w:asciiTheme="minorEastAsia" w:hAnsiTheme="minorEastAsia" w:eastAsiaTheme="minorEastAsia" w:cstheme="minorEastAsia"/>
          <w:sz w:val="24"/>
          <w:szCs w:val="24"/>
          <w:lang w:eastAsia="zh-CN"/>
        </w:rPr>
        <w:t>, 欢迎一切有志于</w:t>
      </w:r>
      <w:r>
        <w:rPr>
          <w:rFonts w:hint="default" w:asciiTheme="minorEastAsia" w:hAnsiTheme="minorEastAsia" w:cstheme="minorEastAsia"/>
          <w:sz w:val="24"/>
          <w:szCs w:val="24"/>
          <w:lang w:eastAsia="zh-CN"/>
        </w:rPr>
        <w:t>亲子主题餐饮</w:t>
      </w:r>
      <w:r>
        <w:rPr>
          <w:rFonts w:hint="eastAsia" w:asciiTheme="minorEastAsia" w:hAnsiTheme="minorEastAsia" w:eastAsiaTheme="minorEastAsia" w:cstheme="minorEastAsia"/>
          <w:sz w:val="24"/>
          <w:szCs w:val="24"/>
          <w:lang w:eastAsia="zh-CN"/>
        </w:rPr>
        <w:t>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作为一家新型餐饮类企业，我们</w:t>
      </w:r>
      <w:r>
        <w:rPr>
          <w:rFonts w:hint="eastAsia" w:asciiTheme="minorEastAsia" w:hAnsiTheme="minorEastAsia" w:eastAsiaTheme="minorEastAsia" w:cstheme="minorEastAsia"/>
          <w:sz w:val="24"/>
          <w:szCs w:val="24"/>
          <w:lang w:eastAsia="zh-CN"/>
        </w:rPr>
        <w:t>重视</w:t>
      </w:r>
      <w:r>
        <w:rPr>
          <w:rFonts w:hint="default" w:asciiTheme="minorEastAsia" w:hAnsiTheme="minorEastAsia" w:cstheme="minorEastAsia"/>
          <w:sz w:val="24"/>
          <w:szCs w:val="24"/>
          <w:lang w:eastAsia="zh-CN"/>
        </w:rPr>
        <w:t>员工</w:t>
      </w:r>
      <w:r>
        <w:rPr>
          <w:rFonts w:hint="eastAsia" w:asciiTheme="minorEastAsia" w:hAnsiTheme="minorEastAsia" w:eastAsiaTheme="minorEastAsia" w:cstheme="minorEastAsia"/>
          <w:sz w:val="24"/>
          <w:szCs w:val="24"/>
          <w:lang w:eastAsia="zh-CN"/>
        </w:rPr>
        <w:t>个人的发展,</w:t>
      </w:r>
      <w:r>
        <w:rPr>
          <w:rFonts w:hint="default" w:asciiTheme="minorEastAsia" w:hAnsiTheme="minorEastAsia" w:cstheme="minorEastAsia"/>
          <w:sz w:val="24"/>
          <w:szCs w:val="24"/>
          <w:lang w:eastAsia="zh-CN"/>
        </w:rPr>
        <w:t xml:space="preserve"> 努力为员工开拓更大的发展空间；我们认为员工的发展和公司的发展是统一并且相辅相成的。我们</w:t>
      </w:r>
      <w:r>
        <w:rPr>
          <w:rFonts w:hint="eastAsia" w:asciiTheme="minorEastAsia" w:hAnsiTheme="minorEastAsia" w:eastAsiaTheme="minorEastAsia" w:cstheme="minorEastAsia"/>
          <w:sz w:val="24"/>
          <w:szCs w:val="24"/>
          <w:lang w:eastAsia="zh-CN"/>
        </w:rPr>
        <w:t>强调各职能部门相互协调合作,</w:t>
      </w:r>
      <w:r>
        <w:rPr>
          <w:rFonts w:hint="default" w:asciiTheme="minorEastAsia" w:hAnsiTheme="minorEastAsia" w:cstheme="minorEastAsia"/>
          <w:sz w:val="24"/>
          <w:szCs w:val="24"/>
          <w:lang w:eastAsia="zh-CN"/>
        </w:rPr>
        <w:t xml:space="preserve"> 在管理层的协调和调度下，为公司的经营打下坚实的基础。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公司初期的管理团队主要由创业团队人员组成。团队成员都是在读的北京航空航天大学</w:t>
      </w:r>
      <w:r>
        <w:rPr>
          <w:rFonts w:hint="default" w:asciiTheme="minorEastAsia" w:hAnsiTheme="minorEastAsia" w:cstheme="minorEastAsia"/>
          <w:sz w:val="24"/>
          <w:szCs w:val="24"/>
          <w:lang w:eastAsia="zh-CN"/>
        </w:rPr>
        <w:t>本科生</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 xml:space="preserve"> 来自计算机、法律、经济管理等专业，具有烹饪爱好。我们乐观上进，积极进取，</w:t>
      </w:r>
      <w:r>
        <w:rPr>
          <w:rFonts w:hint="eastAsia" w:asciiTheme="minorEastAsia" w:hAnsiTheme="minorEastAsia" w:eastAsiaTheme="minorEastAsia" w:cstheme="minorEastAsia"/>
          <w:sz w:val="24"/>
          <w:szCs w:val="24"/>
          <w:lang w:eastAsia="zh-CN"/>
        </w:rPr>
        <w:t>将为公司制定切实可行的决策,</w:t>
      </w:r>
      <w:r>
        <w:rPr>
          <w:rFonts w:hint="default" w:asciiTheme="minorEastAsia" w:hAnsiTheme="minorEastAsia" w:cstheme="minorEastAsia"/>
          <w:sz w:val="24"/>
          <w:szCs w:val="24"/>
          <w:lang w:eastAsia="zh-CN"/>
        </w:rPr>
        <w:t xml:space="preserve"> 并且坚定不移的执行</w:t>
      </w:r>
      <w:r>
        <w:rPr>
          <w:rFonts w:hint="eastAsia" w:asciiTheme="minorEastAsia" w:hAnsiTheme="minorEastAsia" w:eastAsiaTheme="minorEastAsia" w:cstheme="minorEastAsia"/>
          <w:sz w:val="24"/>
          <w:szCs w:val="24"/>
          <w:lang w:eastAsia="zh-CN"/>
        </w:rPr>
        <w:t>。在获得风险投资后,</w:t>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投资</w:t>
      </w:r>
      <w:r>
        <w:rPr>
          <w:rFonts w:hint="default" w:asciiTheme="minorEastAsia" w:hAnsiTheme="minorEastAsia" w:cstheme="minorEastAsia"/>
          <w:sz w:val="24"/>
          <w:szCs w:val="24"/>
          <w:lang w:eastAsia="zh-CN"/>
        </w:rPr>
        <w:t>者</w:t>
      </w:r>
      <w:r>
        <w:rPr>
          <w:rFonts w:hint="eastAsia" w:asciiTheme="minorEastAsia" w:hAnsiTheme="minorEastAsia" w:eastAsiaTheme="minorEastAsia" w:cstheme="minorEastAsia"/>
          <w:sz w:val="24"/>
          <w:szCs w:val="24"/>
          <w:lang w:eastAsia="zh-CN"/>
        </w:rPr>
        <w:t>自然也</w:t>
      </w:r>
      <w:r>
        <w:rPr>
          <w:rFonts w:hint="default" w:asciiTheme="minorEastAsia" w:hAnsiTheme="minorEastAsia" w:cstheme="minorEastAsia"/>
          <w:sz w:val="24"/>
          <w:szCs w:val="24"/>
          <w:lang w:eastAsia="zh-CN"/>
        </w:rPr>
        <w:t>以股东的形式</w:t>
      </w:r>
      <w:r>
        <w:rPr>
          <w:rFonts w:hint="eastAsia" w:asciiTheme="minorEastAsia" w:hAnsiTheme="minorEastAsia" w:eastAsiaTheme="minorEastAsia" w:cstheme="minorEastAsia"/>
          <w:sz w:val="24"/>
          <w:szCs w:val="24"/>
          <w:lang w:eastAsia="zh-CN"/>
        </w:rPr>
        <w:t>成为公司</w:t>
      </w:r>
      <w:r>
        <w:rPr>
          <w:rFonts w:hint="default"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lang w:eastAsia="zh-CN"/>
        </w:rPr>
        <w:t>管理顾问</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我们还将</w:t>
      </w:r>
      <w:r>
        <w:rPr>
          <w:rFonts w:hint="default" w:asciiTheme="minorEastAsia" w:hAnsiTheme="minorEastAsia" w:cstheme="minorEastAsia"/>
          <w:sz w:val="24"/>
          <w:szCs w:val="24"/>
          <w:lang w:eastAsia="zh-CN"/>
        </w:rPr>
        <w:t>聘用具有丰富</w:t>
      </w:r>
      <w:r>
        <w:rPr>
          <w:rFonts w:hint="eastAsia" w:asciiTheme="minorEastAsia" w:hAnsiTheme="minorEastAsia" w:eastAsiaTheme="minorEastAsia" w:cstheme="minorEastAsia"/>
          <w:sz w:val="24"/>
          <w:szCs w:val="24"/>
          <w:lang w:eastAsia="zh-CN"/>
        </w:rPr>
        <w:t>管理经验的人</w:t>
      </w:r>
      <w:r>
        <w:rPr>
          <w:rFonts w:hint="default" w:asciiTheme="minorEastAsia" w:hAnsiTheme="minorEastAsia" w:cstheme="minorEastAsia"/>
          <w:sz w:val="24"/>
          <w:szCs w:val="24"/>
          <w:lang w:eastAsia="zh-CN"/>
        </w:rPr>
        <w:t>才</w:t>
      </w: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9" w:name="_Toc1415230239"/>
      <w:bookmarkStart w:id="160" w:name="_Toc1782255807"/>
      <w:bookmarkStart w:id="161" w:name="_Toc355658576"/>
      <w:r>
        <w:rPr>
          <w:rFonts w:hint="eastAsia" w:ascii="黑体" w:hAnsi="黑体" w:eastAsia="黑体" w:cs="黑体"/>
          <w:b/>
          <w:bCs/>
          <w:sz w:val="24"/>
          <w:szCs w:val="32"/>
          <w:lang w:eastAsia="zh-CN"/>
        </w:rPr>
        <w:t>6.5.2 岗位说明书</w:t>
      </w:r>
      <w:bookmarkEnd w:id="159"/>
      <w:bookmarkEnd w:id="160"/>
      <w:bookmarkEnd w:id="1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2" w:name="_Toc996774397"/>
      <w:bookmarkStart w:id="163" w:name="_Toc126734127"/>
      <w:bookmarkStart w:id="164" w:name="_Toc996971797"/>
      <w:r>
        <w:rPr>
          <w:rFonts w:hint="eastAsia" w:ascii="黑体" w:hAnsi="黑体" w:eastAsia="黑体" w:cs="黑体"/>
          <w:b/>
          <w:bCs/>
          <w:sz w:val="24"/>
          <w:szCs w:val="32"/>
          <w:lang w:eastAsia="zh-CN"/>
        </w:rPr>
        <w:t>6.5.3 公司的规章制度</w:t>
      </w:r>
      <w:bookmarkEnd w:id="162"/>
      <w:bookmarkEnd w:id="163"/>
      <w:bookmarkEnd w:id="16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65" w:name="_Toc1895262477"/>
      <w:bookmarkStart w:id="166" w:name="_Toc604178010"/>
      <w:bookmarkStart w:id="167" w:name="_Toc1797368884"/>
      <w:r>
        <w:rPr>
          <w:rFonts w:hint="eastAsia" w:ascii="黑体" w:hAnsi="黑体" w:eastAsia="黑体" w:cs="黑体"/>
          <w:b/>
          <w:bCs/>
          <w:sz w:val="28"/>
          <w:szCs w:val="32"/>
          <w:lang w:eastAsia="zh-CN"/>
        </w:rPr>
        <w:t>6.6 企业文化</w:t>
      </w:r>
      <w:bookmarkEnd w:id="165"/>
      <w:bookmarkEnd w:id="166"/>
      <w:bookmarkEnd w:id="1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8" w:name="_Toc181134705"/>
      <w:bookmarkStart w:id="169" w:name="_Toc1937184450"/>
      <w:bookmarkStart w:id="170" w:name="_Toc464916999"/>
      <w:r>
        <w:rPr>
          <w:rFonts w:hint="eastAsia" w:ascii="黑体" w:hAnsi="黑体" w:eastAsia="黑体" w:cs="黑体"/>
          <w:b/>
          <w:bCs/>
          <w:sz w:val="24"/>
          <w:szCs w:val="32"/>
          <w:lang w:eastAsia="zh-CN"/>
        </w:rPr>
        <w:t>6.6.1 团队标志</w:t>
      </w:r>
      <w:bookmarkEnd w:id="168"/>
      <w:bookmarkEnd w:id="169"/>
      <w:bookmarkEnd w:id="170"/>
    </w:p>
    <w:p>
      <w:pPr>
        <w:rPr>
          <w:rFonts w:hint="eastAsia" w:ascii="黑体" w:hAnsi="黑体" w:eastAsia="黑体" w:cs="黑体"/>
          <w:b/>
          <w:bCs/>
          <w:sz w:val="24"/>
          <w:szCs w:val="32"/>
          <w:lang w:eastAsia="zh-CN"/>
        </w:rPr>
      </w:pPr>
      <w:r>
        <w:rPr>
          <w:rFonts w:hint="default" w:ascii="黑体" w:hAnsi="黑体" w:eastAsia="黑体" w:cs="黑体"/>
          <w:b/>
          <w:bCs/>
          <w:sz w:val="24"/>
          <w:szCs w:val="32"/>
          <w:lang w:eastAsia="zh-CN"/>
        </w:rPr>
        <w:t xml:space="preserve">                     </w:t>
      </w:r>
      <w:r>
        <w:rPr>
          <w:rFonts w:hint="eastAsia" w:ascii="黑体" w:hAnsi="黑体" w:eastAsia="黑体" w:cs="黑体"/>
          <w:b/>
          <w:bCs/>
          <w:sz w:val="24"/>
          <w:szCs w:val="32"/>
          <w:lang w:eastAsia="zh-CN"/>
        </w:rPr>
        <w:drawing>
          <wp:inline distT="0" distB="0" distL="114300" distR="114300">
            <wp:extent cx="2524125" cy="1809750"/>
            <wp:effectExtent l="0" t="0" r="9525" b="0"/>
            <wp:docPr id="180" name="Picture 180"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company-logo"/>
                    <pic:cNvPicPr>
                      <a:picLocks noChangeAspect="1"/>
                    </pic:cNvPicPr>
                  </pic:nvPicPr>
                  <pic:blipFill>
                    <a:blip r:embed="rId10"/>
                    <a:stretch>
                      <a:fillRect/>
                    </a:stretch>
                  </pic:blipFill>
                  <pic:spPr>
                    <a:xfrm>
                      <a:off x="0" y="0"/>
                      <a:ext cx="2524125" cy="180975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6-3 北京</w:t>
      </w:r>
      <w:r>
        <w:rPr>
          <w:rFonts w:hint="default" w:asciiTheme="minorEastAsia" w:hAnsiTheme="minorEastAsia" w:cstheme="minorEastAsia"/>
          <w:b/>
          <w:bCs/>
          <w:sz w:val="21"/>
          <w:szCs w:val="21"/>
          <w:lang w:eastAsia="zh-CN"/>
        </w:rPr>
        <w:t>爱厨艺餐饮</w:t>
      </w:r>
      <w:r>
        <w:rPr>
          <w:rFonts w:hint="eastAsia" w:asciiTheme="minorEastAsia" w:hAnsiTheme="minorEastAsia" w:eastAsiaTheme="minorEastAsia" w:cstheme="minorEastAsia"/>
          <w:b/>
          <w:bCs/>
          <w:sz w:val="21"/>
          <w:szCs w:val="21"/>
          <w:lang w:eastAsia="zh-CN"/>
        </w:rPr>
        <w:t>有限公司标志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标志解读：</w:t>
      </w:r>
      <w:r>
        <w:rPr>
          <w:rFonts w:hint="default" w:asciiTheme="minorEastAsia" w:hAnsiTheme="minorEastAsia" w:cstheme="minorEastAsia"/>
          <w:sz w:val="24"/>
          <w:szCs w:val="24"/>
          <w:lang w:eastAsia="zh-CN"/>
        </w:rPr>
        <w:t>Kid Cuisine是公司的英文名，意思是“给孩子的菜肴”。公司的主要经营项目是“北京爱厨艺亲子主题餐厅”；这个图标突出了公司以孩子为中心的理念。彩色的字体象征着健康的食物是多姿多彩的；参差不齐的字形象征着孩子活泼爱玩的天性。图标寄寓着公司祝愿孩子们拥有健康和五彩斑斓的童年的愿景。</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1" w:name="_Toc1711853480"/>
      <w:bookmarkStart w:id="172" w:name="_Toc681306475"/>
      <w:bookmarkStart w:id="173" w:name="_Toc1005499791"/>
      <w:r>
        <w:rPr>
          <w:rFonts w:hint="eastAsia" w:ascii="黑体" w:hAnsi="黑体" w:eastAsia="黑体" w:cs="黑体"/>
          <w:b/>
          <w:bCs/>
          <w:sz w:val="24"/>
          <w:szCs w:val="32"/>
          <w:lang w:eastAsia="zh-CN"/>
        </w:rPr>
        <w:t>6.6.2 企业文化理念</w:t>
      </w:r>
      <w:bookmarkEnd w:id="171"/>
      <w:bookmarkEnd w:id="172"/>
      <w:bookmarkEnd w:id="1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74" w:name="_Toc830898996"/>
      <w:bookmarkStart w:id="175" w:name="_Toc2046191535"/>
      <w:bookmarkStart w:id="176" w:name="_Toc66704191"/>
      <w:r>
        <w:rPr>
          <w:rFonts w:hint="eastAsia" w:ascii="黑体" w:hAnsi="黑体" w:eastAsia="黑体" w:cs="黑体"/>
          <w:b/>
          <w:bCs/>
          <w:sz w:val="28"/>
          <w:szCs w:val="32"/>
          <w:lang w:eastAsia="zh-CN"/>
        </w:rPr>
        <w:t>6.7 人力激励与约束机制</w:t>
      </w:r>
      <w:bookmarkEnd w:id="174"/>
      <w:bookmarkEnd w:id="175"/>
      <w:bookmarkEnd w:id="17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7" w:name="_Toc536519595"/>
      <w:bookmarkStart w:id="178" w:name="_Toc903352293"/>
      <w:bookmarkStart w:id="179" w:name="_Toc867781950"/>
      <w:r>
        <w:rPr>
          <w:rFonts w:hint="eastAsia" w:ascii="黑体" w:hAnsi="黑体" w:eastAsia="黑体" w:cs="黑体"/>
          <w:b/>
          <w:bCs/>
          <w:sz w:val="24"/>
          <w:szCs w:val="32"/>
          <w:lang w:eastAsia="zh-CN"/>
        </w:rPr>
        <w:t>6.7.1 激励机制</w:t>
      </w:r>
      <w:bookmarkEnd w:id="177"/>
      <w:bookmarkEnd w:id="178"/>
      <w:bookmarkEnd w:id="1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（ESO）</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80" w:name="_Toc1111990475"/>
      <w:bookmarkStart w:id="181" w:name="_Toc722103370"/>
      <w:bookmarkStart w:id="182" w:name="_Toc1464295050"/>
      <w:r>
        <w:rPr>
          <w:rFonts w:hint="eastAsia" w:ascii="黑体" w:hAnsi="黑体" w:eastAsia="黑体" w:cs="黑体"/>
          <w:b/>
          <w:bCs/>
          <w:sz w:val="24"/>
          <w:szCs w:val="32"/>
          <w:lang w:eastAsia="zh-CN"/>
        </w:rPr>
        <w:t>6.7.2 约束机制</w:t>
      </w:r>
      <w:bookmarkEnd w:id="180"/>
      <w:bookmarkEnd w:id="181"/>
      <w:bookmarkEnd w:id="1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83" w:name="_Toc682931997"/>
      <w:bookmarkStart w:id="184" w:name="_Toc1930860681"/>
      <w:bookmarkStart w:id="185" w:name="_Toc76045803"/>
      <w:r>
        <w:rPr>
          <w:rFonts w:hint="eastAsia" w:ascii="黑体" w:hAnsi="黑体" w:eastAsia="黑体" w:cs="黑体"/>
          <w:sz w:val="32"/>
          <w:szCs w:val="32"/>
          <w:lang w:eastAsia="zh-CN"/>
        </w:rPr>
        <w:t>7财务计划</w:t>
      </w:r>
      <w:bookmarkEnd w:id="183"/>
      <w:bookmarkEnd w:id="184"/>
      <w:bookmarkEnd w:id="185"/>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6" w:name="_Toc2018137350"/>
      <w:bookmarkStart w:id="187" w:name="_Toc2010264948"/>
      <w:bookmarkStart w:id="188" w:name="_Toc1864684673"/>
      <w:r>
        <w:rPr>
          <w:rFonts w:hint="eastAsia" w:ascii="黑体" w:hAnsi="黑体" w:eastAsia="黑体" w:cs="黑体"/>
          <w:b/>
          <w:bCs/>
          <w:sz w:val="28"/>
          <w:szCs w:val="32"/>
          <w:lang w:eastAsia="zh-CN"/>
        </w:rPr>
        <w:t>7.1 股本结构与规模</w:t>
      </w:r>
      <w:bookmarkEnd w:id="186"/>
      <w:bookmarkEnd w:id="187"/>
      <w:bookmarkEnd w:id="1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sz w:val="24"/>
        </w:rPr>
        <mc:AlternateContent>
          <mc:Choice Requires="wps">
            <w:drawing>
              <wp:anchor distT="0" distB="0" distL="114300" distR="114300" simplePos="0" relativeHeight="253816832" behindDoc="0" locked="0" layoutInCell="1" allowOverlap="1">
                <wp:simplePos x="0" y="0"/>
                <wp:positionH relativeFrom="column">
                  <wp:posOffset>632460</wp:posOffset>
                </wp:positionH>
                <wp:positionV relativeFrom="paragraph">
                  <wp:posOffset>203835</wp:posOffset>
                </wp:positionV>
                <wp:extent cx="1296670" cy="405765"/>
                <wp:effectExtent l="0" t="0" r="0" b="0"/>
                <wp:wrapNone/>
                <wp:docPr id="181" name="Text Box 181"/>
                <wp:cNvGraphicFramePr/>
                <a:graphic xmlns:a="http://schemas.openxmlformats.org/drawingml/2006/main">
                  <a:graphicData uri="http://schemas.microsoft.com/office/word/2010/wordprocessingShape">
                    <wps:wsp>
                      <wps:cNvSpPr txBox="1"/>
                      <wps:spPr>
                        <a:xfrm>
                          <a:off x="1712595" y="1103630"/>
                          <a:ext cx="1296670"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32"/>
                                <w:szCs w:val="32"/>
                              </w:rPr>
                            </w:pPr>
                            <w:r>
                              <w:rPr>
                                <w:b/>
                                <w:bCs/>
                                <w:sz w:val="32"/>
                                <w:szCs w:val="32"/>
                              </w:rPr>
                              <w:t>股本结构图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8pt;margin-top:16.05pt;height:31.95pt;width:102.1pt;z-index:253816832;mso-width-relative:page;mso-height-relative:page;" filled="f" stroked="f" coordsize="21600,21600" o:gfxdata="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DL182QAAAAgB&#10;AAAPAAAAAAAAAAEAIAAAACIAAABkcnMvZG93bnJldi54bWxQSwECFAAUAAAACACHTuJAImsQ6hoC&#10;AAAnBAAADgAAAAAAAAABACAAAAAoAQAAZHJzL2Uyb0RvYy54bWxQSwUGAAAAAAYABgBZAQAAtAUA&#10;AAAA&#10;">
                <v:fill on="f" focussize="0,0"/>
                <v:stroke on="f" weight="0.5pt"/>
                <v:imagedata o:title=""/>
                <o:lock v:ext="edit" aspectratio="f"/>
                <v:textbox>
                  <w:txbxContent>
                    <w:p>
                      <w:pPr>
                        <w:jc w:val="center"/>
                        <w:rPr>
                          <w:b/>
                          <w:bCs/>
                          <w:sz w:val="32"/>
                          <w:szCs w:val="32"/>
                        </w:rPr>
                      </w:pPr>
                      <w:r>
                        <w:rPr>
                          <w:b/>
                          <w:bCs/>
                          <w:sz w:val="32"/>
                          <w:szCs w:val="32"/>
                        </w:rPr>
                        <w:t>股本结构图</w:t>
                      </w:r>
                    </w:p>
                  </w:txbxContent>
                </v:textbox>
              </v:shape>
            </w:pict>
          </mc:Fallback>
        </mc:AlternateContent>
      </w: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9" w:name="_Toc420727386"/>
      <w:bookmarkStart w:id="190" w:name="_Toc1232982341"/>
      <w:bookmarkStart w:id="191" w:name="_Toc1596076776"/>
      <w:r>
        <w:rPr>
          <w:rFonts w:hint="eastAsia" w:ascii="黑体" w:hAnsi="黑体" w:eastAsia="黑体" w:cs="黑体"/>
          <w:b/>
          <w:bCs/>
          <w:sz w:val="28"/>
          <w:szCs w:val="32"/>
          <w:lang w:eastAsia="zh-CN"/>
        </w:rPr>
        <w:t>7.2 运营收入及相关税金估算</w:t>
      </w:r>
      <w:bookmarkEnd w:id="189"/>
      <w:bookmarkEnd w:id="190"/>
      <w:bookmarkEnd w:id="1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2" w:name="_Toc546115962"/>
      <w:bookmarkStart w:id="193" w:name="_Toc262986771"/>
      <w:bookmarkStart w:id="194" w:name="_Toc1897759297"/>
      <w:r>
        <w:rPr>
          <w:rFonts w:hint="eastAsia" w:ascii="黑体" w:hAnsi="黑体" w:eastAsia="黑体" w:cs="黑体"/>
          <w:b/>
          <w:bCs/>
          <w:sz w:val="24"/>
          <w:szCs w:val="32"/>
          <w:lang w:eastAsia="zh-CN"/>
        </w:rPr>
        <w:t>7.2.1 公司营业量及营业收入估算</w:t>
      </w:r>
      <w:bookmarkEnd w:id="192"/>
      <w:r>
        <w:rPr>
          <w:rFonts w:hint="default" w:ascii="黑体" w:hAnsi="黑体" w:eastAsia="黑体" w:cs="黑体"/>
          <w:b/>
          <w:bCs/>
          <w:sz w:val="24"/>
          <w:szCs w:val="32"/>
          <w:lang w:eastAsia="zh-CN"/>
        </w:rPr>
        <w:t>：</w:t>
      </w:r>
      <w:bookmarkEnd w:id="193"/>
      <w:bookmarkEnd w:id="194"/>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5" w:name="_Toc266869478"/>
      <w:bookmarkStart w:id="196" w:name="_Toc2141081810"/>
      <w:bookmarkStart w:id="197" w:name="_Toc977854352"/>
      <w:r>
        <w:rPr>
          <w:rFonts w:hint="eastAsia" w:ascii="黑体" w:hAnsi="黑体" w:eastAsia="黑体" w:cs="黑体"/>
          <w:b/>
          <w:bCs/>
          <w:sz w:val="24"/>
          <w:szCs w:val="32"/>
          <w:lang w:eastAsia="zh-CN"/>
        </w:rPr>
        <w:t>7.2.2 运营收入及税额估算</w:t>
      </w:r>
      <w:bookmarkEnd w:id="195"/>
      <w:bookmarkEnd w:id="196"/>
      <w:bookmarkEnd w:id="19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98" w:name="_Toc144726721"/>
      <w:bookmarkStart w:id="199" w:name="_Toc1191688873"/>
      <w:bookmarkStart w:id="200" w:name="_Toc845026505"/>
      <w:r>
        <w:rPr>
          <w:rFonts w:hint="eastAsia" w:ascii="黑体" w:hAnsi="黑体" w:eastAsia="黑体" w:cs="黑体"/>
          <w:b/>
          <w:bCs/>
          <w:sz w:val="28"/>
          <w:szCs w:val="32"/>
          <w:lang w:eastAsia="zh-CN"/>
        </w:rPr>
        <w:t>7.3 投资状况</w:t>
      </w:r>
      <w:bookmarkEnd w:id="198"/>
      <w:bookmarkEnd w:id="199"/>
      <w:bookmarkEnd w:id="20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1" w:name="_Toc541862097"/>
      <w:bookmarkStart w:id="202" w:name="_Toc1191652323"/>
      <w:bookmarkStart w:id="203" w:name="_Toc1223024484"/>
      <w:r>
        <w:rPr>
          <w:rFonts w:hint="eastAsia" w:ascii="黑体" w:hAnsi="黑体" w:eastAsia="黑体" w:cs="黑体"/>
          <w:b/>
          <w:bCs/>
          <w:sz w:val="24"/>
          <w:szCs w:val="32"/>
          <w:lang w:eastAsia="zh-CN"/>
        </w:rPr>
        <w:t>7.3.1 初始投资</w:t>
      </w:r>
      <w:bookmarkEnd w:id="201"/>
      <w:bookmarkEnd w:id="202"/>
      <w:bookmarkEnd w:id="20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w:t>
      </w:r>
      <w:r>
        <w:rPr>
          <w:rFonts w:hint="default" w:asciiTheme="minorEastAsia" w:hAnsiTheme="minorEastAsia" w:cstheme="minorEastAsia"/>
          <w:sz w:val="24"/>
          <w:szCs w:val="24"/>
          <w:lang w:eastAsia="zh-CN"/>
        </w:rPr>
        <w:t>5.6</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4" w:name="_Toc2034913275"/>
      <w:bookmarkStart w:id="205" w:name="_Toc1132996829"/>
      <w:bookmarkStart w:id="206" w:name="_Toc908843534"/>
      <w:r>
        <w:rPr>
          <w:rFonts w:hint="eastAsia" w:ascii="黑体" w:hAnsi="黑体" w:eastAsia="黑体" w:cs="黑体"/>
          <w:b/>
          <w:bCs/>
          <w:sz w:val="24"/>
          <w:szCs w:val="32"/>
          <w:lang w:eastAsia="zh-CN"/>
        </w:rPr>
        <w:t>7.3.2 固定资产投资估算</w:t>
      </w:r>
      <w:bookmarkEnd w:id="204"/>
      <w:bookmarkEnd w:id="205"/>
      <w:bookmarkEnd w:id="20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8"/>
        <w:gridCol w:w="1548"/>
        <w:gridCol w:w="1548"/>
        <w:gridCol w:w="1548"/>
        <w:gridCol w:w="1548"/>
      </w:tblGrid>
      <w:tr>
        <w:trPr>
          <w:jc w:val="center"/>
        </w:trPr>
        <w:tc>
          <w:tcPr>
            <w:tcW w:w="1547"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7" w:name="_Toc1997604765"/>
      <w:bookmarkStart w:id="208" w:name="_Toc1889602726"/>
      <w:bookmarkStart w:id="209" w:name="_Toc1916279675"/>
      <w:r>
        <w:rPr>
          <w:rFonts w:hint="eastAsia" w:ascii="黑体" w:hAnsi="黑体" w:eastAsia="黑体" w:cs="黑体"/>
          <w:b/>
          <w:bCs/>
          <w:sz w:val="24"/>
          <w:szCs w:val="32"/>
          <w:lang w:eastAsia="zh-CN"/>
        </w:rPr>
        <w:t>7.3.3 投资使用计划与资金筹措</w:t>
      </w:r>
      <w:bookmarkEnd w:id="207"/>
      <w:bookmarkEnd w:id="208"/>
      <w:bookmarkEnd w:id="20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trHeight w:val="544" w:hRule="atLeast"/>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SimSun" w:hAnsi="SimSun" w:eastAsia="SimSun" w:cs="SimSun"/>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210" w:name="_Toc1606291911"/>
      <w:bookmarkStart w:id="211" w:name="_Toc513831816"/>
      <w:bookmarkStart w:id="212" w:name="_Toc1473203108"/>
      <w:r>
        <w:rPr>
          <w:rFonts w:hint="eastAsia" w:ascii="黑体" w:hAnsi="黑体" w:eastAsia="黑体" w:cs="黑体"/>
          <w:b/>
          <w:bCs/>
          <w:sz w:val="28"/>
          <w:szCs w:val="32"/>
          <w:lang w:eastAsia="zh-CN"/>
        </w:rPr>
        <w:t>7.4 成本费用估算</w:t>
      </w:r>
      <w:bookmarkEnd w:id="210"/>
      <w:bookmarkEnd w:id="211"/>
      <w:bookmarkEnd w:id="2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3" w:name="_Toc1240291109"/>
      <w:bookmarkStart w:id="214" w:name="_Toc228103359"/>
      <w:bookmarkStart w:id="215" w:name="_Toc478454622"/>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213"/>
      <w:bookmarkEnd w:id="214"/>
      <w:bookmarkEnd w:id="2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6" w:name="_Toc1948227424"/>
      <w:bookmarkStart w:id="217" w:name="_Toc1667740780"/>
      <w:bookmarkStart w:id="218" w:name="_Toc1626494863"/>
      <w:r>
        <w:rPr>
          <w:rFonts w:hint="eastAsia" w:ascii="黑体" w:hAnsi="黑体" w:eastAsia="黑体" w:cs="黑体"/>
          <w:b/>
          <w:bCs/>
          <w:sz w:val="24"/>
          <w:szCs w:val="32"/>
          <w:lang w:eastAsia="zh-CN"/>
        </w:rPr>
        <w:t>7.4.2 员工结构及工资费用</w:t>
      </w:r>
      <w:bookmarkEnd w:id="216"/>
      <w:bookmarkEnd w:id="217"/>
      <w:bookmarkEnd w:id="2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9" w:name="_Toc1307485176"/>
      <w:bookmarkStart w:id="220" w:name="_Toc757083314"/>
      <w:bookmarkStart w:id="221" w:name="_Toc2039737932"/>
      <w:r>
        <w:rPr>
          <w:rFonts w:hint="eastAsia" w:ascii="黑体" w:hAnsi="黑体" w:eastAsia="黑体" w:cs="黑体"/>
          <w:b/>
          <w:bCs/>
          <w:sz w:val="24"/>
          <w:szCs w:val="32"/>
          <w:lang w:eastAsia="zh-CN"/>
        </w:rPr>
        <w:t>7.4.3 折旧费用</w:t>
      </w:r>
      <w:bookmarkEnd w:id="219"/>
      <w:bookmarkEnd w:id="220"/>
      <w:bookmarkEnd w:id="2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2" w:name="_Toc652070472"/>
      <w:bookmarkStart w:id="223" w:name="_Toc75321346"/>
      <w:bookmarkStart w:id="224" w:name="_Toc608048762"/>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222"/>
      <w:bookmarkEnd w:id="223"/>
      <w:bookmarkEnd w:id="2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5" w:name="_Toc557709901"/>
      <w:bookmarkStart w:id="226" w:name="_Toc1823475151"/>
      <w:bookmarkStart w:id="227" w:name="_Toc1398845195"/>
      <w:r>
        <w:rPr>
          <w:rFonts w:hint="eastAsia" w:ascii="黑体" w:hAnsi="黑体" w:eastAsia="黑体" w:cs="黑体"/>
          <w:b/>
          <w:bCs/>
          <w:sz w:val="24"/>
          <w:szCs w:val="32"/>
          <w:lang w:eastAsia="zh-CN"/>
        </w:rPr>
        <w:t>7.4.5 摊销费</w:t>
      </w:r>
      <w:bookmarkEnd w:id="225"/>
      <w:bookmarkEnd w:id="226"/>
      <w:bookmarkEnd w:id="2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8" w:name="_Toc2062060862"/>
      <w:bookmarkStart w:id="229" w:name="_Toc1287601556"/>
      <w:bookmarkStart w:id="230" w:name="_Toc183542006"/>
      <w:r>
        <w:rPr>
          <w:rFonts w:hint="eastAsia" w:ascii="黑体" w:hAnsi="黑体" w:eastAsia="黑体" w:cs="黑体"/>
          <w:b/>
          <w:bCs/>
          <w:sz w:val="24"/>
          <w:szCs w:val="32"/>
          <w:lang w:eastAsia="zh-CN"/>
        </w:rPr>
        <w:t>7.4.6 公关及宣传费用</w:t>
      </w:r>
      <w:bookmarkEnd w:id="228"/>
      <w:bookmarkEnd w:id="229"/>
      <w:bookmarkEnd w:id="2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31" w:name="_Toc1407916618"/>
      <w:bookmarkStart w:id="232" w:name="_Toc1768103832"/>
      <w:bookmarkStart w:id="233" w:name="_Toc1682201618"/>
      <w:r>
        <w:rPr>
          <w:rFonts w:hint="eastAsia" w:ascii="黑体" w:hAnsi="黑体" w:eastAsia="黑体" w:cs="黑体"/>
          <w:sz w:val="32"/>
          <w:szCs w:val="32"/>
          <w:lang w:eastAsia="zh-CN"/>
        </w:rPr>
        <w:t>8财务分析</w:t>
      </w:r>
      <w:bookmarkEnd w:id="231"/>
      <w:bookmarkEnd w:id="232"/>
      <w:bookmarkEnd w:id="2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34" w:name="_Toc790208745"/>
      <w:bookmarkStart w:id="235" w:name="_Toc595026577"/>
      <w:bookmarkStart w:id="236" w:name="_Toc1989110689"/>
      <w:r>
        <w:rPr>
          <w:rFonts w:hint="eastAsia" w:ascii="黑体" w:hAnsi="黑体" w:eastAsia="黑体" w:cs="黑体"/>
          <w:sz w:val="28"/>
          <w:szCs w:val="28"/>
          <w:lang w:eastAsia="zh-CN"/>
        </w:rPr>
        <w:t>8.1 公司利润表及现金流量表</w:t>
      </w:r>
      <w:bookmarkEnd w:id="234"/>
      <w:bookmarkEnd w:id="235"/>
      <w:bookmarkEnd w:id="23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37" w:name="_Toc1968342827"/>
      <w:bookmarkStart w:id="238" w:name="_Toc1751890982"/>
      <w:bookmarkStart w:id="239" w:name="_Toc273511471"/>
      <w:r>
        <w:rPr>
          <w:rFonts w:hint="eastAsia" w:ascii="黑体" w:hAnsi="黑体" w:eastAsia="黑体" w:cs="黑体"/>
          <w:b/>
          <w:bCs/>
          <w:sz w:val="24"/>
          <w:szCs w:val="28"/>
          <w:lang w:eastAsia="zh-CN"/>
        </w:rPr>
        <w:t>8.1.1 公司利润估算分析</w:t>
      </w:r>
      <w:bookmarkEnd w:id="237"/>
      <w:bookmarkEnd w:id="238"/>
      <w:bookmarkEnd w:id="2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公司利润表详见策划附录2;公司的利润总额到第五年达到96 余元。公司所得税税率按 25%计算。税后利润到第五年达到 72 万余元。盈余公积金(含公益金)按可分配利润的 15%提取。从投资第 4 年起按可供投资者分配利润的 40%分配利润。</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0" w:name="_Toc1664306825"/>
      <w:bookmarkStart w:id="241" w:name="_Toc1873875640"/>
      <w:bookmarkStart w:id="242" w:name="_Toc1280043799"/>
      <w:r>
        <w:rPr>
          <w:rFonts w:hint="eastAsia" w:ascii="黑体" w:hAnsi="黑体" w:eastAsia="黑体" w:cs="黑体"/>
          <w:b/>
          <w:bCs/>
          <w:sz w:val="24"/>
          <w:szCs w:val="28"/>
          <w:lang w:eastAsia="zh-CN"/>
        </w:rPr>
        <w:t>8.1.2 公司现金流量分析</w:t>
      </w:r>
      <w:bookmarkEnd w:id="240"/>
      <w:bookmarkEnd w:id="241"/>
      <w:bookmarkEnd w:id="2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公司五年期利润表详见策划附录 3;从现金流量表可以直接看出公司现金流量从第二年开始转正现金流量平稳增长,第五年累积税后现金流量达到141万余元</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43" w:name="_Toc1319318921"/>
      <w:bookmarkStart w:id="244" w:name="_Toc1361568873"/>
      <w:bookmarkStart w:id="245" w:name="_Toc1755418114"/>
      <w:r>
        <w:rPr>
          <w:rFonts w:hint="eastAsia" w:ascii="黑体" w:hAnsi="黑体" w:eastAsia="黑体" w:cs="黑体"/>
          <w:sz w:val="28"/>
          <w:szCs w:val="28"/>
          <w:lang w:eastAsia="zh-CN"/>
        </w:rPr>
        <w:t>8.2 公司盈利能力分析</w:t>
      </w:r>
      <w:bookmarkEnd w:id="243"/>
      <w:bookmarkEnd w:id="244"/>
      <w:bookmarkEnd w:id="24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6" w:name="_Toc1765568927"/>
      <w:bookmarkStart w:id="247" w:name="_Toc1029532504"/>
      <w:bookmarkStart w:id="248" w:name="_Toc987430194"/>
      <w:r>
        <w:rPr>
          <w:rFonts w:hint="eastAsia" w:ascii="黑体" w:hAnsi="黑体" w:eastAsia="黑体" w:cs="黑体"/>
          <w:b/>
          <w:bCs/>
          <w:sz w:val="24"/>
          <w:szCs w:val="28"/>
          <w:lang w:eastAsia="zh-CN"/>
        </w:rPr>
        <w:t>8.2.1 静态盈利能力分析</w:t>
      </w:r>
      <w:bookmarkEnd w:id="246"/>
      <w:bookmarkEnd w:id="247"/>
      <w:bookmarkEnd w:id="248"/>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项目的总投资收益率税后利润与项目的总投资的比值,即90%</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项目的资本金净利润率本金净利润率采用达产期的净利润与项目的自有资金的比值,即 144% ,回报率相当高。</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投资回收期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税前:</w:t>
      </w:r>
      <w:r>
        <w:rPr>
          <w:rFonts w:hint="default" w:asciiTheme="minorEastAsia" w:hAnsiTheme="minorEastAsia" w:cstheme="minorEastAsia"/>
          <w:sz w:val="24"/>
          <w:szCs w:val="24"/>
          <w:lang w:eastAsia="zh-CN"/>
        </w:rPr>
        <w:t>2.60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2.70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9" w:name="_Toc1791714773"/>
      <w:bookmarkStart w:id="250" w:name="_Toc356432227"/>
      <w:bookmarkStart w:id="251" w:name="_Toc741599129"/>
      <w:r>
        <w:rPr>
          <w:rFonts w:hint="eastAsia" w:ascii="黑体" w:hAnsi="黑体" w:eastAsia="黑体" w:cs="黑体"/>
          <w:b/>
          <w:bCs/>
          <w:sz w:val="24"/>
          <w:szCs w:val="28"/>
          <w:lang w:eastAsia="zh-CN"/>
        </w:rPr>
        <w:t>8.2.2 动态盈利能力分析</w:t>
      </w:r>
      <w:bookmarkEnd w:id="249"/>
      <w:bookmarkEnd w:id="250"/>
      <w:bookmarkEnd w:id="2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项目的折现率为 10% (综合考虑无风险收益率和项目本身的风险程度确定),以下指标中都是按照 5 年计算。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(1)项目投资财务净现值(</w:t>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drawing>
          <wp:inline distT="0" distB="0" distL="114300" distR="114300">
            <wp:extent cx="1682750" cy="502920"/>
            <wp:effectExtent l="0" t="0" r="12700" b="11430"/>
            <wp:docPr id="126" name="Picture 126" descr="Screenshot from 2018-03-03 1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from 2018-03-03 13-25-12"/>
                    <pic:cNvPicPr>
                      <a:picLocks noChangeAspect="1"/>
                    </pic:cNvPicPr>
                  </pic:nvPicPr>
                  <pic:blipFill>
                    <a:blip r:embed="rId15"/>
                    <a:stretch>
                      <a:fillRect/>
                    </a:stretch>
                  </pic:blipFill>
                  <pic:spPr>
                    <a:xfrm>
                      <a:off x="0" y="0"/>
                      <a:ext cx="1682750" cy="50292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项目投资财务净现值(所得税前)为 125.6 万元。项目投资财务净现值(所得税后)93.8 万元。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(2)项目投资财务内部收益率(</w:t>
      </w:r>
      <w:r>
        <w:rPr>
          <w:rFonts w:hint="default" w:asciiTheme="minorEastAsia" w:hAnsiTheme="minorEastAsia" w:cstheme="minorEastAsia"/>
          <w:sz w:val="24"/>
          <w:szCs w:val="24"/>
          <w:lang w:eastAsia="zh-CN"/>
        </w:rPr>
        <w:t xml:space="preserve"> </w:t>
      </w:r>
      <w:r>
        <w:rPr>
          <w:rFonts w:hint="default" w:asciiTheme="minorEastAsia" w:hAnsiTheme="minorEastAsia" w:cstheme="minorEastAsia"/>
          <w:sz w:val="24"/>
          <w:szCs w:val="24"/>
          <w:lang w:eastAsia="zh-CN"/>
        </w:rPr>
        <w:drawing>
          <wp:inline distT="0" distB="0" distL="114300" distR="114300">
            <wp:extent cx="2011680" cy="506730"/>
            <wp:effectExtent l="0" t="0" r="7620" b="7620"/>
            <wp:docPr id="134" name="Picture 134" descr="Screenshot from 2018-03-03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creenshot from 2018-03-03 13-21-10"/>
                    <pic:cNvPicPr>
                      <a:picLocks noChangeAspect="1"/>
                    </pic:cNvPicPr>
                  </pic:nvPicPr>
                  <pic:blipFill>
                    <a:blip r:embed="rId16"/>
                    <a:stretch>
                      <a:fillRect/>
                    </a:stretch>
                  </pic:blipFill>
                  <pic:spPr>
                    <a:xfrm>
                      <a:off x="0" y="0"/>
                      <a:ext cx="2011680" cy="50673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)项目投资财务内部收益率(所得税前)为 317%。项目投资财务内部收益率(所得税后)为 277%。因此从动态指标角度分析,项目投资财务净现值无论从税前还是税后角度来说都大于零,且数额较大,说明项目的盈利能力很强。同时,项目投资财务内部收益率比财务基准收益率的 10%要高很多。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综上所述,项目具有很强的盈利能力</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52" w:name="_Toc1674977497"/>
      <w:bookmarkStart w:id="253" w:name="_Toc1390190274"/>
      <w:bookmarkStart w:id="254" w:name="_Toc629315464"/>
      <w:r>
        <w:rPr>
          <w:rFonts w:hint="eastAsia" w:ascii="黑体" w:hAnsi="黑体" w:eastAsia="黑体" w:cs="黑体"/>
          <w:sz w:val="28"/>
          <w:szCs w:val="28"/>
          <w:lang w:eastAsia="zh-CN"/>
        </w:rPr>
        <w:t>8.3 敏感性分析</w:t>
      </w:r>
      <w:bookmarkEnd w:id="252"/>
      <w:bookmarkEnd w:id="253"/>
      <w:bookmarkEnd w:id="2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敏感性分析选用了营业收入和经营成本作为影响因素,来分析这些因素的变化对主要经济指标的影响程度, 图表如下:</w:t>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br w:type="page"/>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12 敏感性分析图表</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102"/>
        <w:gridCol w:w="1224"/>
        <w:gridCol w:w="1142"/>
        <w:gridCol w:w="1548"/>
        <w:gridCol w:w="1548"/>
      </w:tblGrid>
      <w:tr>
        <w:trPr>
          <w:trHeight w:val="286" w:hRule="atLeast"/>
          <w:jc w:val="center"/>
        </w:trPr>
        <w:tc>
          <w:tcPr>
            <w:tcW w:w="2723"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bookmarkStart w:id="255" w:name="_Toc1892303054"/>
          </w:p>
        </w:tc>
        <w:tc>
          <w:tcPr>
            <w:tcW w:w="6564" w:type="dxa"/>
            <w:gridSpan w:val="5"/>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变化量(收益增加量、成本减少量)</w:t>
            </w:r>
          </w:p>
        </w:tc>
      </w:tr>
      <w:tr>
        <w:trPr>
          <w:trHeight w:val="151" w:hRule="atLeast"/>
          <w:jc w:val="center"/>
        </w:trPr>
        <w:tc>
          <w:tcPr>
            <w:tcW w:w="2723"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102"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成本变化下的税前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1036505</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1146945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1367825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1478265</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收益变化下的税前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889082</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1073233</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1441537</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1625688</w:t>
            </w:r>
          </w:p>
        </w:tc>
      </w:tr>
    </w:tbl>
    <w:p>
      <w:pPr>
        <w:rPr>
          <w:rFonts w:hint="default" w:ascii="黑体" w:hAnsi="黑体" w:cs="黑体"/>
          <w:sz w:val="21"/>
          <w:szCs w:val="21"/>
          <w:lang w:eastAsia="zh-CN"/>
        </w:rPr>
      </w:pPr>
      <w:r>
        <w:rPr>
          <w:rFonts w:hint="default" w:ascii="黑体" w:hAnsi="黑体" w:cs="黑体"/>
          <w:sz w:val="32"/>
          <w:szCs w:val="32"/>
          <w:lang w:eastAsia="zh-CN"/>
        </w:rPr>
        <w:drawing>
          <wp:anchor distT="0" distB="0" distL="114300" distR="114300" simplePos="0" relativeHeight="253815808" behindDoc="0" locked="0" layoutInCell="1" allowOverlap="1">
            <wp:simplePos x="0" y="0"/>
            <wp:positionH relativeFrom="column">
              <wp:posOffset>37465</wp:posOffset>
            </wp:positionH>
            <wp:positionV relativeFrom="paragraph">
              <wp:posOffset>290195</wp:posOffset>
            </wp:positionV>
            <wp:extent cx="5620385" cy="3896360"/>
            <wp:effectExtent l="4445" t="4445" r="13970" b="23495"/>
            <wp:wrapTopAndBottom/>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8.1 成本与收益变动敏感性比较分析图</w:t>
      </w:r>
    </w:p>
    <w:p>
      <w:pPr>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asciiTheme="minorEastAsia" w:hAnsiTheme="minorEastAsia" w:eastAsiaTheme="minorEastAsia" w:cstheme="minorEastAsia"/>
          <w:sz w:val="24"/>
          <w:szCs w:val="24"/>
          <w:lang w:eastAsia="zh-CN"/>
        </w:rPr>
        <w:t>在此图中可以清楚地看出 NPV 对于营业收入的变化更敏感。在经营过程中要对此多加注意,提升营业收益,促进企业向更好的方向发展。</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56" w:name="_Toc1984204591"/>
      <w:bookmarkStart w:id="257" w:name="_Toc2026504301"/>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255"/>
      <w:bookmarkEnd w:id="256"/>
      <w:bookmarkEnd w:id="2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lang w:eastAsia="zh-CN"/>
        </w:rPr>
      </w:pPr>
      <w:bookmarkStart w:id="258" w:name="_Toc1345777139"/>
      <w:bookmarkStart w:id="259" w:name="_Toc6317463"/>
      <w:bookmarkStart w:id="260" w:name="_Toc1539493603"/>
      <w:r>
        <w:rPr>
          <w:rFonts w:hint="eastAsia" w:ascii="黑体" w:hAnsi="黑体" w:eastAsia="黑体" w:cs="黑体"/>
          <w:sz w:val="28"/>
          <w:szCs w:val="28"/>
          <w:lang w:eastAsia="zh-CN"/>
        </w:rPr>
        <w:t>9.1 投资结构及分析</w:t>
      </w:r>
      <w:bookmarkEnd w:id="258"/>
      <w:bookmarkEnd w:id="259"/>
      <w:bookmarkEnd w:id="26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1" w:name="_Toc2139894496"/>
      <w:bookmarkStart w:id="262" w:name="_Toc810450170"/>
      <w:bookmarkStart w:id="263" w:name="_Toc1179891076"/>
      <w:r>
        <w:rPr>
          <w:rFonts w:hint="eastAsia" w:ascii="黑体" w:hAnsi="黑体" w:eastAsia="黑体" w:cs="黑体"/>
          <w:b/>
          <w:bCs/>
          <w:sz w:val="24"/>
          <w:szCs w:val="28"/>
          <w:lang w:eastAsia="zh-CN"/>
        </w:rPr>
        <w:t>9.1.1 注册资本结构与规模</w:t>
      </w:r>
      <w:bookmarkEnd w:id="261"/>
      <w:bookmarkEnd w:id="262"/>
      <w:bookmarkEnd w:id="2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公司计划注册资本</w:t>
      </w:r>
      <w:r>
        <w:rPr>
          <w:rFonts w:hint="default" w:asciiTheme="minorEastAsia" w:hAnsi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万。</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4" w:name="_Toc1548574424"/>
      <w:bookmarkStart w:id="265" w:name="_Toc884520445"/>
      <w:bookmarkStart w:id="266" w:name="_Toc426125881"/>
      <w:r>
        <w:rPr>
          <w:rFonts w:hint="eastAsia" w:ascii="黑体" w:hAnsi="黑体" w:eastAsia="黑体" w:cs="黑体"/>
          <w:b/>
          <w:bCs/>
          <w:sz w:val="24"/>
          <w:szCs w:val="28"/>
          <w:lang w:eastAsia="zh-CN"/>
        </w:rPr>
        <w:t>9.1.2 投资回报</w:t>
      </w:r>
      <w:bookmarkEnd w:id="264"/>
      <w:bookmarkEnd w:id="265"/>
      <w:bookmarkEnd w:id="2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根据对未来五年公司经营状况的预测,公司能保持较高的利润增长。拟从第三年起每年从净利润中提取 20%作为股东的分配红利。公司净资产收益率略高于总资产报酬率,这是一个很好的征兆,说明公司股东价值不断增长,有利于筹资渠道的不断完善。公司成立初期,规模较小,报酬率基本维持在 60%,随着公司的不断发展壮大,2 年实行自行生产后资产回报大幅上扬,回报率会较高。</w:t>
      </w:r>
    </w:p>
    <w:p>
      <w:pPr>
        <w:rPr>
          <w:rFonts w:hint="eastAsia"/>
          <w:lang w:eastAsia="zh-CN"/>
        </w:rPr>
      </w:pPr>
      <w:r>
        <w:rPr>
          <w:rFonts w:hint="eastAsia"/>
          <w:lang w:eastAsia="zh-CN"/>
        </w:rPr>
        <w:drawing>
          <wp:inline distT="0" distB="0" distL="114300" distR="114300">
            <wp:extent cx="5080000" cy="3810000"/>
            <wp:effectExtent l="4445" t="4445" r="20955" b="14605"/>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267" w:name="_Toc1438201490"/>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9.1 产品盈利能力预计分析</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68" w:name="_Toc73021654"/>
      <w:bookmarkStart w:id="269" w:name="_Toc29192487"/>
      <w:r>
        <w:rPr>
          <w:rFonts w:hint="eastAsia" w:ascii="黑体" w:hAnsi="黑体" w:eastAsia="黑体" w:cs="黑体"/>
          <w:sz w:val="28"/>
          <w:szCs w:val="28"/>
          <w:lang w:eastAsia="zh-CN"/>
        </w:rPr>
        <w:t>9.2 风险分析及防范措施</w:t>
      </w:r>
      <w:bookmarkEnd w:id="267"/>
      <w:bookmarkEnd w:id="268"/>
      <w:bookmarkEnd w:id="2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主要假设:</w:t>
      </w:r>
      <w:r>
        <w:rPr>
          <w:rFonts w:hint="default" w:asciiTheme="minorEastAsia" w:hAnsiTheme="minorEastAsia" w:cstheme="minorEastAsia"/>
          <w:sz w:val="24"/>
          <w:szCs w:val="24"/>
          <w:lang w:eastAsia="zh-CN"/>
        </w:rPr>
        <w:t xml:space="preserve"> 物流公司、室内设计公司和食品</w:t>
      </w:r>
      <w:r>
        <w:rPr>
          <w:rFonts w:hint="eastAsia" w:asciiTheme="minorEastAsia" w:hAnsiTheme="minorEastAsia" w:eastAsiaTheme="minorEastAsia" w:cstheme="minorEastAsia"/>
          <w:sz w:val="24"/>
          <w:szCs w:val="24"/>
          <w:lang w:eastAsia="zh-CN"/>
        </w:rPr>
        <w:t>供应商的信誉足够好,</w:t>
      </w:r>
      <w:r>
        <w:rPr>
          <w:rFonts w:hint="default" w:asciiTheme="minorEastAsia" w:hAnsiTheme="minorEastAsia" w:cstheme="minorEastAsia"/>
          <w:sz w:val="24"/>
          <w:szCs w:val="24"/>
          <w:lang w:eastAsia="zh-CN"/>
        </w:rPr>
        <w:t xml:space="preserve"> 装修、员工招募、试运营</w:t>
      </w:r>
      <w:r>
        <w:rPr>
          <w:rFonts w:hint="eastAsia" w:asciiTheme="minorEastAsia" w:hAnsiTheme="minorEastAsia" w:eastAsiaTheme="minorEastAsia" w:cstheme="minorEastAsia"/>
          <w:sz w:val="24"/>
          <w:szCs w:val="24"/>
          <w:lang w:eastAsia="zh-CN"/>
        </w:rPr>
        <w:t>在</w:t>
      </w: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 xml:space="preserve"> 个月内完成;</w:t>
      </w:r>
      <w:r>
        <w:rPr>
          <w:rFonts w:hint="default" w:asciiTheme="minorEastAsia" w:hAnsiTheme="minorEastAsia" w:cstheme="minorEastAsia"/>
          <w:sz w:val="24"/>
          <w:szCs w:val="24"/>
          <w:lang w:eastAsia="zh-CN"/>
        </w:rPr>
        <w:t>公司的首家分店</w:t>
      </w:r>
      <w:r>
        <w:rPr>
          <w:rFonts w:hint="eastAsia" w:asciiTheme="minorEastAsia" w:hAnsiTheme="minorEastAsia" w:eastAsiaTheme="minorEastAsia" w:cstheme="minorEastAsia"/>
          <w:sz w:val="24"/>
          <w:szCs w:val="24"/>
          <w:lang w:eastAsia="zh-CN"/>
        </w:rPr>
        <w:t>选址在</w:t>
      </w:r>
      <w:r>
        <w:rPr>
          <w:rFonts w:hint="default"/>
          <w:sz w:val="24"/>
          <w:szCs w:val="24"/>
          <w:lang w:val="en-US" w:eastAsia="zh-CN"/>
        </w:rPr>
        <w:t>北京市海淀区五道口购物中心</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0" w:name="_Toc528930444"/>
      <w:bookmarkStart w:id="271" w:name="_Toc1678232120"/>
      <w:bookmarkStart w:id="272" w:name="_Toc2083243369"/>
      <w:r>
        <w:rPr>
          <w:rFonts w:hint="eastAsia" w:ascii="黑体" w:hAnsi="黑体" w:eastAsia="黑体" w:cs="黑体"/>
          <w:b/>
          <w:bCs/>
          <w:sz w:val="24"/>
          <w:szCs w:val="28"/>
          <w:lang w:eastAsia="zh-CN"/>
        </w:rPr>
        <w:t>9.2.1风险管理系统</w:t>
      </w:r>
      <w:bookmarkEnd w:id="270"/>
      <w:bookmarkEnd w:id="271"/>
      <w:bookmarkEnd w:id="2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公司的生存、发展始终暴露在各种内、外部风险中,风险无时不在,无处不在。如果对内、外部风险认识不清,控制不当,必然会影响企业的经营发展。公司建立风险管理系统,对风险进行识别、分析和控制。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风险系统流程如下图:</w:t>
      </w:r>
    </w:p>
    <w:p>
      <w:pPr>
        <w:rPr>
          <w:rFonts w:hint="eastAsia"/>
          <w:lang w:eastAsia="zh-CN"/>
        </w:rPr>
      </w:pPr>
      <w:r>
        <w:rPr>
          <w:rFonts w:hint="eastAsia"/>
          <w:lang w:eastAsia="zh-CN"/>
        </w:rPr>
        <w:drawing>
          <wp:inline distT="0" distB="0" distL="114300" distR="114300">
            <wp:extent cx="5276215" cy="1971675"/>
            <wp:effectExtent l="0" t="0" r="635" b="9525"/>
            <wp:docPr id="137" name="Picture 137" descr="Screenshot from 2018-03-03 1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Screenshot from 2018-03-03 13-45-05"/>
                    <pic:cNvPicPr>
                      <a:picLocks noChangeAspect="1"/>
                    </pic:cNvPicPr>
                  </pic:nvPicPr>
                  <pic:blipFill>
                    <a:blip r:embed="rId19"/>
                    <a:stretch>
                      <a:fillRect/>
                    </a:stretch>
                  </pic:blipFill>
                  <pic:spPr>
                    <a:xfrm>
                      <a:off x="0" y="0"/>
                      <a:ext cx="5276215" cy="1971675"/>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bookmarkStart w:id="273" w:name="_Toc1538116356"/>
      <w:r>
        <w:rPr>
          <w:rFonts w:hint="eastAsia" w:asciiTheme="minorEastAsia" w:hAnsiTheme="minorEastAsia" w:eastAsiaTheme="minorEastAsia" w:cstheme="minorEastAsia"/>
          <w:b/>
          <w:bCs/>
          <w:sz w:val="21"/>
          <w:szCs w:val="21"/>
          <w:lang w:eastAsia="zh-CN"/>
        </w:rPr>
        <w:t>图 9.2 风险系统流程图</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5172075" cy="2316480"/>
            <wp:effectExtent l="0" t="0" r="9525" b="7620"/>
            <wp:docPr id="179"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images"/>
                    <pic:cNvPicPr>
                      <a:picLocks noChangeAspect="1"/>
                    </pic:cNvPicPr>
                  </pic:nvPicPr>
                  <pic:blipFill>
                    <a:blip r:embed="rId20"/>
                    <a:stretch>
                      <a:fillRect/>
                    </a:stretch>
                  </pic:blipFill>
                  <pic:spPr>
                    <a:xfrm>
                      <a:off x="0" y="0"/>
                      <a:ext cx="5172075" cy="231648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9.3 风险分析图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4" w:name="_Toc123194146"/>
      <w:bookmarkStart w:id="275" w:name="_Toc201331847"/>
      <w:r>
        <w:rPr>
          <w:rFonts w:hint="eastAsia" w:ascii="黑体" w:hAnsi="黑体" w:eastAsia="黑体" w:cs="黑体"/>
          <w:b/>
          <w:bCs/>
          <w:sz w:val="24"/>
          <w:szCs w:val="28"/>
          <w:lang w:eastAsia="zh-CN"/>
        </w:rPr>
        <w:t>9.2.2 市场风险</w:t>
      </w:r>
      <w:bookmarkEnd w:id="273"/>
      <w:bookmarkEnd w:id="274"/>
      <w:bookmarkEnd w:id="2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在公司的运作中,因市场突变、人为分割、竞争加剧、通货膨胀或紧缩、原材料供应等事先未预测到的风险,可能导致市场份额的急剧下降。</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6" w:name="_Toc2003882336"/>
      <w:bookmarkStart w:id="277" w:name="_Toc712124484"/>
      <w:bookmarkStart w:id="278" w:name="_Toc1514247293"/>
      <w:r>
        <w:rPr>
          <w:rFonts w:hint="eastAsia" w:ascii="黑体" w:hAnsi="黑体" w:eastAsia="黑体" w:cs="黑体"/>
          <w:b/>
          <w:bCs/>
          <w:sz w:val="24"/>
          <w:szCs w:val="28"/>
          <w:lang w:eastAsia="zh-CN"/>
        </w:rPr>
        <w:t>9.2.3 运作风险</w:t>
      </w:r>
      <w:bookmarkEnd w:id="276"/>
      <w:bookmarkEnd w:id="277"/>
      <w:bookmarkEnd w:id="2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公司内部混乱、资产负债率高、资金流转困难、三角债困扰、资金回笼慢、资产沉淀,造成资不抵债的困境。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9" w:name="_Toc1548885822"/>
      <w:bookmarkStart w:id="280" w:name="_Toc391711744"/>
      <w:bookmarkStart w:id="281" w:name="_Toc1800444395"/>
      <w:r>
        <w:rPr>
          <w:rFonts w:hint="eastAsia" w:ascii="黑体" w:hAnsi="黑体" w:eastAsia="黑体" w:cs="黑体"/>
          <w:b/>
          <w:bCs/>
          <w:sz w:val="24"/>
          <w:szCs w:val="28"/>
          <w:lang w:eastAsia="zh-CN"/>
        </w:rPr>
        <w:t>9.2.4 人力资源风险</w:t>
      </w:r>
      <w:bookmarkEnd w:id="279"/>
      <w:bookmarkEnd w:id="280"/>
      <w:bookmarkEnd w:id="2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公司对其管理人员、销售人员任用不当没有充分授权,或精英流失,造成公司人力资源的损失。</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82" w:name="_Toc1356176487"/>
      <w:bookmarkStart w:id="283" w:name="_Toc1797408624"/>
      <w:bookmarkStart w:id="284" w:name="_Toc1958843743"/>
      <w:r>
        <w:rPr>
          <w:rFonts w:hint="eastAsia" w:ascii="黑体" w:hAnsi="黑体" w:eastAsia="黑体" w:cs="黑体"/>
          <w:b/>
          <w:bCs/>
          <w:sz w:val="24"/>
          <w:szCs w:val="28"/>
          <w:lang w:eastAsia="zh-CN"/>
        </w:rPr>
        <w:t>9.2.5 公关风险</w:t>
      </w:r>
      <w:bookmarkEnd w:id="282"/>
      <w:bookmarkEnd w:id="283"/>
      <w:bookmarkEnd w:id="28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如劳资纠纷、法律纠纷、使企业公信力和美誉度急剧下降。</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5" w:name="_Toc2060363256"/>
      <w:bookmarkStart w:id="286" w:name="_Toc975111255"/>
      <w:bookmarkStart w:id="287" w:name="_Toc1754157985"/>
      <w:r>
        <w:rPr>
          <w:rFonts w:hint="eastAsia" w:ascii="黑体" w:hAnsi="黑体" w:eastAsia="黑体" w:cs="黑体"/>
          <w:sz w:val="28"/>
          <w:szCs w:val="28"/>
          <w:lang w:eastAsia="zh-CN"/>
        </w:rPr>
        <w:t>9.3 风险投资资金的撤出方式</w:t>
      </w:r>
      <w:bookmarkEnd w:id="285"/>
      <w:bookmarkEnd w:id="286"/>
      <w:bookmarkEnd w:id="2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风险投资一般通过资本与管理投入,在企业的成长中促进资本增值,并且在退出时实现收益变现</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但风险投资的成功率非常低,更是面临着所投资的企业破产清算的危险。根据一项关于美国 13 个风险投资基金的分析研究表明,风险投资总收益的 50%来自于 6.8%的投资,总收益的 75%来自于 15.7%的投资。真正能为风险投资者带来收益的投资项目还不到 1/4。所以,如何减少风险投资项目的损失,确保成功投资的收益顺利回收对于风险投资者来说至关重要。而缺乏便捷市场化的退出渠道更是制约我国风险投资事业发展的最大障碍。目前,国内风险投资的退出方式一般有以下几种:首次公开上市(IPO)、收购和清算、剩余利润分红、股权转让、二次出售等方式。鉴于公司形式和具体状况,本公司选择了以下几种风险资本撤出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1）</w:t>
      </w:r>
      <w:r>
        <w:rPr>
          <w:rFonts w:hint="eastAsia" w:asciiTheme="minorEastAsia" w:hAnsiTheme="minorEastAsia" w:eastAsiaTheme="minorEastAsia" w:cstheme="minorEastAsia"/>
          <w:sz w:val="24"/>
          <w:szCs w:val="24"/>
          <w:lang w:eastAsia="zh-CN"/>
        </w:rPr>
        <w:t>国内中小企业版上市:本公司会在公司运营 5-7 年上市,因为此时公司已发展到相当大的规模,公司已经连续盈利了三年,公司的净资产,股本结构,营业收入,经过改组后的公司制度都符合了国内二板市场上市的条件。从投资的时间和公司发展的角度考虑,公司经过了导入期和成长期,已完成一部分新产品和相关产品的开发,发展趋势很好,此时上市对公司和风险投资家来说,都是有利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海外二板市场上市:本公司属于高科技产业,同时它也属于有发展前景和增长潜力的中小型高新企业,可争取在香港二板市场上市,与国内相比,在海外上市条件更宽松,较适合有较好发展前景的科技型企业上市,这为本公司提供了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3）</w:t>
      </w:r>
      <w:r>
        <w:rPr>
          <w:rFonts w:hint="eastAsia" w:asciiTheme="minorEastAsia" w:hAnsiTheme="minorEastAsia" w:eastAsiaTheme="minorEastAsia" w:cstheme="minorEastAsia"/>
          <w:sz w:val="24"/>
          <w:szCs w:val="24"/>
          <w:lang w:eastAsia="zh-CN"/>
        </w:rPr>
        <w:t>兼并与收购:考虑到上市存在着股票价格下跌的风险,且公开上市后,需要一段时间,风险投资才能完全推出。那些不愿承担风险和受种种约束的风险投资家可以选择此种方式,对于风险投资家来说,此种方式是有吸引力的,因为这种方式可以让他们立即收回投资,也使得其可以立即从风险企业中退出。兼并和收购包括两种:即一般收购和“第二期收购”。一般收购主要指公司的收购与兼并;“第二期收购”指由另一家风险投资公司收购。本公司将会实行第一种方式收购风险投资家的股份,因为本公司在第 4-5 年已有较高的利润和现金,本公司完全有能力收回股份,从而实现真正意义上对公司的管理。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股份转让:股份转让是风险资本退出的另一条途径。当本公司发展到一定程度,要想再继续发展就需要大量的追加投资,风险投资者有可能不愿继续投资。此时,企业的良好发展态势会吸引另外一些风险投资家或者银行资本的进入。那么,原有的风险投资家可把手中的股份转让给这些人,从而实现自己资金的退出。上述是针对不同风险投资家不同时期可选择资金退出的方式,当风险投资家期望获得高收益,且相信企业的发展前景,可选择公开上市;当风险投资家希望尽快退出投资更有收益的行业,可选择股权转让。同时当本公司有较高的利润,且能够完全控制企业时,本公司会通过收购的方式收回那些不愿继续投资的投资家的股份,从而实现他们的退出</w:t>
      </w:r>
      <w:r>
        <w:rPr>
          <w:rFonts w:hint="default" w:asciiTheme="minorEastAsia" w:hAnsiTheme="minorEastAsia" w:eastAsiaTheme="minorEastAsia" w:cstheme="minorEastAsia"/>
          <w:sz w:val="24"/>
          <w:szCs w:val="24"/>
          <w:lang w:eastAsia="zh-CN"/>
        </w:rPr>
        <w:t>。</w:t>
      </w:r>
    </w:p>
    <w:p>
      <w:pPr>
        <w:pStyle w:val="2"/>
        <w:outlineLvl w:val="0"/>
        <w:rPr>
          <w:rFonts w:hint="eastAsia"/>
          <w:lang w:eastAsia="zh-CN"/>
        </w:rPr>
      </w:pPr>
      <w:bookmarkStart w:id="288" w:name="_Toc1369566096"/>
      <w:bookmarkStart w:id="289" w:name="_Toc2067313873"/>
      <w:bookmarkStart w:id="290" w:name="_Toc1542483984"/>
      <w:r>
        <w:rPr>
          <w:rFonts w:hint="eastAsia"/>
          <w:lang w:eastAsia="zh-CN"/>
        </w:rPr>
        <w:t>附录 1 公司经营第五年资产负债表</w:t>
      </w:r>
      <w:bookmarkEnd w:id="288"/>
      <w:bookmarkEnd w:id="289"/>
      <w:bookmarkEnd w:id="290"/>
    </w:p>
    <w:tbl>
      <w:tblPr>
        <w:tblStyle w:val="24"/>
        <w:tblW w:w="9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435"/>
        <w:gridCol w:w="1400"/>
        <w:gridCol w:w="2557"/>
        <w:gridCol w:w="1338"/>
        <w:gridCol w:w="1274"/>
      </w:tblGrid>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负债和所有者权益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流动资产：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货币资金</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长期负债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应收款</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短期负债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应交税金</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应付款</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流动资产合计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固定资产: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固定资产原价</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89750.0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98730.0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股东资本</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减:累计折旧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59508.3</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61028.6</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利润留存</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254808.1</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713885.7</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固定资产净值</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年度净利</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459077.6</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725544.5</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所有者权益合计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1513885.7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2239430.2</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资产总计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2588904.6</w:t>
            </w: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负债与所有者权益总计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2588904.6</w:t>
            </w:r>
          </w:p>
        </w:tc>
      </w:tr>
    </w:tbl>
    <w:p>
      <w:pPr>
        <w:jc w:val="center"/>
        <w:rPr>
          <w:rFonts w:hint="eastAsia"/>
          <w:sz w:val="24"/>
          <w:szCs w:val="24"/>
          <w:lang w:eastAsia="zh-CN"/>
        </w:rPr>
      </w:pPr>
    </w:p>
    <w:p>
      <w:pPr>
        <w:pStyle w:val="2"/>
        <w:rPr>
          <w:rFonts w:hint="eastAsia"/>
          <w:lang w:eastAsia="zh-CN"/>
        </w:rPr>
      </w:pPr>
      <w:bookmarkStart w:id="291" w:name="_Toc1003048968"/>
      <w:bookmarkStart w:id="292" w:name="_Toc494951481"/>
      <w:bookmarkStart w:id="293" w:name="_Toc1500903208"/>
      <w:r>
        <w:rPr>
          <w:rFonts w:hint="eastAsia"/>
          <w:lang w:eastAsia="zh-CN"/>
        </w:rPr>
        <w:t>附录 2公司经营五年期利润表</w:t>
      </w:r>
      <w:bookmarkEnd w:id="291"/>
      <w:bookmarkEnd w:id="292"/>
      <w:bookmarkEnd w:id="293"/>
    </w:p>
    <w:tbl>
      <w:tblPr>
        <w:tblStyle w:val="24"/>
        <w:tblW w:w="10195" w:type="dxa"/>
        <w:jc w:val="center"/>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16"/>
        <w:gridCol w:w="1519"/>
        <w:gridCol w:w="1827"/>
        <w:gridCol w:w="1983"/>
        <w:gridCol w:w="1554"/>
      </w:tblGrid>
      <w:tr>
        <w:trPr>
          <w:trHeight w:val="927" w:hRule="atLeast"/>
          <w:jc w:val="center"/>
        </w:trPr>
        <w:tc>
          <w:tcPr>
            <w:tcW w:w="1696"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8499"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69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365976.00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524306.00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1133988.00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1519336.00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1993078.80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19762.70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28312.52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61235.35</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82044.14</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107626.26</w:t>
            </w:r>
          </w:p>
        </w:tc>
      </w:tr>
      <w:tr>
        <w:trPr>
          <w:trHeight w:val="634" w:hRule="exact"/>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总成本费用</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380048.00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462070.60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733102.80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825188.40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918059.86</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弥补以前年度亏</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损</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-33834.70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33812.00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应纳税所得额</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967392.68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27.72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84912.46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153025.86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241848.17</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净利润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254737.39</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459077.59</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725544.51</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期初未分配利润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331075.58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可供分配利润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254808.07</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675664.45</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1056620.09</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提取任意盈余公</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积金</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12740.40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33783.22</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52831.00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各投资方利润分</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配</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243239.20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380383.23</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eastAsia="zh-CN"/>
              </w:rPr>
              <w:t>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331075.58</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517743.84</w:t>
            </w:r>
          </w:p>
        </w:tc>
      </w:tr>
    </w:tbl>
    <w:p>
      <w:pPr>
        <w:pStyle w:val="2"/>
        <w:rPr>
          <w:rFonts w:hint="eastAsia"/>
          <w:lang w:eastAsia="zh-CN"/>
        </w:rPr>
      </w:pPr>
      <w:bookmarkStart w:id="294" w:name="_Toc829698821"/>
      <w:bookmarkStart w:id="295" w:name="_Toc454741705"/>
      <w:bookmarkStart w:id="296" w:name="_Toc19279930"/>
      <w:r>
        <w:rPr>
          <w:rFonts w:hint="eastAsia"/>
          <w:lang w:eastAsia="zh-CN"/>
        </w:rPr>
        <w:t>附录 3公司经营五年期现金流量表</w:t>
      </w:r>
      <w:bookmarkEnd w:id="294"/>
      <w:bookmarkEnd w:id="295"/>
      <w:bookmarkEnd w:id="296"/>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89"/>
        <w:gridCol w:w="1173"/>
        <w:gridCol w:w="1118"/>
        <w:gridCol w:w="1327"/>
        <w:gridCol w:w="1327"/>
        <w:gridCol w:w="1327"/>
      </w:tblGrid>
      <w:tr>
        <w:trPr>
          <w:trHeight w:val="927" w:hRule="atLeast"/>
          <w:jc w:val="center"/>
        </w:trPr>
        <w:tc>
          <w:tcPr>
            <w:tcW w:w="132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lang w:eastAsia="zh-CN"/>
              </w:rPr>
              <w:t>序号</w:t>
            </w:r>
          </w:p>
        </w:tc>
        <w:tc>
          <w:tcPr>
            <w:tcW w:w="168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6272"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32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17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118"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1595113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1491807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663647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1849553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1320705</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969052</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1780561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864226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1419546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1166327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现金流出</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458046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570851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645853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634284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586263</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固定资产投资</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871408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684362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445237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955541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935470</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流动资金</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39474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40526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39205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38965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39081</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经营成本</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599428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388193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378960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545161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460306</w:t>
            </w:r>
          </w:p>
        </w:tc>
      </w:tr>
      <w:tr>
        <w:trPr>
          <w:trHeight w:val="1007" w:hRule="atLeast"/>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107029</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89555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44221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37354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82927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234735</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652739</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899793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725398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499976</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96854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404468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516631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209377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879414</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调整所得税</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503036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564742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654355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848220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385289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190954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308726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736015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448915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404869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7</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864943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716013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631771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271798</w:t>
            </w:r>
          </w:p>
        </w:tc>
      </w:tr>
    </w:tbl>
    <w:p>
      <w:pPr>
        <w:rPr>
          <w:rFonts w:hint="eastAsia"/>
          <w:lang w:eastAsia="zh-CN"/>
        </w:rPr>
      </w:pPr>
    </w:p>
    <w:sectPr>
      <w:headerReference r:id="rId6" w:type="default"/>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60173">
    <w:nsid w:val="5A98C06D"/>
    <w:multiLevelType w:val="singleLevel"/>
    <w:tmpl w:val="5A98C06D"/>
    <w:lvl w:ilvl="0" w:tentative="1">
      <w:start w:val="2"/>
      <w:numFmt w:val="decimal"/>
      <w:suff w:val="space"/>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48946">
    <w:nsid w:val="5A9A1B32"/>
    <w:multiLevelType w:val="singleLevel"/>
    <w:tmpl w:val="5A9A1B32"/>
    <w:lvl w:ilvl="0" w:tentative="1">
      <w:start w:val="1"/>
      <w:numFmt w:val="chineseCounting"/>
      <w:suff w:val="nothing"/>
      <w:lvlText w:val="(%1)"/>
      <w:lvlJc w:val="left"/>
    </w:lvl>
  </w:abstractNum>
  <w:abstractNum w:abstractNumId="1520053445">
    <w:nsid w:val="5A9A2CC5"/>
    <w:multiLevelType w:val="singleLevel"/>
    <w:tmpl w:val="5A9A2CC5"/>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 w:numId="9">
    <w:abstractNumId w:val="1520048946"/>
  </w:num>
  <w:num w:numId="10">
    <w:abstractNumId w:val="1520053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0DEDA011"/>
    <w:rsid w:val="17FF19FF"/>
    <w:rsid w:val="18FA32D4"/>
    <w:rsid w:val="1A4D2617"/>
    <w:rsid w:val="1BEA5CAC"/>
    <w:rsid w:val="1E7D1283"/>
    <w:rsid w:val="1EFE3DA8"/>
    <w:rsid w:val="1F4133D2"/>
    <w:rsid w:val="1FF357FA"/>
    <w:rsid w:val="23FBE360"/>
    <w:rsid w:val="2B6B556E"/>
    <w:rsid w:val="2DF75B02"/>
    <w:rsid w:val="2E7D287C"/>
    <w:rsid w:val="2EBFB001"/>
    <w:rsid w:val="2F67C7E1"/>
    <w:rsid w:val="2FE794B3"/>
    <w:rsid w:val="2FF7B286"/>
    <w:rsid w:val="335FC72F"/>
    <w:rsid w:val="35B7CEFB"/>
    <w:rsid w:val="377FF002"/>
    <w:rsid w:val="37CF9C34"/>
    <w:rsid w:val="37EDB848"/>
    <w:rsid w:val="37FF9023"/>
    <w:rsid w:val="399FBC50"/>
    <w:rsid w:val="3BE77C4D"/>
    <w:rsid w:val="3BE78ACD"/>
    <w:rsid w:val="3BF22CCA"/>
    <w:rsid w:val="3BF6061C"/>
    <w:rsid w:val="3CF25C17"/>
    <w:rsid w:val="3D69EAD3"/>
    <w:rsid w:val="3D7F1527"/>
    <w:rsid w:val="3D9FB258"/>
    <w:rsid w:val="3DA3402D"/>
    <w:rsid w:val="3E8B48EB"/>
    <w:rsid w:val="3F1EFB48"/>
    <w:rsid w:val="3F3A23B9"/>
    <w:rsid w:val="3F5F7FFE"/>
    <w:rsid w:val="3F7FA606"/>
    <w:rsid w:val="3FEDC8B3"/>
    <w:rsid w:val="3FEF01D5"/>
    <w:rsid w:val="3FEFE75E"/>
    <w:rsid w:val="3FF66EDE"/>
    <w:rsid w:val="3FF7BEE7"/>
    <w:rsid w:val="3FFE5ACD"/>
    <w:rsid w:val="43F2CCC1"/>
    <w:rsid w:val="49DA2439"/>
    <w:rsid w:val="4ADF9775"/>
    <w:rsid w:val="4CFD60CB"/>
    <w:rsid w:val="4D6BC58A"/>
    <w:rsid w:val="4DEF89CA"/>
    <w:rsid w:val="4DF88DF8"/>
    <w:rsid w:val="4EAF68E0"/>
    <w:rsid w:val="4EB89CC8"/>
    <w:rsid w:val="4F6F8C1E"/>
    <w:rsid w:val="4FF55E5B"/>
    <w:rsid w:val="4FFD821B"/>
    <w:rsid w:val="52530277"/>
    <w:rsid w:val="537FCC60"/>
    <w:rsid w:val="54EF8A12"/>
    <w:rsid w:val="55738A36"/>
    <w:rsid w:val="558BC406"/>
    <w:rsid w:val="55F9361F"/>
    <w:rsid w:val="567F0FBE"/>
    <w:rsid w:val="56B76A0F"/>
    <w:rsid w:val="56E7C414"/>
    <w:rsid w:val="56FBA37F"/>
    <w:rsid w:val="57B910F0"/>
    <w:rsid w:val="59E7643F"/>
    <w:rsid w:val="5A7ED6D0"/>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157071"/>
    <w:rsid w:val="657BEE1D"/>
    <w:rsid w:val="65F1DB75"/>
    <w:rsid w:val="679F3B06"/>
    <w:rsid w:val="67EF2238"/>
    <w:rsid w:val="67FDD478"/>
    <w:rsid w:val="68DF7B39"/>
    <w:rsid w:val="69FF8AB0"/>
    <w:rsid w:val="6BBF19E4"/>
    <w:rsid w:val="6BCD42C4"/>
    <w:rsid w:val="6BFB375E"/>
    <w:rsid w:val="6CF18C44"/>
    <w:rsid w:val="6CF7194B"/>
    <w:rsid w:val="6DB4C395"/>
    <w:rsid w:val="6DF71545"/>
    <w:rsid w:val="6DF7D37C"/>
    <w:rsid w:val="6E7F5948"/>
    <w:rsid w:val="6F2B680B"/>
    <w:rsid w:val="6F7A7C9B"/>
    <w:rsid w:val="6FA63ACC"/>
    <w:rsid w:val="6FBF2198"/>
    <w:rsid w:val="6FDF5F58"/>
    <w:rsid w:val="6FEC7D5B"/>
    <w:rsid w:val="6FEFFD7A"/>
    <w:rsid w:val="6FF30773"/>
    <w:rsid w:val="6FF5C4E1"/>
    <w:rsid w:val="6FF7B2BB"/>
    <w:rsid w:val="6FF7C605"/>
    <w:rsid w:val="6FFC5463"/>
    <w:rsid w:val="6FFE11D8"/>
    <w:rsid w:val="6FFF0B0D"/>
    <w:rsid w:val="6FFFAC83"/>
    <w:rsid w:val="70BF4063"/>
    <w:rsid w:val="71EC43E8"/>
    <w:rsid w:val="71FE78FF"/>
    <w:rsid w:val="725FBC46"/>
    <w:rsid w:val="72F70DDE"/>
    <w:rsid w:val="73B20B6F"/>
    <w:rsid w:val="73B661C7"/>
    <w:rsid w:val="73BFE4C2"/>
    <w:rsid w:val="73D5BE7C"/>
    <w:rsid w:val="74F795DE"/>
    <w:rsid w:val="7527DC8B"/>
    <w:rsid w:val="75D73BDC"/>
    <w:rsid w:val="75FA7FE5"/>
    <w:rsid w:val="75FD3DAC"/>
    <w:rsid w:val="763D58BA"/>
    <w:rsid w:val="76BE95B8"/>
    <w:rsid w:val="76EE2219"/>
    <w:rsid w:val="771CAB14"/>
    <w:rsid w:val="7755E035"/>
    <w:rsid w:val="7765985E"/>
    <w:rsid w:val="77770F15"/>
    <w:rsid w:val="77A7CC8E"/>
    <w:rsid w:val="77AF5BEB"/>
    <w:rsid w:val="77AF682B"/>
    <w:rsid w:val="77B60E53"/>
    <w:rsid w:val="77CF6D5A"/>
    <w:rsid w:val="77D48F87"/>
    <w:rsid w:val="77DDA3E3"/>
    <w:rsid w:val="77E75ED9"/>
    <w:rsid w:val="77FA00A9"/>
    <w:rsid w:val="77FF9A1A"/>
    <w:rsid w:val="797FCBCF"/>
    <w:rsid w:val="79BD7CB8"/>
    <w:rsid w:val="79BF6241"/>
    <w:rsid w:val="79E86BF8"/>
    <w:rsid w:val="7A5F5077"/>
    <w:rsid w:val="7A7FE625"/>
    <w:rsid w:val="7A99A905"/>
    <w:rsid w:val="7ADF5A4A"/>
    <w:rsid w:val="7AEB0BD6"/>
    <w:rsid w:val="7AFFE161"/>
    <w:rsid w:val="7B1FB824"/>
    <w:rsid w:val="7B371746"/>
    <w:rsid w:val="7B3B25FF"/>
    <w:rsid w:val="7B6D1883"/>
    <w:rsid w:val="7B971269"/>
    <w:rsid w:val="7BBF6B4C"/>
    <w:rsid w:val="7BDB7A59"/>
    <w:rsid w:val="7BDF040C"/>
    <w:rsid w:val="7BEDC1D0"/>
    <w:rsid w:val="7BFFC47C"/>
    <w:rsid w:val="7C6CA64F"/>
    <w:rsid w:val="7CDFF9E7"/>
    <w:rsid w:val="7CFF8A80"/>
    <w:rsid w:val="7DBD91A6"/>
    <w:rsid w:val="7DEFA1A3"/>
    <w:rsid w:val="7DF9231F"/>
    <w:rsid w:val="7DF9C7BF"/>
    <w:rsid w:val="7DFABA4F"/>
    <w:rsid w:val="7E3771F4"/>
    <w:rsid w:val="7E8F302A"/>
    <w:rsid w:val="7EEF1441"/>
    <w:rsid w:val="7EF7D132"/>
    <w:rsid w:val="7EF9402A"/>
    <w:rsid w:val="7EFABD42"/>
    <w:rsid w:val="7F143671"/>
    <w:rsid w:val="7F5E1B25"/>
    <w:rsid w:val="7F6D3917"/>
    <w:rsid w:val="7F6E9B74"/>
    <w:rsid w:val="7F7D8494"/>
    <w:rsid w:val="7F97B9A2"/>
    <w:rsid w:val="7FAD5F95"/>
    <w:rsid w:val="7FAF55F6"/>
    <w:rsid w:val="7FAF58AB"/>
    <w:rsid w:val="7FBEBA5A"/>
    <w:rsid w:val="7FBF2510"/>
    <w:rsid w:val="7FBFCE2A"/>
    <w:rsid w:val="7FCF15A3"/>
    <w:rsid w:val="7FD3EA3B"/>
    <w:rsid w:val="7FEAC0C7"/>
    <w:rsid w:val="7FED4A36"/>
    <w:rsid w:val="7FFBD097"/>
    <w:rsid w:val="7FFD0850"/>
    <w:rsid w:val="7FFF5C73"/>
    <w:rsid w:val="8F7FBE7E"/>
    <w:rsid w:val="94FD254E"/>
    <w:rsid w:val="95F9F3B9"/>
    <w:rsid w:val="97FFAEF6"/>
    <w:rsid w:val="9B355F83"/>
    <w:rsid w:val="9BB40278"/>
    <w:rsid w:val="9CDF5E21"/>
    <w:rsid w:val="9DBF0C7F"/>
    <w:rsid w:val="9E7C1526"/>
    <w:rsid w:val="9FB7D7BC"/>
    <w:rsid w:val="9FBBF0E8"/>
    <w:rsid w:val="9FF3793F"/>
    <w:rsid w:val="9FFFA6F9"/>
    <w:rsid w:val="A73A2DCB"/>
    <w:rsid w:val="A97B68DC"/>
    <w:rsid w:val="ABFB5B46"/>
    <w:rsid w:val="AD7E144E"/>
    <w:rsid w:val="ADBB2246"/>
    <w:rsid w:val="ADEF8724"/>
    <w:rsid w:val="AEFBAAAE"/>
    <w:rsid w:val="AF3529FF"/>
    <w:rsid w:val="AF8F8D94"/>
    <w:rsid w:val="AFA3516C"/>
    <w:rsid w:val="AFBED567"/>
    <w:rsid w:val="AFFE9BB6"/>
    <w:rsid w:val="B677C655"/>
    <w:rsid w:val="B6FF0E15"/>
    <w:rsid w:val="B737ABDB"/>
    <w:rsid w:val="B7779973"/>
    <w:rsid w:val="B7AF75B0"/>
    <w:rsid w:val="B7FFE381"/>
    <w:rsid w:val="B8BFE4F4"/>
    <w:rsid w:val="B9D3CEA4"/>
    <w:rsid w:val="BAD275A1"/>
    <w:rsid w:val="BB761D28"/>
    <w:rsid w:val="BBEF2BA4"/>
    <w:rsid w:val="BBFB6EC3"/>
    <w:rsid w:val="BBFD4C50"/>
    <w:rsid w:val="BBFEBBBF"/>
    <w:rsid w:val="BCFFE00A"/>
    <w:rsid w:val="BD7A285B"/>
    <w:rsid w:val="BD9141E3"/>
    <w:rsid w:val="BE2FF99D"/>
    <w:rsid w:val="BE38A488"/>
    <w:rsid w:val="BE9F026B"/>
    <w:rsid w:val="BEDA9CAC"/>
    <w:rsid w:val="BEFEA6DF"/>
    <w:rsid w:val="BF5DBC74"/>
    <w:rsid w:val="BF778973"/>
    <w:rsid w:val="BF77D760"/>
    <w:rsid w:val="BF7A1A9F"/>
    <w:rsid w:val="BF8D63DD"/>
    <w:rsid w:val="BF8F1711"/>
    <w:rsid w:val="BFBB5128"/>
    <w:rsid w:val="BFEFDDB9"/>
    <w:rsid w:val="BFFF1286"/>
    <w:rsid w:val="C7F9C8FF"/>
    <w:rsid w:val="CDEB61E6"/>
    <w:rsid w:val="CE7F4C02"/>
    <w:rsid w:val="CEBF2A7A"/>
    <w:rsid w:val="CF4F2E88"/>
    <w:rsid w:val="CFBF376F"/>
    <w:rsid w:val="CFFEBA9F"/>
    <w:rsid w:val="CFFFDF8B"/>
    <w:rsid w:val="D19FFB99"/>
    <w:rsid w:val="D4FFB9CF"/>
    <w:rsid w:val="D7E41B1C"/>
    <w:rsid w:val="D9DD762A"/>
    <w:rsid w:val="DA6722BD"/>
    <w:rsid w:val="DACF3BA1"/>
    <w:rsid w:val="DB4F2FEB"/>
    <w:rsid w:val="DB4F4FEA"/>
    <w:rsid w:val="DB6D104B"/>
    <w:rsid w:val="DBDC5D06"/>
    <w:rsid w:val="DBE3266F"/>
    <w:rsid w:val="DBF4169C"/>
    <w:rsid w:val="DBFF10F0"/>
    <w:rsid w:val="DCED8DEE"/>
    <w:rsid w:val="DD5D3406"/>
    <w:rsid w:val="DDBB6558"/>
    <w:rsid w:val="DDBF1F00"/>
    <w:rsid w:val="DDF9AC5C"/>
    <w:rsid w:val="DE5F44A0"/>
    <w:rsid w:val="DF7798EC"/>
    <w:rsid w:val="DFBB4D54"/>
    <w:rsid w:val="DFBF3256"/>
    <w:rsid w:val="DFBF779E"/>
    <w:rsid w:val="DFDD4A12"/>
    <w:rsid w:val="DFF7A326"/>
    <w:rsid w:val="DFFAE274"/>
    <w:rsid w:val="DFFB9404"/>
    <w:rsid w:val="DFFC5911"/>
    <w:rsid w:val="DFFD2007"/>
    <w:rsid w:val="DFFD21B4"/>
    <w:rsid w:val="DFFF0C3D"/>
    <w:rsid w:val="DFFF39BE"/>
    <w:rsid w:val="E3F73E48"/>
    <w:rsid w:val="E3F77247"/>
    <w:rsid w:val="E46F0980"/>
    <w:rsid w:val="E6DE3619"/>
    <w:rsid w:val="E76FA171"/>
    <w:rsid w:val="E7EDECD4"/>
    <w:rsid w:val="E7FB79A4"/>
    <w:rsid w:val="E7FF9513"/>
    <w:rsid w:val="EABFA2A5"/>
    <w:rsid w:val="EBFE57AC"/>
    <w:rsid w:val="EBFFF559"/>
    <w:rsid w:val="EC8FFBAC"/>
    <w:rsid w:val="ECD96AA3"/>
    <w:rsid w:val="EDACBE51"/>
    <w:rsid w:val="EDEA175D"/>
    <w:rsid w:val="EEF4BF39"/>
    <w:rsid w:val="EEF93C69"/>
    <w:rsid w:val="EEFDC347"/>
    <w:rsid w:val="EF3FD582"/>
    <w:rsid w:val="EF6F561D"/>
    <w:rsid w:val="EF7F9999"/>
    <w:rsid w:val="EF9D8538"/>
    <w:rsid w:val="EFBEA25E"/>
    <w:rsid w:val="EFDB8711"/>
    <w:rsid w:val="EFF71584"/>
    <w:rsid w:val="EFFF3B0A"/>
    <w:rsid w:val="EFFFE303"/>
    <w:rsid w:val="F17732CE"/>
    <w:rsid w:val="F1DBF0AF"/>
    <w:rsid w:val="F2E7C393"/>
    <w:rsid w:val="F3BA5974"/>
    <w:rsid w:val="F3EB59FB"/>
    <w:rsid w:val="F54DF3BC"/>
    <w:rsid w:val="F5789050"/>
    <w:rsid w:val="F57F890C"/>
    <w:rsid w:val="F5D5D8A9"/>
    <w:rsid w:val="F5FD2F8C"/>
    <w:rsid w:val="F6931273"/>
    <w:rsid w:val="F6A38173"/>
    <w:rsid w:val="F6DDB6D5"/>
    <w:rsid w:val="F6ED2CC6"/>
    <w:rsid w:val="F74FBA3A"/>
    <w:rsid w:val="F75720D0"/>
    <w:rsid w:val="F778A17D"/>
    <w:rsid w:val="F77D5C6B"/>
    <w:rsid w:val="F79B976A"/>
    <w:rsid w:val="F7B5E809"/>
    <w:rsid w:val="F7BFF288"/>
    <w:rsid w:val="F7CB3F01"/>
    <w:rsid w:val="F7D7AE6A"/>
    <w:rsid w:val="F7E7A33C"/>
    <w:rsid w:val="F7E8CFC2"/>
    <w:rsid w:val="F7EF52CC"/>
    <w:rsid w:val="F7EFAA7A"/>
    <w:rsid w:val="F7F77D07"/>
    <w:rsid w:val="F7FB09C0"/>
    <w:rsid w:val="F7FFCDE0"/>
    <w:rsid w:val="F962AFE3"/>
    <w:rsid w:val="F965D0E6"/>
    <w:rsid w:val="F9F5B9D4"/>
    <w:rsid w:val="F9F9051B"/>
    <w:rsid w:val="F9FF0C81"/>
    <w:rsid w:val="FA6F96D3"/>
    <w:rsid w:val="FA7FB971"/>
    <w:rsid w:val="FA993E81"/>
    <w:rsid w:val="FAB76CFD"/>
    <w:rsid w:val="FABE7B23"/>
    <w:rsid w:val="FAFE558D"/>
    <w:rsid w:val="FAFE820B"/>
    <w:rsid w:val="FB575521"/>
    <w:rsid w:val="FB5F62E3"/>
    <w:rsid w:val="FB7BBEE8"/>
    <w:rsid w:val="FBA231B5"/>
    <w:rsid w:val="FBEF47E3"/>
    <w:rsid w:val="FBFA9A97"/>
    <w:rsid w:val="FBFF06CD"/>
    <w:rsid w:val="FBFFB950"/>
    <w:rsid w:val="FC83DA3A"/>
    <w:rsid w:val="FCC30B66"/>
    <w:rsid w:val="FCDBA939"/>
    <w:rsid w:val="FCEF7524"/>
    <w:rsid w:val="FD1BA083"/>
    <w:rsid w:val="FD5ED7BC"/>
    <w:rsid w:val="FDC6EB14"/>
    <w:rsid w:val="FDCF8B61"/>
    <w:rsid w:val="FDF90A47"/>
    <w:rsid w:val="FDFB49B3"/>
    <w:rsid w:val="FE6DF20D"/>
    <w:rsid w:val="FE77FE8C"/>
    <w:rsid w:val="FE7E11ED"/>
    <w:rsid w:val="FEB7BA87"/>
    <w:rsid w:val="FEED0DCB"/>
    <w:rsid w:val="FEF644DF"/>
    <w:rsid w:val="FEF98EF5"/>
    <w:rsid w:val="FEFE8DA5"/>
    <w:rsid w:val="FEFF8E10"/>
    <w:rsid w:val="FEFFFC5E"/>
    <w:rsid w:val="FF27534C"/>
    <w:rsid w:val="FF37B8FF"/>
    <w:rsid w:val="FF4B414F"/>
    <w:rsid w:val="FF64AA61"/>
    <w:rsid w:val="FF6BC8A5"/>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DF76A"/>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spPr>
            <a:effectLst/>
          </c:spPr>
          <c:dPt>
            <c:idx val="0"/>
            <c:bubble3D val="0"/>
            <c:spPr>
              <a:solidFill>
                <a:schemeClr val="accent1"/>
              </a:solidFill>
              <a:ln>
                <a:noFill/>
              </a:ln>
              <a:effectLst>
                <a:outerShdw blurRad="76200" dir="13500000" sy="23000" kx="1200000" algn="br" rotWithShape="0">
                  <a:prstClr val="black">
                    <a:alpha val="20000"/>
                  </a:prstClr>
                </a:outerShdw>
              </a:effectLst>
            </c:spPr>
          </c:dPt>
          <c:dPt>
            <c:idx val="1"/>
            <c:bubble3D val="0"/>
            <c:spPr>
              <a:solidFill>
                <a:schemeClr val="accent3"/>
              </a:solidFill>
              <a:ln>
                <a:noFill/>
              </a:ln>
              <a:effectLst>
                <a:outerShdw blurRad="254000" sx="102000" sy="102000" rotWithShape="0">
                  <a:schemeClr val="accent3">
                    <a:alpha val="20000"/>
                  </a:schemeClr>
                </a:outerShdw>
              </a:effectLst>
            </c:spPr>
          </c:dPt>
          <c:dPt>
            <c:idx val="2"/>
            <c:bubble3D val="0"/>
            <c:spPr>
              <a:solidFill>
                <a:schemeClr val="accent5"/>
              </a:solidFill>
              <a:ln>
                <a:noFill/>
              </a:ln>
              <a:effectLst>
                <a:outerShdw blurRad="254000" sx="102000" sy="102000" rotWithShape="0">
                  <a:schemeClr val="accent5">
                    <a:alpha val="20000"/>
                  </a:schemeClr>
                </a:outerShdw>
              </a:effectLst>
            </c:spPr>
          </c:dPt>
          <c:dLbls>
            <c:dLbl>
              <c:idx val="0"/>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外来投资 43.8%</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1"/>
              <c:layout/>
              <c:tx>
                <c:rich>
                  <a:bodyPr rot="0" vertOverflow="ellipsis" vert="horz"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技术入股 12%</a:t>
                    </a:r>
                    <a:endParaRPr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2"/>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创业团队 43.8</a:t>
                    </a:r>
                    <a:r>
                      <a:rPr lang="x-none" altLang="en-US" sz="1000" b="1" i="0" u="none" strike="noStrike" kern="1200" cap="none" normalizeH="0" baseline="0">
                        <a:solidFill>
                          <a:schemeClr val="lt1"/>
                        </a:solidFill>
                        <a:effectLst/>
                        <a:latin typeface="+mn-lt"/>
                        <a:ea typeface="+mn-ea"/>
                        <a:cs typeface="+mn-cs"/>
                      </a:rPr>
                      <a:t>%</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numFmt formatCode="General" sourceLinked="1"/>
            <c:spPr>
              <a:pattFill prst="pct75">
                <a:fgClr>
                  <a:schemeClr val="dk1">
                    <a:lumMod val="75000"/>
                    <a:lumOff val="25000"/>
                  </a:schemeClr>
                </a:fgClr>
                <a:bgClr>
                  <a:schemeClr val="dk1">
                    <a:lumMod val="65000"/>
                    <a:lumOff val="35000"/>
                  </a:schemeClr>
                </a:bgClr>
              </a:pattFill>
              <a:ln>
                <a:noFill/>
              </a:ln>
              <a:effectLst>
                <a:outerShdw blurRad="50800" dist="38100" dir="2700000" rotWithShape="0">
                  <a:srgbClr val="FFFFFF">
                    <a:alpha val="40000"/>
                  </a:srgbClr>
                </a:outerShdw>
              </a:effectLst>
            </c:spPr>
            <c:txPr>
              <a:bodyPr rot="0" spcFirstLastPara="0" vertOverflow="ellipsis" horzOverflow="overflow" vert="horz" wrap="square" anchor="ctr" anchorCtr="1"/>
              <a:lstStyle/>
              <a:p>
                <a:pPr>
                  <a:defRPr sz="1000" b="1" i="0" u="none" strike="noStrike" kern="1200" baseline="0">
                    <a:solidFill>
                      <a:schemeClr val="lt1"/>
                    </a:solidFill>
                    <a:latin typeface="+mn-lt"/>
                    <a:ea typeface="+mn-ea"/>
                    <a:cs typeface="+mn-cs"/>
                  </a:defRPr>
                </a:pPr>
              </a:p>
            </c:txPr>
            <c:dLblPos val="ctr"/>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en-US" sz="900" kern="1200">
          <a:solidFill>
            <a:schemeClr val="dk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600" b="1" kern="1200">
                <a:solidFill>
                  <a:schemeClr val="tx2"/>
                </a:solidFill>
                <a:latin typeface="+mn-lt"/>
                <a:ea typeface="+mn-ea"/>
                <a:cs typeface="+mn-cs"/>
              </a:defRPr>
            </a:pPr>
            <a:r>
              <a:rPr lang="x-none" altLang="en-US" sz="1600" b="0" i="0" u="none" strike="noStrike" kern="1200" cap="none" spc="0" normalizeH="0" baseline="0">
                <a:solidFill>
                  <a:schemeClr val="tx2"/>
                </a:solidFill>
                <a:effectLst/>
                <a:latin typeface="+mn-lt"/>
                <a:ea typeface="+mn-ea"/>
                <a:cs typeface="+mn-cs"/>
              </a:rPr>
              <a:t>成本与收益变动敏感性比较分析图</a:t>
            </a:r>
            <a:endParaRPr sz="1600" b="0" i="0" u="none" strike="noStrike" kern="1200" cap="none" spc="0" normalizeH="0" baseline="0">
              <a:solidFill>
                <a:schemeClr val="tx2"/>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Sheet1!$A$11</c:f>
              <c:strCache>
                <c:ptCount val="1"/>
                <c:pt idx="0">
                  <c:v>成本变化下的税前 NPV</c:v>
                </c:pt>
              </c:strCache>
            </c:strRef>
          </c:tx>
          <c:spPr>
            <a:ln w="31750" cap="rnd">
              <a:solidFill>
                <a:schemeClr val="accent1"/>
              </a:solidFill>
              <a:round/>
            </a:ln>
            <a:effectLst>
              <a:outerShdw blurRad="40000" dist="23000" dir="5400000" rotWithShape="0">
                <a:schemeClr val="accent1">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Sheet1!$B$11:$F$11</c:f>
              <c:numCache>
                <c:formatCode>General</c:formatCode>
                <c:ptCount val="5"/>
                <c:pt idx="0" c:formatCode="General">
                  <c:v>1036505</c:v>
                </c:pt>
                <c:pt idx="1" c:formatCode="General">
                  <c:v>1146945</c:v>
                </c:pt>
                <c:pt idx="2" c:formatCode="General">
                  <c:v>1257385</c:v>
                </c:pt>
                <c:pt idx="3" c:formatCode="General">
                  <c:v>1367825</c:v>
                </c:pt>
                <c:pt idx="4" c:formatCode="General">
                  <c:v>1478265</c:v>
                </c:pt>
              </c:numCache>
            </c:numRef>
          </c:val>
          <c:smooth val="0"/>
        </c:ser>
        <c:ser>
          <c:idx val="1"/>
          <c:order val="1"/>
          <c:tx>
            <c:strRef>
              <c:f>Sheet1!$A$12</c:f>
              <c:strCache>
                <c:ptCount val="1"/>
                <c:pt idx="0">
                  <c:v>收益变化下的税前 NPV</c:v>
                </c:pt>
              </c:strCache>
            </c:strRef>
          </c:tx>
          <c:spPr>
            <a:ln w="31750" cap="rnd">
              <a:solidFill>
                <a:schemeClr val="accent2"/>
              </a:solidFill>
              <a:round/>
            </a:ln>
            <a:effectLst>
              <a:outerShdw blurRad="40000" dist="23000" dir="5400000" rotWithShape="0">
                <a:schemeClr val="accent2">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Sheet1!$B$12:$F$12</c:f>
              <c:numCache>
                <c:formatCode>General</c:formatCode>
                <c:ptCount val="5"/>
                <c:pt idx="0" c:formatCode="General">
                  <c:v>889082</c:v>
                </c:pt>
                <c:pt idx="1" c:formatCode="General">
                  <c:v>1073233</c:v>
                </c:pt>
                <c:pt idx="2" c:formatCode="General">
                  <c:v>1257385</c:v>
                </c:pt>
                <c:pt idx="3" c:formatCode="General">
                  <c:v>1441537</c:v>
                </c:pt>
                <c:pt idx="4" c:formatCode="General">
                  <c:v>1625688</c:v>
                </c:pt>
              </c:numCache>
            </c:numRef>
          </c:val>
          <c:smooth val="0"/>
        </c:ser>
        <c:dLbls>
          <c:dLblPos val="r"/>
          <c:showLegendKey val="0"/>
          <c:showVal val="0"/>
          <c:showCatName val="0"/>
          <c:showSerName val="0"/>
          <c:showPercent val="0"/>
          <c:showBubbleSize val="0"/>
        </c:dLbls>
        <c:marker val="0"/>
        <c:smooth val="0"/>
        <c:axId val="930514944"/>
        <c:axId val="221296164"/>
      </c:lineChart>
      <c:catAx>
        <c:axId val="9305149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221296164"/>
        <c:crosses val="autoZero"/>
        <c:auto val="1"/>
        <c:lblAlgn val="ctr"/>
        <c:lblOffset val="100"/>
        <c:tickMarkSkip val="1"/>
        <c:noMultiLvlLbl val="0"/>
      </c:catAx>
      <c:valAx>
        <c:axId val="221296164"/>
        <c:scaling>
          <c:orientation val="minMax"/>
          <c:min val="888066"/>
        </c:scaling>
        <c:delete val="0"/>
        <c:axPos val="l"/>
        <c:majorGridlines>
          <c:spPr>
            <a:noFill/>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93051494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2"/>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总资产报酬率</c:v>
                </c:pt>
              </c:strCache>
            </c:strRef>
          </c:tx>
          <c:spPr>
            <a:solidFill>
              <a:schemeClr val="accent1"/>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Sheet1!$B$2:$B$6</c:f>
              <c:numCache>
                <c:formatCode>0%</c:formatCode>
                <c:ptCount val="5"/>
                <c:pt idx="0">
                  <c:v>0.5</c:v>
                </c:pt>
                <c:pt idx="1">
                  <c:v>0.45</c:v>
                </c:pt>
                <c:pt idx="2">
                  <c:v>0.91</c:v>
                </c:pt>
                <c:pt idx="3">
                  <c:v>0.82</c:v>
                </c:pt>
                <c:pt idx="4">
                  <c:v>0.95</c:v>
                </c:pt>
              </c:numCache>
            </c:numRef>
          </c:val>
        </c:ser>
        <c:ser>
          <c:idx val="1"/>
          <c:order val="1"/>
          <c:tx>
            <c:strRef>
              <c:f>Sheet1!$C$1</c:f>
              <c:strCache>
                <c:ptCount val="1"/>
                <c:pt idx="0">
                  <c:v>净资产收益率</c:v>
                </c:pt>
              </c:strCache>
            </c:strRef>
          </c:tx>
          <c:spPr>
            <a:solidFill>
              <a:schemeClr val="accent3"/>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Sheet1!$C$2:$C$6</c:f>
              <c:numCache>
                <c:formatCode>0%</c:formatCode>
                <c:ptCount val="5"/>
                <c:pt idx="0">
                  <c:v>0.61</c:v>
                </c:pt>
                <c:pt idx="1">
                  <c:v>0.62</c:v>
                </c:pt>
                <c:pt idx="2">
                  <c:v>1.25</c:v>
                </c:pt>
                <c:pt idx="3">
                  <c:v>1.19</c:v>
                </c:pt>
                <c:pt idx="4">
                  <c:v>1.21</c:v>
                </c:pt>
              </c:numCache>
            </c:numRef>
          </c:val>
        </c:ser>
        <c:dLbls>
          <c:dLblPos val="outEnd"/>
          <c:showLegendKey val="0"/>
          <c:showVal val="0"/>
          <c:showCatName val="0"/>
          <c:showSerName val="0"/>
          <c:showPercent val="0"/>
          <c:showBubbleSize val="0"/>
        </c:dLbls>
        <c:gapWidth val="219"/>
        <c:overlap val="-27"/>
        <c:axId val="883826681"/>
        <c:axId val="113542544"/>
      </c:barChart>
      <c:catAx>
        <c:axId val="88382668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13542544"/>
        <c:crosses val="autoZero"/>
        <c:auto val="1"/>
        <c:lblAlgn val="ctr"/>
        <c:lblOffset val="100"/>
        <c:tickMarkSkip val="1"/>
        <c:noMultiLvlLbl val="0"/>
      </c:catAx>
      <c:valAx>
        <c:axId val="113542544"/>
        <c:scaling>
          <c:orientation val="minMax"/>
        </c:scaling>
        <c:delete val="0"/>
        <c:axPos val="l"/>
        <c:majorGridlines>
          <c:spPr>
            <a:noFill/>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883826681"/>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17611</Words>
  <Characters>19682</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2018-02-25T07:18:00Z</dcterms:created>
  <dc:creator>cgsdfc</dc:creator>
  <cp:lastModifiedBy>cgsdfc</cp:lastModifiedBy>
  <dcterms:modified xsi:type="dcterms:W3CDTF">2018-03-14T20:40:06Z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