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080000" cy="3810000"/>
            <wp:effectExtent l="4445" t="4445" r="2095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080000" cy="3810000"/>
            <wp:effectExtent l="4445" t="4445" r="2095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080000" cy="3810000"/>
            <wp:effectExtent l="4445" t="4445" r="2095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5080000" cy="3810000"/>
            <wp:effectExtent l="4445" t="4445" r="2095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/>
    </w:p>
    <w:p>
      <w:pPr/>
      <w:bookmarkStart w:id="0" w:name="_GoBack"/>
      <w:r>
        <w:drawing>
          <wp:inline distT="0" distB="0" distL="114300" distR="114300">
            <wp:extent cx="5080000" cy="3810000"/>
            <wp:effectExtent l="4445" t="4445" r="20955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7B71E"/>
    <w:rsid w:val="2F7E4D74"/>
    <w:rsid w:val="3ADF7493"/>
    <w:rsid w:val="4BFFB4A2"/>
    <w:rsid w:val="5DEFEB0D"/>
    <w:rsid w:val="5EBFBFB2"/>
    <w:rsid w:val="5F9FFD95"/>
    <w:rsid w:val="6EE638A6"/>
    <w:rsid w:val="6F7F5EE5"/>
    <w:rsid w:val="7BFE0218"/>
    <w:rsid w:val="7CFD3338"/>
    <w:rsid w:val="BBAF46BD"/>
    <w:rsid w:val="BEAD49AB"/>
    <w:rsid w:val="DDE76131"/>
    <w:rsid w:val="FC7FEEF9"/>
    <w:rsid w:val="FEE7B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中国餐饮行业营业额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快餐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4.3</c:v>
                </c:pt>
                <c:pt idx="1" c:formatCode="General">
                  <c:v>5.3</c:v>
                </c:pt>
                <c:pt idx="2" c:formatCode="General">
                  <c:v>6.2</c:v>
                </c:pt>
                <c:pt idx="3" c:formatCode="General">
                  <c:v>7.9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西餐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3.4</c:v>
                </c:pt>
                <c:pt idx="2" c:formatCode="General">
                  <c:v>4.5</c:v>
                </c:pt>
                <c:pt idx="3" c:formatCode="General">
                  <c:v>5.5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 c:formatCode="General">
                  <c:v>2</c:v>
                </c:pt>
                <c:pt idx="1" c:formatCode="General">
                  <c:v>3</c:v>
                </c:pt>
                <c:pt idx="2" c:formatCode="General">
                  <c:v>4</c:v>
                </c:pt>
                <c:pt idx="3" c:formatCode="General">
                  <c:v>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64190696"/>
        <c:axId val="432199537"/>
      </c:lineChart>
      <c:catAx>
        <c:axId val="964190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199537"/>
        <c:crosses val="autoZero"/>
        <c:auto val="1"/>
        <c:lblAlgn val="ctr"/>
        <c:lblOffset val="100"/>
        <c:tickMarkSkip val="1"/>
        <c:noMultiLvlLbl val="0"/>
      </c:catAx>
      <c:valAx>
        <c:axId val="432199537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4190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北上广深每年注册结婚人数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北京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2.3</c:v>
                </c:pt>
                <c:pt idx="1" c:formatCode="General">
                  <c:v>3.4</c:v>
                </c:pt>
                <c:pt idx="2" c:formatCode="General">
                  <c:v>4.5</c:v>
                </c:pt>
                <c:pt idx="3" c:formatCode="General">
                  <c:v>5.2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上海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2.5</c:v>
                </c:pt>
                <c:pt idx="2" c:formatCode="General">
                  <c:v>3.5</c:v>
                </c:pt>
                <c:pt idx="3" c:formatCode="General">
                  <c:v>4.5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广州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3.3</c:v>
                </c:pt>
                <c:pt idx="2" c:formatCode="General">
                  <c:v>4.5</c:v>
                </c:pt>
                <c:pt idx="3" c:formatCode="General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深圳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 c:formatCode="General">
                  <c:v>3.2</c:v>
                </c:pt>
                <c:pt idx="1" c:formatCode="General">
                  <c:v>3.5</c:v>
                </c:pt>
                <c:pt idx="2" c:formatCode="General">
                  <c:v>4.3</c:v>
                </c:pt>
                <c:pt idx="3" c:formatCode="General">
                  <c:v>5.3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600499"/>
        <c:axId val="574304056"/>
      </c:barChart>
      <c:catAx>
        <c:axId val="5996004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4304056"/>
        <c:crosses val="autoZero"/>
        <c:auto val="1"/>
        <c:lblAlgn val="ctr"/>
        <c:lblOffset val="100"/>
        <c:tickMarkSkip val="1"/>
        <c:noMultiLvlLbl val="0"/>
      </c:catAx>
      <c:valAx>
        <c:axId val="574304056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96004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400" b="0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市场份额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kern="12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1. 北京麦幼优儿童主题餐厅</c:v>
                </c:pt>
                <c:pt idx="1">
                  <c:v>上海芭迪熊儿童主题餐厅</c:v>
                </c:pt>
                <c:pt idx="2">
                  <c:v>广州熊猫餐厅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0.045</c:v>
                </c:pt>
                <c:pt idx="1">
                  <c:v>0.023</c:v>
                </c:pt>
                <c:pt idx="2">
                  <c:v>0.028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五年利润预估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净利润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c:formatCode="General">
                  <c:v>0</c:v>
                </c:pt>
                <c:pt idx="1" c:formatCode="General">
                  <c:v>83.16</c:v>
                </c:pt>
                <c:pt idx="2" c:formatCode="General">
                  <c:v>254737.39</c:v>
                </c:pt>
                <c:pt idx="3" c:formatCode="General">
                  <c:v>459077.59</c:v>
                </c:pt>
                <c:pt idx="4" c:formatCode="General">
                  <c:v>725544.51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利润总额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 c:formatCode="General">
                  <c:v>365976</c:v>
                </c:pt>
                <c:pt idx="1" c:formatCode="General">
                  <c:v>524306</c:v>
                </c:pt>
                <c:pt idx="2" c:formatCode="General">
                  <c:v>1133988</c:v>
                </c:pt>
                <c:pt idx="3" c:formatCode="General">
                  <c:v>1519336</c:v>
                </c:pt>
                <c:pt idx="4" c:formatCode="General">
                  <c:v>1993078.8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370453"/>
        <c:axId val="407030424"/>
      </c:barChart>
      <c:catAx>
        <c:axId val="18037045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030424"/>
        <c:crosses val="autoZero"/>
        <c:auto val="1"/>
        <c:lblAlgn val="ctr"/>
        <c:lblOffset val="100"/>
        <c:tickMarkSkip val="1"/>
        <c:noMultiLvlLbl val="0"/>
      </c:catAx>
      <c:valAx>
        <c:axId val="407030424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037045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经营活动现金流量预估</a:t>
            </a:r>
            <a:endParaRPr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现金流量净额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c:formatCode="General">
                  <c:v>1000</c:v>
                </c:pt>
                <c:pt idx="1" c:formatCode="General">
                  <c:v>1500</c:v>
                </c:pt>
                <c:pt idx="2" c:formatCode="General">
                  <c:v>2000</c:v>
                </c:pt>
                <c:pt idx="3" c:formatCode="General">
                  <c:v>3000</c:v>
                </c:pt>
                <c:pt idx="4" c:formatCode="General">
                  <c:v>5000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现金流入小计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 c:formatCode="General">
                  <c:v>2000</c:v>
                </c:pt>
                <c:pt idx="1" c:formatCode="General">
                  <c:v>3000</c:v>
                </c:pt>
                <c:pt idx="2" c:formatCode="General">
                  <c:v>4000</c:v>
                </c:pt>
                <c:pt idx="3" c:formatCode="General">
                  <c:v>8000</c:v>
                </c:pt>
                <c:pt idx="4" c:formatCode="General">
                  <c:v>11000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现金流出小计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 c:formatCode="General">
                  <c:v>1000</c:v>
                </c:pt>
                <c:pt idx="1" c:formatCode="General">
                  <c:v>1500</c:v>
                </c:pt>
                <c:pt idx="2" c:formatCode="General">
                  <c:v>2000</c:v>
                </c:pt>
                <c:pt idx="3" c:formatCode="General">
                  <c:v>5000</c:v>
                </c:pt>
                <c:pt idx="4" c:formatCode="General">
                  <c:v>6000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297702"/>
        <c:axId val="214580765"/>
      </c:lineChart>
      <c:catAx>
        <c:axId val="4882977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4580765"/>
        <c:crosses val="autoZero"/>
        <c:auto val="1"/>
        <c:lblAlgn val="ctr"/>
        <c:lblOffset val="100"/>
        <c:tickMarkSkip val="1"/>
        <c:noMultiLvlLbl val="0"/>
      </c:catAx>
      <c:valAx>
        <c:axId val="214580765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82977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2018-03-15T12:02:00Z</dcterms:created>
  <dc:creator>cgsdfc</dc:creator>
  <cp:lastModifiedBy>cgsdfc</cp:lastModifiedBy>
  <dcterms:modified xsi:type="dcterms:W3CDTF">2018-03-15T23:09:34Z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