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080000" cy="3810000"/>
            <wp:effectExtent l="4445" t="4445" r="2095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080000" cy="3810000"/>
            <wp:effectExtent l="4445" t="4445" r="2095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B71E"/>
    <w:rsid w:val="3ADF7493"/>
    <w:rsid w:val="5DEFEB0D"/>
    <w:rsid w:val="5EBFBFB2"/>
    <w:rsid w:val="6EE638A6"/>
    <w:rsid w:val="DDE76131"/>
    <w:rsid w:val="FEE7B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中国餐饮行业营业额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快餐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4.3</c:v>
                </c:pt>
                <c:pt idx="1" c:formatCode="General">
                  <c:v>5.3</c:v>
                </c:pt>
                <c:pt idx="2" c:formatCode="General">
                  <c:v>6.2</c:v>
                </c:pt>
                <c:pt idx="3" c:formatCode="General">
                  <c:v>7.9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西餐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3.4</c:v>
                </c:pt>
                <c:pt idx="2" c:formatCode="General">
                  <c:v>4.5</c:v>
                </c:pt>
                <c:pt idx="3" c:formatCode="General">
                  <c:v>5.5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</c:v>
                </c:pt>
                <c:pt idx="1" c:formatCode="General">
                  <c:v>3</c:v>
                </c:pt>
                <c:pt idx="2" c:formatCode="General">
                  <c:v>4</c:v>
                </c:pt>
                <c:pt idx="3" c:formatCode="General">
                  <c:v>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64190696"/>
        <c:axId val="432199537"/>
      </c:lineChart>
      <c:catAx>
        <c:axId val="964190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199537"/>
        <c:crosses val="autoZero"/>
        <c:auto val="1"/>
        <c:lblAlgn val="ctr"/>
        <c:lblOffset val="100"/>
        <c:tickMarkSkip val="1"/>
        <c:noMultiLvlLbl val="0"/>
      </c:catAx>
      <c:valAx>
        <c:axId val="432199537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4190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北上广深每年注册结婚人数</a:t>
            </a:r>
            <a:endParaRPr lang="x-none"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北京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2.3</c:v>
                </c:pt>
                <c:pt idx="1" c:formatCode="General">
                  <c:v>3.4</c:v>
                </c:pt>
                <c:pt idx="2" c:formatCode="General">
                  <c:v>4.5</c:v>
                </c:pt>
                <c:pt idx="3" c:formatCode="General">
                  <c:v>5.2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上海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2.5</c:v>
                </c:pt>
                <c:pt idx="2" c:formatCode="General">
                  <c:v>3.5</c:v>
                </c:pt>
                <c:pt idx="3" c:formatCode="General">
                  <c:v>4.5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广州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3.3</c:v>
                </c:pt>
                <c:pt idx="2" c:formatCode="General">
                  <c:v>4.5</c:v>
                </c:pt>
                <c:pt idx="3" c:formatCode="General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深圳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 c:formatCode="General">
                  <c:v>3.2</c:v>
                </c:pt>
                <c:pt idx="1" c:formatCode="General">
                  <c:v>3.5</c:v>
                </c:pt>
                <c:pt idx="2" c:formatCode="General">
                  <c:v>4.3</c:v>
                </c:pt>
                <c:pt idx="3" c:formatCode="General">
                  <c:v>5.3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600499"/>
        <c:axId val="574304056"/>
      </c:barChart>
      <c:catAx>
        <c:axId val="5996004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4304056"/>
        <c:crosses val="autoZero"/>
        <c:auto val="1"/>
        <c:lblAlgn val="ctr"/>
        <c:lblOffset val="100"/>
        <c:tickMarkSkip val="1"/>
        <c:noMultiLvlLbl val="0"/>
      </c:catAx>
      <c:valAx>
        <c:axId val="57430405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96004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2018-03-14T20:02:00Z</dcterms:created>
  <dc:creator>cgsdfc</dc:creator>
  <cp:lastModifiedBy>cgsdfc</cp:lastModifiedBy>
  <dcterms:modified xsi:type="dcterms:W3CDTF">2018-03-14T20:40:07Z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