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4"/>
        </w:rPr>
        <w:t>ANALISIS COMPARATIVO</w:t>
      </w:r>
    </w:p>
    <w:p>
      <w:pPr>
        <w:jc w:val="center"/>
      </w:pPr>
      <w:r>
        <w:rPr>
          <w:b/>
          <w:color w:val="2E75B6"/>
          <w:sz w:val="30"/>
        </w:rPr>
        <w:t>SAP CAR UDF  vs  Modelo de Prediccion Custom en SAP AI Core</w:t>
      </w:r>
    </w:p>
    <w:p/>
    <w:p>
      <w:pPr>
        <w:jc w:val="center"/>
      </w:pPr>
      <w:r>
        <w:rPr>
          <w:color w:val="404040"/>
          <w:sz w:val="24"/>
        </w:rPr>
        <w:t>Cliente: Grupo Ramos — Republica Dominicana</w:t>
      </w:r>
    </w:p>
    <w:p>
      <w:pPr>
        <w:jc w:val="center"/>
      </w:pPr>
      <w:r>
        <w:rPr>
          <w:color w:val="606060"/>
          <w:sz w:val="22"/>
        </w:rPr>
        <w:t>Proyecto: Sistema de Prediccion de Consumo de Materiales</w:t>
      </w:r>
    </w:p>
    <w:p>
      <w:pPr>
        <w:jc w:val="center"/>
      </w:pPr>
      <w:r>
        <w:rPr>
          <w:color w:val="606060"/>
          <w:sz w:val="22"/>
        </w:rPr>
        <w:t>Octubre 2026</w:t>
      </w:r>
    </w:p>
    <w:p>
      <w:r>
        <w:br w:type="page"/>
      </w:r>
    </w:p>
    <w:p>
      <w:pPr>
        <w:pStyle w:val="Heading1"/>
      </w:pPr>
      <w:r>
        <w:t>1. Contexto</w:t>
      </w:r>
    </w:p>
    <w:p>
      <w:r>
        <w:t>Grupo Ramos opera La Sirena y Supermercados Nacional, dos de las cadenas de gran superficie mas importantes de Republica Dominicana. El presente documento evalua dos alternativas tecnologicas para implementar un sistema de prediccion de consumo y demanda de materiales: la funcionalidad estandar SAP CAR UDF (Unified Demand Forecast) y un modelo de Machine Learning custom desplegado sobre SAP AI Core con backend SAP CAP (Node.js).</w:t>
      </w:r>
    </w:p>
    <w:p>
      <w:pPr>
        <w:pStyle w:val="Heading1"/>
      </w:pPr>
      <w:r>
        <w:t>2. SAP CAR UDF — Unified Demand Forecast</w:t>
      </w:r>
    </w:p>
    <w:p>
      <w:r>
        <w:t>UDF es la funcionalidad de forecasting estadistico de SAP Customer Activity Repository (CAR). Utiliza modelos de series de tiempo como Holt-Winters, Croston (demanda esporadica) y regresiones lineales. Se integra nativamente con el ecosistema SAP (MM, MRP, IBP) y opera sobre los datos que fluyen a traves de los canales estandar de SAP.</w:t>
      </w:r>
    </w:p>
    <w:p>
      <w:r>
        <w:rPr>
          <w:b/>
        </w:rPr>
        <w:t>Fortalezas principales:</w:t>
      </w:r>
    </w:p>
    <w:p>
      <w:pPr>
        <w:pStyle w:val="ListBullet"/>
      </w:pPr>
      <w:r>
        <w:t>Soporte oficial SAP: mantenimiento, upgrades y notas OSS incluidas.</w:t>
      </w:r>
    </w:p>
    <w:p>
      <w:pPr>
        <w:pStyle w:val="ListBullet"/>
      </w:pPr>
      <w:r>
        <w:t>Integracion nativa con MM, MRP e IBP sin desarrollo adicional.</w:t>
      </w:r>
    </w:p>
    <w:p>
      <w:pPr>
        <w:pStyle w:val="ListBullet"/>
      </w:pPr>
      <w:r>
        <w:t>Madurez operacional: manejo de outliers, model selection, workflows de override.</w:t>
      </w:r>
    </w:p>
    <w:p>
      <w:pPr>
        <w:pStyle w:val="ListBullet"/>
      </w:pPr>
      <w:r>
        <w:t>KPIs de accuracy y dashboards incorporados.</w:t>
      </w:r>
    </w:p>
    <w:p>
      <w:pPr>
        <w:pStyle w:val="ListBullet"/>
      </w:pPr>
      <w:r>
        <w:t>Disenado para escala enterprise con miles de SKUs.</w:t>
      </w:r>
    </w:p>
    <w:p>
      <w:pPr>
        <w:pStyle w:val="Heading1"/>
      </w:pPr>
      <w:r>
        <w:t>3. Modelo Custom — RandomForest en SAP AI Core</w:t>
      </w:r>
    </w:p>
    <w:p>
      <w:r>
        <w:t>El modelo custom utiliza RandomForest (scikit-learn) entrenado y desplegado sobre SAP AI Core (Argo Workflows para entrenamiento, KServe para serving). El backend es SAP CAP con servicio OData V4. La arquitectura permite incorporar cualquier senal de negocio como feature de entrenamiento, capturando interacciones no-lineales imposibles de modelar con estadistica clasica.</w:t>
      </w:r>
    </w:p>
    <w:p>
      <w:r>
        <w:rPr>
          <w:b/>
        </w:rPr>
        <w:t>Fortalezas principales:</w:t>
      </w:r>
    </w:p>
    <w:p>
      <w:pPr>
        <w:pStyle w:val="ListBullet"/>
      </w:pPr>
      <w:r>
        <w:t>Features de negocio propios: quincenas, Regalia Pascual, alertas de huracan, remesas, temporada turistica, etc.</w:t>
      </w:r>
    </w:p>
    <w:p>
      <w:pPr>
        <w:pStyle w:val="ListBullet"/>
      </w:pPr>
      <w:r>
        <w:t>Modelo no-lineal: captura interacciones entre variables que UDF no puede detectar.</w:t>
      </w:r>
    </w:p>
    <w:p>
      <w:pPr>
        <w:pStyle w:val="ListBullet"/>
      </w:pPr>
      <w:r>
        <w:t>Explicabilidad (feature importance): cuantifica el impacto de cada senal de negocio.</w:t>
      </w:r>
    </w:p>
    <w:p>
      <w:pPr>
        <w:pStyle w:val="ListBullet"/>
      </w:pPr>
      <w:r>
        <w:t>Reentrenamiento bajo demanda con nuevos datos o nuevas features.</w:t>
      </w:r>
    </w:p>
    <w:p>
      <w:pPr>
        <w:pStyle w:val="ListBullet"/>
      </w:pPr>
      <w:r>
        <w:t>Integracion de datos externos de cualquier fuente: APIs de clima, indicadores economicos, promociones.</w:t>
      </w:r>
    </w:p>
    <w:p>
      <w:pPr>
        <w:pStyle w:val="ListBullet"/>
      </w:pPr>
      <w:r>
        <w:t>Diferenciacion geografica por tienda o region dentro del mismo modelo.</w:t>
      </w:r>
    </w:p>
    <w:p>
      <w:pPr>
        <w:pStyle w:val="ListBullet"/>
      </w:pPr>
      <w:r>
        <w:t>Aprendizaje de comportamientos distintos por categoria de producto.</w:t>
      </w:r>
    </w:p>
    <w:p>
      <w:pPr>
        <w:pStyle w:val="Heading1"/>
      </w:pPr>
      <w:r>
        <w:t>4. Diferencia de Orientacion</w:t>
      </w:r>
    </w:p>
    <w:p>
      <w:r>
        <w:t>Ambas soluciones generan forecasts hacia el futuro y pueden alimentar procesos proactivos de reabastecimiento. Sin embargo, difieren en su fuente de datos, arquitectura y el tipo de pregunta de negocio que responden.</w:t>
      </w:r>
    </w:p>
    <w:p>
      <w:r>
        <w:rPr>
          <w:b/>
        </w:rPr>
        <w:t xml:space="preserve">UDF — Forecast basado en ventas del POS: </w:t>
      </w:r>
      <w:r>
        <w:t>UDF se alimenta de los datos de venta que salen en caja. Genera un forecast de demanda futura que, conectado con MRP e IBP, puede disparar ordenes de compra preventivas. Adicionalmente genera alertas cuando las ventas reales se desvian del forecast — ese mecanismo especifico si es reactivo (el evento ya ocurrio en caja), pero el forecast en si mismo es prospectivo. Su limitacion no es la direccion temporal sino la calidad de las senales que puede incorporar.</w:t>
      </w:r>
    </w:p>
    <w:p>
      <w:r>
        <w:rPr>
          <w:b/>
        </w:rPr>
        <w:t xml:space="preserve">Modelo Custom — Forecast basado en consumo e inventario proyectado: </w:t>
      </w:r>
      <w:r>
        <w:t>El modelo predice consumo futuro incorporando senales de negocio propias (Regalia Pascual, quincenas, temporada turistica, alertas de huracan). Genera directamente una proyeccion de insuficiencia de inventario antes de que ocurra el desabastecimiento, con suficiente anticipacion para activar una orden de compra dentro del lead time del proveedor. La pregunta que responde es: "en cuantos dias nos quedaremos sin stock de este producto si no compramos hoy" — y lo hace con mejor precision porque conoce los eventos que mueven la demanda en el mercado dominicano.</w:t>
      </w:r>
    </w:p>
    <w:p>
      <w:r>
        <w:rPr>
          <w:b/>
        </w:rPr>
        <w:t xml:space="preserve">Nota sobre la cadena SAP: </w:t>
      </w:r>
      <w:r>
        <w:t>Para que UDF sea proactivo requiere la cadena completa: UDF conectado con MRP e IBP. El modelo custom opera de forma mas directa integrando CAP con el sistema de compras. Ninguno de estos enfoques es superior en si mismo — son arquitecturas distintas con diferentes requisitos de infraestructura SAP.</w:t>
      </w:r>
    </w:p>
    <w:p/>
    <w:p>
      <w:pPr>
        <w:pStyle w:val="Heading1"/>
      </w:pPr>
      <w:r>
        <w:t>5. El Argumento Clave — La Regalia Pascual</w:t>
      </w:r>
    </w:p>
    <w:p>
      <w:r>
        <w:t>La Regalia Pascual es un bono salarial obligatorio establecido por ley dominicana, pagado durante la Semana Santa. Genera un pico de consumo predecible y recurrente en todas las tiendas de gran superficie de la Republica Dominicana.</w:t>
      </w:r>
    </w:p>
    <w:p>
      <w:r>
        <w:rPr>
          <w:b/>
        </w:rPr>
        <w:t xml:space="preserve">Este evento no existe en ningun calendario SAP estandar. </w:t>
      </w:r>
      <w:r>
        <w:t>UDF lo veria como ruido o como un outlier historico sin explicacion. El modelo custom, con una unica columna is_regalia_pascual en el dataset de entrenamiento, aprende y anticipa este pico con exactitud. Este solo argumento representa una limitacion estructural de UDF que no puede resolverse con configuracion estandar. Lo mismo aplica para las quincenas, las remesas de la diaspora y las alertas de huracan — senales completamente fuera del universo de UDF.</w:t>
      </w:r>
    </w:p>
    <w:p/>
    <w:p>
      <w:pPr>
        <w:pStyle w:val="Heading1"/>
      </w:pPr>
      <w:r>
        <w:t>6. Tabla Comparativa de Capacidades</w:t>
      </w:r>
    </w:p>
    <w:p>
      <w:r>
        <w:t xml:space="preserve">La tabla compara ambas soluciones en seis dimensiones. </w:t>
      </w:r>
      <w:r>
        <w:rPr>
          <w:b/>
          <w:color w:val="375823"/>
        </w:rPr>
        <w:t xml:space="preserve">Verde = Soportado nativo. </w:t>
      </w:r>
      <w:r>
        <w:rPr>
          <w:b/>
          <w:color w:val="9C0006"/>
        </w:rPr>
        <w:t xml:space="preserve">Rojo = No soportado. </w:t>
      </w:r>
      <w:r>
        <w:rPr>
          <w:b/>
          <w:color w:val="744B00"/>
        </w:rPr>
        <w:t>Amarillo = Parcial / con esfuerzo adicional.</w:t>
      </w:r>
    </w:p>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1F4E79"/>
          </w:tcPr>
          <w:p>
            <w:pPr>
              <w:jc w:val="center"/>
            </w:pPr>
            <w:r>
              <w:rPr>
                <w:b/>
                <w:color w:val="FFFFFF"/>
                <w:sz w:val="20"/>
              </w:rPr>
              <w:t>Capacidad / Caracteristica</w:t>
            </w:r>
          </w:p>
        </w:tc>
        <w:tc>
          <w:tcPr>
            <w:tcW w:type="dxa" w:w="2154"/>
            <w:shd w:val="clear" w:color="auto" w:fill="1F4E79"/>
          </w:tcPr>
          <w:p>
            <w:pPr>
              <w:jc w:val="center"/>
            </w:pPr>
            <w:r>
              <w:rPr>
                <w:b/>
                <w:color w:val="FFFFFF"/>
                <w:sz w:val="20"/>
              </w:rPr>
              <w:t>SAP CAR UDF</w:t>
            </w:r>
          </w:p>
        </w:tc>
        <w:tc>
          <w:tcPr>
            <w:tcW w:type="dxa" w:w="2665"/>
            <w:shd w:val="clear" w:color="auto" w:fill="1F4E79"/>
          </w:tcPr>
          <w:p>
            <w:pPr>
              <w:jc w:val="center"/>
            </w:pPr>
            <w:r>
              <w:rPr>
                <w:b/>
                <w:color w:val="FFFFFF"/>
                <w:sz w:val="20"/>
              </w:rPr>
              <w:t>Modelo Custom</w:t>
              <w:br/>
              <w:t>(SAP AI Core)</w:t>
            </w:r>
          </w:p>
        </w:tc>
      </w:tr>
      <w:tr>
        <w:tc>
          <w:tcPr>
            <w:tcW w:type="dxa" w:w="9405"/>
            <w:gridSpan w:val="3"/>
            <w:shd w:val="clear" w:color="auto" w:fill="D6E4F0"/>
          </w:tcPr>
          <w:p>
            <w:pPr>
              <w:jc w:val="left"/>
            </w:pPr>
            <w:r>
              <w:rPr>
                <w:b/>
                <w:color w:val="1F4E79"/>
                <w:sz w:val="18"/>
              </w:rPr>
              <w:t>CALENDARIO Y FECHAS ESPECIALES</w:t>
            </w:r>
          </w:p>
        </w:tc>
      </w:tr>
      <w:tr>
        <w:tc>
          <w:tcPr>
            <w:tcW w:type="dxa" w:w="4535"/>
            <w:shd w:val="clear" w:color="auto" w:fill="FFFFFF"/>
          </w:tcPr>
          <w:p>
            <w:pPr>
              <w:jc w:val="left"/>
            </w:pPr>
            <w:r>
              <w:rPr>
                <w:color w:val="202020"/>
                <w:sz w:val="18"/>
              </w:rPr>
              <w:t>Feriados nacionales estandar</w:t>
            </w:r>
          </w:p>
        </w:tc>
        <w:tc>
          <w:tcPr>
            <w:tcW w:type="dxa" w:w="2154"/>
            <w:shd w:val="clear" w:color="auto" w:fill="C6EFCE"/>
          </w:tcPr>
          <w:p>
            <w:pPr>
              <w:jc w:val="center"/>
            </w:pPr>
            <w:r>
              <w:rPr>
                <w:b/>
                <w:color w:val="375823"/>
                <w:sz w:val="18"/>
              </w:rPr>
              <w:t>✓</w:t>
            </w:r>
            <w:r>
              <w:rPr>
                <w:b w:val="0"/>
                <w:i/>
                <w:color w:val="375823"/>
                <w:sz w:val="14"/>
              </w:rPr>
              <w:br/>
              <w:t>Via SAP Factory Calendar</w:t>
            </w:r>
          </w:p>
        </w:tc>
        <w:tc>
          <w:tcPr>
            <w:tcW w:type="dxa" w:w="2665"/>
            <w:shd w:val="clear" w:color="auto" w:fill="C6EFCE"/>
          </w:tcPr>
          <w:p>
            <w:pPr>
              <w:jc w:val="center"/>
            </w:pPr>
            <w:r>
              <w:rPr>
                <w:b/>
                <w:color w:val="375823"/>
                <w:sz w:val="18"/>
              </w:rPr>
              <w:t>✓</w:t>
            </w:r>
            <w:r>
              <w:rPr>
                <w:b w:val="0"/>
                <w:i/>
                <w:color w:val="375823"/>
                <w:sz w:val="14"/>
              </w:rPr>
              <w:br/>
              <w:t>Feature en entrenamiento</w:t>
            </w:r>
          </w:p>
        </w:tc>
      </w:tr>
      <w:tr>
        <w:tc>
          <w:tcPr>
            <w:tcW w:type="dxa" w:w="4535"/>
            <w:shd w:val="clear" w:color="auto" w:fill="FFFFFF"/>
          </w:tcPr>
          <w:p>
            <w:pPr>
              <w:jc w:val="left"/>
            </w:pPr>
            <w:r>
              <w:rPr>
                <w:color w:val="202020"/>
                <w:sz w:val="18"/>
              </w:rPr>
              <w:t>Dias de pago / quincenas (15 y ultimo del mes)</w:t>
            </w:r>
          </w:p>
        </w:tc>
        <w:tc>
          <w:tcPr>
            <w:tcW w:type="dxa" w:w="2154"/>
            <w:shd w:val="clear" w:color="auto" w:fill="FFC7CE"/>
          </w:tcPr>
          <w:p>
            <w:pPr>
              <w:jc w:val="center"/>
            </w:pPr>
            <w:r>
              <w:rPr>
                <w:b/>
                <w:color w:val="9C0006"/>
                <w:sz w:val="18"/>
              </w:rPr>
              <w:t>✗</w:t>
            </w:r>
            <w:r>
              <w:rPr>
                <w:b w:val="0"/>
                <w:i/>
                <w:color w:val="9C0006"/>
                <w:sz w:val="14"/>
              </w:rPr>
              <w:br/>
              <w:t>El concepto no existe en UDF</w:t>
            </w:r>
          </w:p>
        </w:tc>
        <w:tc>
          <w:tcPr>
            <w:tcW w:type="dxa" w:w="2665"/>
            <w:shd w:val="clear" w:color="auto" w:fill="C6EFCE"/>
          </w:tcPr>
          <w:p>
            <w:pPr>
              <w:jc w:val="center"/>
            </w:pPr>
            <w:r>
              <w:rPr>
                <w:b/>
                <w:color w:val="375823"/>
                <w:sz w:val="18"/>
              </w:rPr>
              <w:t>✓</w:t>
            </w:r>
            <w:r>
              <w:rPr>
                <w:b w:val="0"/>
                <w:i/>
                <w:color w:val="375823"/>
                <w:sz w:val="14"/>
              </w:rPr>
              <w:br/>
              <w:t>Feature directo de entrenamiento</w:t>
            </w:r>
          </w:p>
        </w:tc>
      </w:tr>
      <w:tr>
        <w:tc>
          <w:tcPr>
            <w:tcW w:type="dxa" w:w="4535"/>
            <w:shd w:val="clear" w:color="auto" w:fill="FFFFFF"/>
          </w:tcPr>
          <w:p>
            <w:pPr>
              <w:jc w:val="left"/>
            </w:pPr>
            <w:r>
              <w:rPr>
                <w:color w:val="202020"/>
                <w:sz w:val="18"/>
              </w:rPr>
              <w:t>Regalia Pascual (bono obligatorio — exclusivo RD)</w:t>
            </w:r>
          </w:p>
        </w:tc>
        <w:tc>
          <w:tcPr>
            <w:tcW w:type="dxa" w:w="2154"/>
            <w:shd w:val="clear" w:color="auto" w:fill="FFC7CE"/>
          </w:tcPr>
          <w:p>
            <w:pPr>
              <w:jc w:val="center"/>
            </w:pPr>
            <w:r>
              <w:rPr>
                <w:b/>
                <w:color w:val="9C0006"/>
                <w:sz w:val="18"/>
              </w:rPr>
              <w:t>✗</w:t>
            </w:r>
            <w:r>
              <w:rPr>
                <w:b w:val="0"/>
                <w:i/>
                <w:color w:val="9C0006"/>
                <w:sz w:val="14"/>
              </w:rPr>
              <w:br/>
              <w:t>No existe en ningun calendario SAP</w:t>
            </w:r>
          </w:p>
        </w:tc>
        <w:tc>
          <w:tcPr>
            <w:tcW w:type="dxa" w:w="2665"/>
            <w:shd w:val="clear" w:color="auto" w:fill="C6EFCE"/>
          </w:tcPr>
          <w:p>
            <w:pPr>
              <w:jc w:val="center"/>
            </w:pPr>
            <w:r>
              <w:rPr>
                <w:b/>
                <w:color w:val="375823"/>
                <w:sz w:val="18"/>
              </w:rPr>
              <w:t>✓</w:t>
            </w:r>
            <w:r>
              <w:rPr>
                <w:b w:val="0"/>
                <w:i/>
                <w:color w:val="375823"/>
                <w:sz w:val="14"/>
              </w:rPr>
              <w:br/>
              <w:t>Feature personalizado para RD</w:t>
            </w:r>
          </w:p>
        </w:tc>
      </w:tr>
      <w:tr>
        <w:tc>
          <w:tcPr>
            <w:tcW w:type="dxa" w:w="4535"/>
            <w:shd w:val="clear" w:color="auto" w:fill="FFFFFF"/>
          </w:tcPr>
          <w:p>
            <w:pPr>
              <w:jc w:val="left"/>
            </w:pPr>
            <w:r>
              <w:rPr>
                <w:color w:val="202020"/>
                <w:sz w:val="18"/>
              </w:rPr>
              <w:t>Dia de las Madres (mayor pico comercial en RD)</w:t>
            </w:r>
          </w:p>
        </w:tc>
        <w:tc>
          <w:tcPr>
            <w:tcW w:type="dxa" w:w="2154"/>
            <w:shd w:val="clear" w:color="auto" w:fill="FFC7CE"/>
          </w:tcPr>
          <w:p>
            <w:pPr>
              <w:jc w:val="center"/>
            </w:pPr>
            <w:r>
              <w:rPr>
                <w:b/>
                <w:color w:val="9C0006"/>
                <w:sz w:val="18"/>
              </w:rPr>
              <w:t>✗</w:t>
            </w:r>
            <w:r>
              <w:rPr>
                <w:b w:val="0"/>
                <w:i/>
                <w:color w:val="9C0006"/>
                <w:sz w:val="14"/>
              </w:rPr>
              <w:br/>
              <w:t>No configurable como evento de demanda</w:t>
            </w:r>
          </w:p>
        </w:tc>
        <w:tc>
          <w:tcPr>
            <w:tcW w:type="dxa" w:w="2665"/>
            <w:shd w:val="clear" w:color="auto" w:fill="C6EFCE"/>
          </w:tcPr>
          <w:p>
            <w:pPr>
              <w:jc w:val="center"/>
            </w:pPr>
            <w:r>
              <w:rPr>
                <w:b/>
                <w:color w:val="375823"/>
                <w:sz w:val="18"/>
              </w:rPr>
              <w:t>✓</w:t>
            </w:r>
            <w:r>
              <w:rPr>
                <w:b w:val="0"/>
                <w:i/>
                <w:color w:val="375823"/>
                <w:sz w:val="14"/>
              </w:rPr>
              <w:br/>
              <w:t>Alta importancia esperada en el modelo</w:t>
            </w:r>
          </w:p>
        </w:tc>
      </w:tr>
      <w:tr>
        <w:tc>
          <w:tcPr>
            <w:tcW w:type="dxa" w:w="4535"/>
            <w:shd w:val="clear" w:color="auto" w:fill="FFFFFF"/>
          </w:tcPr>
          <w:p>
            <w:pPr>
              <w:jc w:val="left"/>
            </w:pPr>
            <w:r>
              <w:rPr>
                <w:color w:val="202020"/>
                <w:sz w:val="18"/>
              </w:rPr>
              <w:t>Carnaval (Santiago, La Vega — febrero)</w:t>
            </w:r>
          </w:p>
        </w:tc>
        <w:tc>
          <w:tcPr>
            <w:tcW w:type="dxa" w:w="2154"/>
            <w:shd w:val="clear" w:color="auto" w:fill="FFC7CE"/>
          </w:tcPr>
          <w:p>
            <w:pPr>
              <w:jc w:val="center"/>
            </w:pPr>
            <w:r>
              <w:rPr>
                <w:b/>
                <w:color w:val="9C0006"/>
                <w:sz w:val="18"/>
              </w:rPr>
              <w:t>✗</w:t>
            </w:r>
            <w:r>
              <w:rPr>
                <w:b w:val="0"/>
                <w:i/>
                <w:color w:val="9C0006"/>
                <w:sz w:val="14"/>
              </w:rPr>
              <w:br/>
              <w:t>Sin soporte regional/cultural</w:t>
            </w:r>
          </w:p>
        </w:tc>
        <w:tc>
          <w:tcPr>
            <w:tcW w:type="dxa" w:w="2665"/>
            <w:shd w:val="clear" w:color="auto" w:fill="C6EFCE"/>
          </w:tcPr>
          <w:p>
            <w:pPr>
              <w:jc w:val="center"/>
            </w:pPr>
            <w:r>
              <w:rPr>
                <w:b/>
                <w:color w:val="375823"/>
                <w:sz w:val="18"/>
              </w:rPr>
              <w:t>✓</w:t>
            </w:r>
            <w:r>
              <w:rPr>
                <w:b w:val="0"/>
                <w:i/>
                <w:color w:val="375823"/>
                <w:sz w:val="14"/>
              </w:rPr>
              <w:br/>
              <w:t>Feature regional por ciudad/tienda</w:t>
            </w:r>
          </w:p>
        </w:tc>
      </w:tr>
      <w:tr>
        <w:tc>
          <w:tcPr>
            <w:tcW w:type="dxa" w:w="4535"/>
            <w:shd w:val="clear" w:color="auto" w:fill="FFFFFF"/>
          </w:tcPr>
          <w:p>
            <w:pPr>
              <w:jc w:val="left"/>
            </w:pPr>
            <w:r>
              <w:rPr>
                <w:color w:val="202020"/>
                <w:sz w:val="18"/>
              </w:rPr>
              <w:t>Semana Santa</w:t>
            </w:r>
          </w:p>
        </w:tc>
        <w:tc>
          <w:tcPr>
            <w:tcW w:type="dxa" w:w="2154"/>
            <w:shd w:val="clear" w:color="auto" w:fill="FFEB9C"/>
          </w:tcPr>
          <w:p>
            <w:pPr>
              <w:jc w:val="center"/>
            </w:pPr>
            <w:r>
              <w:rPr>
                <w:b/>
                <w:color w:val="744B00"/>
                <w:sz w:val="18"/>
              </w:rPr>
              <w:t>~</w:t>
            </w:r>
            <w:r>
              <w:rPr>
                <w:b w:val="0"/>
                <w:i/>
                <w:color w:val="744B00"/>
                <w:sz w:val="14"/>
              </w:rPr>
              <w:br/>
              <w:t>Solo como feriado, efecto de demanda parcial</w:t>
            </w:r>
          </w:p>
        </w:tc>
        <w:tc>
          <w:tcPr>
            <w:tcW w:type="dxa" w:w="2665"/>
            <w:shd w:val="clear" w:color="auto" w:fill="C6EFCE"/>
          </w:tcPr>
          <w:p>
            <w:pPr>
              <w:jc w:val="center"/>
            </w:pPr>
            <w:r>
              <w:rPr>
                <w:b/>
                <w:color w:val="375823"/>
                <w:sz w:val="18"/>
              </w:rPr>
              <w:t>✓</w:t>
            </w:r>
            <w:r>
              <w:rPr>
                <w:b w:val="0"/>
                <w:i/>
                <w:color w:val="375823"/>
                <w:sz w:val="14"/>
              </w:rPr>
              <w:br/>
              <w:t>Captura duracion + interaccion con Regalia Pascual</w:t>
            </w:r>
          </w:p>
        </w:tc>
      </w:tr>
      <w:tr>
        <w:tc>
          <w:tcPr>
            <w:tcW w:type="dxa" w:w="4535"/>
            <w:shd w:val="clear" w:color="auto" w:fill="FFFFFF"/>
          </w:tcPr>
          <w:p>
            <w:pPr>
              <w:jc w:val="left"/>
            </w:pPr>
            <w:r>
              <w:rPr>
                <w:color w:val="202020"/>
                <w:sz w:val="18"/>
              </w:rPr>
              <w:t>Regreso a clases (agosto — inicio ano escolar RD)</w:t>
            </w:r>
          </w:p>
        </w:tc>
        <w:tc>
          <w:tcPr>
            <w:tcW w:type="dxa" w:w="2154"/>
            <w:shd w:val="clear" w:color="auto" w:fill="FFC7CE"/>
          </w:tcPr>
          <w:p>
            <w:pPr>
              <w:jc w:val="center"/>
            </w:pPr>
            <w:r>
              <w:rPr>
                <w:b/>
                <w:color w:val="9C0006"/>
                <w:sz w:val="18"/>
              </w:rPr>
              <w:t>✗</w:t>
            </w:r>
            <w:r>
              <w:rPr>
                <w:b w:val="0"/>
                <w:i/>
                <w:color w:val="9C0006"/>
                <w:sz w:val="14"/>
              </w:rPr>
              <w:br/>
              <w:t>No configurable</w:t>
            </w:r>
          </w:p>
        </w:tc>
        <w:tc>
          <w:tcPr>
            <w:tcW w:type="dxa" w:w="2665"/>
            <w:shd w:val="clear" w:color="auto" w:fill="C6EFCE"/>
          </w:tcPr>
          <w:p>
            <w:pPr>
              <w:jc w:val="center"/>
            </w:pPr>
            <w:r>
              <w:rPr>
                <w:b/>
                <w:color w:val="375823"/>
                <w:sz w:val="18"/>
              </w:rPr>
              <w:t>✓</w:t>
            </w:r>
            <w:r>
              <w:rPr>
                <w:b w:val="0"/>
                <w:i/>
                <w:color w:val="375823"/>
                <w:sz w:val="14"/>
              </w:rPr>
              <w:br/>
              <w:t>Feature de temporada escolar</w:t>
            </w:r>
          </w:p>
        </w:tc>
      </w:tr>
      <w:tr>
        <w:tc>
          <w:tcPr>
            <w:tcW w:type="dxa" w:w="4535"/>
            <w:shd w:val="clear" w:color="auto" w:fill="FFFFFF"/>
          </w:tcPr>
          <w:p>
            <w:pPr>
              <w:jc w:val="left"/>
            </w:pPr>
            <w:r>
              <w:rPr>
                <w:color w:val="202020"/>
                <w:sz w:val="18"/>
              </w:rPr>
              <w:t>Aguinaldo / Sueldo 13 (diciembre)</w:t>
            </w:r>
          </w:p>
        </w:tc>
        <w:tc>
          <w:tcPr>
            <w:tcW w:type="dxa" w:w="2154"/>
            <w:shd w:val="clear" w:color="auto" w:fill="FFC7CE"/>
          </w:tcPr>
          <w:p>
            <w:pPr>
              <w:jc w:val="center"/>
            </w:pPr>
            <w:r>
              <w:rPr>
                <w:b/>
                <w:color w:val="9C0006"/>
                <w:sz w:val="18"/>
              </w:rPr>
              <w:t>✗</w:t>
            </w:r>
            <w:r>
              <w:rPr>
                <w:b w:val="0"/>
                <w:i/>
                <w:color w:val="9C0006"/>
                <w:sz w:val="14"/>
              </w:rPr>
              <w:br/>
              <w:t>El concepto no existe en UDF</w:t>
            </w:r>
          </w:p>
        </w:tc>
        <w:tc>
          <w:tcPr>
            <w:tcW w:type="dxa" w:w="2665"/>
            <w:shd w:val="clear" w:color="auto" w:fill="C6EFCE"/>
          </w:tcPr>
          <w:p>
            <w:pPr>
              <w:jc w:val="center"/>
            </w:pPr>
            <w:r>
              <w:rPr>
                <w:b/>
                <w:color w:val="375823"/>
                <w:sz w:val="18"/>
              </w:rPr>
              <w:t>✓</w:t>
            </w:r>
            <w:r>
              <w:rPr>
                <w:b w:val="0"/>
                <w:i/>
                <w:color w:val="375823"/>
                <w:sz w:val="14"/>
              </w:rPr>
              <w:br/>
              <w:t>Feature de ciclo de pago anual</w:t>
            </w:r>
          </w:p>
        </w:tc>
      </w:tr>
      <w:tr>
        <w:tc>
          <w:tcPr>
            <w:tcW w:type="dxa" w:w="4535"/>
            <w:shd w:val="clear" w:color="auto" w:fill="FFFFFF"/>
          </w:tcPr>
          <w:p>
            <w:pPr>
              <w:jc w:val="left"/>
            </w:pPr>
            <w:r>
              <w:rPr>
                <w:color w:val="202020"/>
                <w:sz w:val="18"/>
              </w:rPr>
              <w:t>Independencia (27 feb) y Restauracion (16 ago)</w:t>
            </w:r>
          </w:p>
        </w:tc>
        <w:tc>
          <w:tcPr>
            <w:tcW w:type="dxa" w:w="2154"/>
            <w:shd w:val="clear" w:color="auto" w:fill="FFEB9C"/>
          </w:tcPr>
          <w:p>
            <w:pPr>
              <w:jc w:val="center"/>
            </w:pPr>
            <w:r>
              <w:rPr>
                <w:b/>
                <w:color w:val="744B00"/>
                <w:sz w:val="18"/>
              </w:rPr>
              <w:t>~</w:t>
            </w:r>
            <w:r>
              <w:rPr>
                <w:b w:val="0"/>
                <w:i/>
                <w:color w:val="744B00"/>
                <w:sz w:val="14"/>
              </w:rPr>
              <w:br/>
              <w:t>Como feriado, sin efecto comercial modelado</w:t>
            </w:r>
          </w:p>
        </w:tc>
        <w:tc>
          <w:tcPr>
            <w:tcW w:type="dxa" w:w="2665"/>
            <w:shd w:val="clear" w:color="auto" w:fill="C6EFCE"/>
          </w:tcPr>
          <w:p>
            <w:pPr>
              <w:jc w:val="center"/>
            </w:pPr>
            <w:r>
              <w:rPr>
                <w:b/>
                <w:color w:val="375823"/>
                <w:sz w:val="18"/>
              </w:rPr>
              <w:t>✓</w:t>
            </w:r>
            <w:r>
              <w:rPr>
                <w:b w:val="0"/>
                <w:i/>
                <w:color w:val="375823"/>
                <w:sz w:val="14"/>
              </w:rPr>
              <w:br/>
              <w:t>Efecto de demanda aprendido del historico</w:t>
            </w:r>
          </w:p>
        </w:tc>
      </w:tr>
      <w:tr>
        <w:tc>
          <w:tcPr>
            <w:tcW w:type="dxa" w:w="4535"/>
            <w:shd w:val="clear" w:color="auto" w:fill="FFFFFF"/>
          </w:tcPr>
          <w:p>
            <w:pPr>
              <w:jc w:val="left"/>
            </w:pPr>
            <w:r>
              <w:rPr>
                <w:color w:val="202020"/>
                <w:sz w:val="18"/>
              </w:rPr>
              <w:t>Black Friday / Cyber Monday</w:t>
            </w:r>
          </w:p>
        </w:tc>
        <w:tc>
          <w:tcPr>
            <w:tcW w:type="dxa" w:w="2154"/>
            <w:shd w:val="clear" w:color="auto" w:fill="FFC7CE"/>
          </w:tcPr>
          <w:p>
            <w:pPr>
              <w:jc w:val="center"/>
            </w:pPr>
            <w:r>
              <w:rPr>
                <w:b/>
                <w:color w:val="9C0006"/>
                <w:sz w:val="18"/>
              </w:rPr>
              <w:t>✗</w:t>
            </w:r>
            <w:r>
              <w:rPr>
                <w:b w:val="0"/>
                <w:i/>
                <w:color w:val="9C0006"/>
                <w:sz w:val="14"/>
              </w:rPr>
              <w:br/>
              <w:t>No configurable</w:t>
            </w:r>
          </w:p>
        </w:tc>
        <w:tc>
          <w:tcPr>
            <w:tcW w:type="dxa" w:w="2665"/>
            <w:shd w:val="clear" w:color="auto" w:fill="C6EFCE"/>
          </w:tcPr>
          <w:p>
            <w:pPr>
              <w:jc w:val="center"/>
            </w:pPr>
            <w:r>
              <w:rPr>
                <w:b/>
                <w:color w:val="375823"/>
                <w:sz w:val="18"/>
              </w:rPr>
              <w:t>✓</w:t>
            </w:r>
            <w:r>
              <w:rPr>
                <w:b w:val="0"/>
                <w:i/>
                <w:color w:val="375823"/>
                <w:sz w:val="14"/>
              </w:rPr>
              <w:br/>
              <w:t>Feature de temporada comercial</w:t>
            </w:r>
          </w:p>
        </w:tc>
      </w:tr>
      <w:tr>
        <w:tc>
          <w:tcPr>
            <w:tcW w:type="dxa" w:w="4535"/>
            <w:shd w:val="clear" w:color="auto" w:fill="FFFFFF"/>
          </w:tcPr>
          <w:p>
            <w:pPr>
              <w:jc w:val="left"/>
            </w:pPr>
            <w:r>
              <w:rPr>
                <w:color w:val="202020"/>
                <w:sz w:val="18"/>
              </w:rPr>
              <w:t>Dia de Reyes (6 enero)</w:t>
            </w:r>
          </w:p>
        </w:tc>
        <w:tc>
          <w:tcPr>
            <w:tcW w:type="dxa" w:w="2154"/>
            <w:shd w:val="clear" w:color="auto" w:fill="FFC7CE"/>
          </w:tcPr>
          <w:p>
            <w:pPr>
              <w:jc w:val="center"/>
            </w:pPr>
            <w:r>
              <w:rPr>
                <w:b/>
                <w:color w:val="9C0006"/>
                <w:sz w:val="18"/>
              </w:rPr>
              <w:t>✗</w:t>
            </w:r>
            <w:r>
              <w:rPr>
                <w:b w:val="0"/>
                <w:i/>
                <w:color w:val="9C0006"/>
                <w:sz w:val="14"/>
              </w:rPr>
              <w:br/>
              <w:t>No existe como evento de demanda</w:t>
            </w:r>
          </w:p>
        </w:tc>
        <w:tc>
          <w:tcPr>
            <w:tcW w:type="dxa" w:w="2665"/>
            <w:shd w:val="clear" w:color="auto" w:fill="C6EFCE"/>
          </w:tcPr>
          <w:p>
            <w:pPr>
              <w:jc w:val="center"/>
            </w:pPr>
            <w:r>
              <w:rPr>
                <w:b/>
                <w:color w:val="375823"/>
                <w:sz w:val="18"/>
              </w:rPr>
              <w:t>✓</w:t>
            </w:r>
            <w:r>
              <w:rPr>
                <w:b w:val="0"/>
                <w:i/>
                <w:color w:val="375823"/>
                <w:sz w:val="14"/>
              </w:rPr>
              <w:br/>
              <w:t>Feature de temporada navidena extendida</w:t>
            </w:r>
          </w:p>
        </w:tc>
      </w:tr>
      <w:tr>
        <w:tc>
          <w:tcPr>
            <w:tcW w:type="dxa" w:w="4535"/>
            <w:shd w:val="clear" w:color="auto" w:fill="FFFFFF"/>
          </w:tcPr>
          <w:p>
            <w:pPr>
              <w:jc w:val="left"/>
            </w:pPr>
            <w:r>
              <w:rPr>
                <w:color w:val="202020"/>
                <w:sz w:val="18"/>
              </w:rPr>
              <w:t>Amor y Amistad / San Valentin</w:t>
            </w:r>
          </w:p>
        </w:tc>
        <w:tc>
          <w:tcPr>
            <w:tcW w:type="dxa" w:w="2154"/>
            <w:shd w:val="clear" w:color="auto" w:fill="FFC7CE"/>
          </w:tcPr>
          <w:p>
            <w:pPr>
              <w:jc w:val="center"/>
            </w:pPr>
            <w:r>
              <w:rPr>
                <w:b/>
                <w:color w:val="9C0006"/>
                <w:sz w:val="18"/>
              </w:rPr>
              <w:t>✗</w:t>
            </w:r>
            <w:r>
              <w:rPr>
                <w:b w:val="0"/>
                <w:i/>
                <w:color w:val="9C0006"/>
                <w:sz w:val="14"/>
              </w:rPr>
              <w:br/>
              <w:t>No configurable</w:t>
            </w:r>
          </w:p>
        </w:tc>
        <w:tc>
          <w:tcPr>
            <w:tcW w:type="dxa" w:w="2665"/>
            <w:shd w:val="clear" w:color="auto" w:fill="C6EFCE"/>
          </w:tcPr>
          <w:p>
            <w:pPr>
              <w:jc w:val="center"/>
            </w:pPr>
            <w:r>
              <w:rPr>
                <w:b/>
                <w:color w:val="375823"/>
                <w:sz w:val="18"/>
              </w:rPr>
              <w:t>✓</w:t>
            </w:r>
            <w:r>
              <w:rPr>
                <w:b w:val="0"/>
                <w:i/>
                <w:color w:val="375823"/>
                <w:sz w:val="14"/>
              </w:rPr>
              <w:br/>
              <w:t>Feature de temporada comercial</w:t>
            </w:r>
          </w:p>
        </w:tc>
      </w:tr>
      <w:tr>
        <w:tc>
          <w:tcPr>
            <w:tcW w:type="dxa" w:w="9405"/>
            <w:gridSpan w:val="3"/>
            <w:shd w:val="clear" w:color="auto" w:fill="D6E4F0"/>
          </w:tcPr>
          <w:p>
            <w:pPr>
              <w:jc w:val="left"/>
            </w:pPr>
            <w:r>
              <w:rPr>
                <w:b/>
                <w:color w:val="1F4E79"/>
                <w:sz w:val="18"/>
              </w:rPr>
              <w:t>SENALES ECONOMICAS Y EXTERNAS</w:t>
            </w:r>
          </w:p>
        </w:tc>
      </w:tr>
      <w:tr>
        <w:tc>
          <w:tcPr>
            <w:tcW w:type="dxa" w:w="4535"/>
            <w:shd w:val="clear" w:color="auto" w:fill="FFFFFF"/>
          </w:tcPr>
          <w:p>
            <w:pPr>
              <w:jc w:val="left"/>
            </w:pPr>
            <w:r>
              <w:rPr>
                <w:color w:val="202020"/>
                <w:sz w:val="18"/>
              </w:rPr>
              <w:t>Remesas diaspora (picos en Navidad y Dia de Madres)</w:t>
            </w:r>
          </w:p>
        </w:tc>
        <w:tc>
          <w:tcPr>
            <w:tcW w:type="dxa" w:w="2154"/>
            <w:shd w:val="clear" w:color="auto" w:fill="FFC7CE"/>
          </w:tcPr>
          <w:p>
            <w:pPr>
              <w:jc w:val="center"/>
            </w:pPr>
            <w:r>
              <w:rPr>
                <w:b/>
                <w:color w:val="9C0006"/>
                <w:sz w:val="18"/>
              </w:rPr>
              <w:t>✗</w:t>
            </w:r>
            <w:r>
              <w:rPr>
                <w:b w:val="0"/>
                <w:i/>
                <w:color w:val="9C0006"/>
                <w:sz w:val="14"/>
              </w:rPr>
              <w:br/>
              <w:t>Fuera del universo de datos SAP</w:t>
            </w:r>
          </w:p>
        </w:tc>
        <w:tc>
          <w:tcPr>
            <w:tcW w:type="dxa" w:w="2665"/>
            <w:shd w:val="clear" w:color="auto" w:fill="C6EFCE"/>
          </w:tcPr>
          <w:p>
            <w:pPr>
              <w:jc w:val="center"/>
            </w:pPr>
            <w:r>
              <w:rPr>
                <w:b/>
                <w:color w:val="375823"/>
                <w:sz w:val="18"/>
              </w:rPr>
              <w:t>✓</w:t>
            </w:r>
            <w:r>
              <w:rPr>
                <w:b w:val="0"/>
                <w:i/>
                <w:color w:val="375823"/>
                <w:sz w:val="14"/>
              </w:rPr>
              <w:br/>
              <w:t>Integrable via API Banco Central RD</w:t>
            </w:r>
          </w:p>
        </w:tc>
      </w:tr>
      <w:tr>
        <w:tc>
          <w:tcPr>
            <w:tcW w:type="dxa" w:w="4535"/>
            <w:shd w:val="clear" w:color="auto" w:fill="FFFFFF"/>
          </w:tcPr>
          <w:p>
            <w:pPr>
              <w:jc w:val="left"/>
            </w:pPr>
            <w:r>
              <w:rPr>
                <w:color w:val="202020"/>
                <w:sz w:val="18"/>
              </w:rPr>
              <w:t>Temporada turistica alta (diciembre–abril)</w:t>
            </w:r>
          </w:p>
        </w:tc>
        <w:tc>
          <w:tcPr>
            <w:tcW w:type="dxa" w:w="2154"/>
            <w:shd w:val="clear" w:color="auto" w:fill="FFC7CE"/>
          </w:tcPr>
          <w:p>
            <w:pPr>
              <w:jc w:val="center"/>
            </w:pPr>
            <w:r>
              <w:rPr>
                <w:b/>
                <w:color w:val="9C0006"/>
                <w:sz w:val="18"/>
              </w:rPr>
              <w:t>✗</w:t>
            </w:r>
            <w:r>
              <w:rPr>
                <w:b w:val="0"/>
                <w:i/>
                <w:color w:val="9C0006"/>
                <w:sz w:val="14"/>
              </w:rPr>
              <w:br/>
              <w:t>Sin integracion con datos de turismo</w:t>
            </w:r>
          </w:p>
        </w:tc>
        <w:tc>
          <w:tcPr>
            <w:tcW w:type="dxa" w:w="2665"/>
            <w:shd w:val="clear" w:color="auto" w:fill="C6EFCE"/>
          </w:tcPr>
          <w:p>
            <w:pPr>
              <w:jc w:val="center"/>
            </w:pPr>
            <w:r>
              <w:rPr>
                <w:b/>
                <w:color w:val="375823"/>
                <w:sz w:val="18"/>
              </w:rPr>
              <w:t>✓</w:t>
            </w:r>
            <w:r>
              <w:rPr>
                <w:b w:val="0"/>
                <w:i/>
                <w:color w:val="375823"/>
                <w:sz w:val="14"/>
              </w:rPr>
              <w:br/>
              <w:t>Feature de temporada con efecto en empleo y consumo</w:t>
            </w:r>
          </w:p>
        </w:tc>
      </w:tr>
      <w:tr>
        <w:tc>
          <w:tcPr>
            <w:tcW w:type="dxa" w:w="4535"/>
            <w:shd w:val="clear" w:color="auto" w:fill="FFFFFF"/>
          </w:tcPr>
          <w:p>
            <w:pPr>
              <w:jc w:val="left"/>
            </w:pPr>
            <w:r>
              <w:rPr>
                <w:color w:val="202020"/>
                <w:sz w:val="18"/>
              </w:rPr>
              <w:t>Alertas de huracan — compra masiva (critico RD)</w:t>
            </w:r>
          </w:p>
        </w:tc>
        <w:tc>
          <w:tcPr>
            <w:tcW w:type="dxa" w:w="2154"/>
            <w:shd w:val="clear" w:color="auto" w:fill="FFC7CE"/>
          </w:tcPr>
          <w:p>
            <w:pPr>
              <w:jc w:val="center"/>
            </w:pPr>
            <w:r>
              <w:rPr>
                <w:b/>
                <w:color w:val="9C0006"/>
                <w:sz w:val="18"/>
              </w:rPr>
              <w:t>✗</w:t>
            </w:r>
            <w:r>
              <w:rPr>
                <w:b w:val="0"/>
                <w:i/>
                <w:color w:val="9C0006"/>
                <w:sz w:val="14"/>
              </w:rPr>
              <w:br/>
              <w:t>Sin integracion meteorologica</w:t>
            </w:r>
          </w:p>
        </w:tc>
        <w:tc>
          <w:tcPr>
            <w:tcW w:type="dxa" w:w="2665"/>
            <w:shd w:val="clear" w:color="auto" w:fill="C6EFCE"/>
          </w:tcPr>
          <w:p>
            <w:pPr>
              <w:jc w:val="center"/>
            </w:pPr>
            <w:r>
              <w:rPr>
                <w:b/>
                <w:color w:val="375823"/>
                <w:sz w:val="18"/>
              </w:rPr>
              <w:t>✓</w:t>
            </w:r>
            <w:r>
              <w:rPr>
                <w:b w:val="0"/>
                <w:i/>
                <w:color w:val="375823"/>
                <w:sz w:val="14"/>
              </w:rPr>
              <w:br/>
              <w:t>Feature via API climatica, aplica jun–nov</w:t>
            </w:r>
          </w:p>
        </w:tc>
      </w:tr>
      <w:tr>
        <w:tc>
          <w:tcPr>
            <w:tcW w:type="dxa" w:w="4535"/>
            <w:shd w:val="clear" w:color="auto" w:fill="FFFFFF"/>
          </w:tcPr>
          <w:p>
            <w:pPr>
              <w:jc w:val="left"/>
            </w:pPr>
            <w:r>
              <w:rPr>
                <w:color w:val="202020"/>
                <w:sz w:val="18"/>
              </w:rPr>
              <w:t>Datos de clima historico</w:t>
            </w:r>
          </w:p>
        </w:tc>
        <w:tc>
          <w:tcPr>
            <w:tcW w:type="dxa" w:w="2154"/>
            <w:shd w:val="clear" w:color="auto" w:fill="FFC7CE"/>
          </w:tcPr>
          <w:p>
            <w:pPr>
              <w:jc w:val="center"/>
            </w:pPr>
            <w:r>
              <w:rPr>
                <w:b/>
                <w:color w:val="9C0006"/>
                <w:sz w:val="18"/>
              </w:rPr>
              <w:t>✗</w:t>
            </w:r>
            <w:r>
              <w:rPr>
                <w:b w:val="0"/>
                <w:i/>
                <w:color w:val="9C0006"/>
                <w:sz w:val="14"/>
              </w:rPr>
              <w:br/>
              <w:t>No soportado</w:t>
            </w:r>
          </w:p>
        </w:tc>
        <w:tc>
          <w:tcPr>
            <w:tcW w:type="dxa" w:w="2665"/>
            <w:shd w:val="clear" w:color="auto" w:fill="C6EFCE"/>
          </w:tcPr>
          <w:p>
            <w:pPr>
              <w:jc w:val="center"/>
            </w:pPr>
            <w:r>
              <w:rPr>
                <w:b/>
                <w:color w:val="375823"/>
                <w:sz w:val="18"/>
              </w:rPr>
              <w:t>✓</w:t>
            </w:r>
            <w:r>
              <w:rPr>
                <w:b w:val="0"/>
                <w:i/>
                <w:color w:val="375823"/>
                <w:sz w:val="14"/>
              </w:rPr>
              <w:br/>
              <w:t>API de clima como feature de entrenamiento</w:t>
            </w:r>
          </w:p>
        </w:tc>
      </w:tr>
      <w:tr>
        <w:tc>
          <w:tcPr>
            <w:tcW w:type="dxa" w:w="4535"/>
            <w:shd w:val="clear" w:color="auto" w:fill="FFFFFF"/>
          </w:tcPr>
          <w:p>
            <w:pPr>
              <w:jc w:val="left"/>
            </w:pPr>
            <w:r>
              <w:rPr>
                <w:color w:val="202020"/>
                <w:sz w:val="18"/>
              </w:rPr>
              <w:t>Indicadores economicos externos (Banco Central RD)</w:t>
            </w:r>
          </w:p>
        </w:tc>
        <w:tc>
          <w:tcPr>
            <w:tcW w:type="dxa" w:w="2154"/>
            <w:shd w:val="clear" w:color="auto" w:fill="FFC7CE"/>
          </w:tcPr>
          <w:p>
            <w:pPr>
              <w:jc w:val="center"/>
            </w:pPr>
            <w:r>
              <w:rPr>
                <w:b/>
                <w:color w:val="9C0006"/>
                <w:sz w:val="18"/>
              </w:rPr>
              <w:t>✗</w:t>
            </w:r>
            <w:r>
              <w:rPr>
                <w:b w:val="0"/>
                <w:i/>
                <w:color w:val="9C0006"/>
                <w:sz w:val="14"/>
              </w:rPr>
              <w:br/>
              <w:t>Solo consume datos SAP internos</w:t>
            </w:r>
          </w:p>
        </w:tc>
        <w:tc>
          <w:tcPr>
            <w:tcW w:type="dxa" w:w="2665"/>
            <w:shd w:val="clear" w:color="auto" w:fill="C6EFCE"/>
          </w:tcPr>
          <w:p>
            <w:pPr>
              <w:jc w:val="center"/>
            </w:pPr>
            <w:r>
              <w:rPr>
                <w:b/>
                <w:color w:val="375823"/>
                <w:sz w:val="18"/>
              </w:rPr>
              <w:t>✓</w:t>
            </w:r>
            <w:r>
              <w:rPr>
                <w:b w:val="0"/>
                <w:i/>
                <w:color w:val="375823"/>
                <w:sz w:val="14"/>
              </w:rPr>
              <w:br/>
              <w:t>Cualquier fuente externa integrable</w:t>
            </w:r>
          </w:p>
        </w:tc>
      </w:tr>
      <w:tr>
        <w:tc>
          <w:tcPr>
            <w:tcW w:type="dxa" w:w="4535"/>
            <w:shd w:val="clear" w:color="auto" w:fill="FFFFFF"/>
          </w:tcPr>
          <w:p>
            <w:pPr>
              <w:jc w:val="left"/>
            </w:pPr>
            <w:r>
              <w:rPr>
                <w:color w:val="202020"/>
                <w:sz w:val="18"/>
              </w:rPr>
              <w:t>Cosecha azucarera (poder adquisitivo zonas caneras)</w:t>
            </w:r>
          </w:p>
        </w:tc>
        <w:tc>
          <w:tcPr>
            <w:tcW w:type="dxa" w:w="2154"/>
            <w:shd w:val="clear" w:color="auto" w:fill="FFC7CE"/>
          </w:tcPr>
          <w:p>
            <w:pPr>
              <w:jc w:val="center"/>
            </w:pPr>
            <w:r>
              <w:rPr>
                <w:b/>
                <w:color w:val="9C0006"/>
                <w:sz w:val="18"/>
              </w:rPr>
              <w:t>✗</w:t>
            </w:r>
            <w:r>
              <w:rPr>
                <w:b w:val="0"/>
                <w:i/>
                <w:color w:val="9C0006"/>
                <w:sz w:val="14"/>
              </w:rPr>
              <w:br/>
              <w:t>Sin integracion con ciclos agricolas</w:t>
            </w:r>
          </w:p>
        </w:tc>
        <w:tc>
          <w:tcPr>
            <w:tcW w:type="dxa" w:w="2665"/>
            <w:shd w:val="clear" w:color="auto" w:fill="C6EFCE"/>
          </w:tcPr>
          <w:p>
            <w:pPr>
              <w:jc w:val="center"/>
            </w:pPr>
            <w:r>
              <w:rPr>
                <w:b/>
                <w:color w:val="375823"/>
                <w:sz w:val="18"/>
              </w:rPr>
              <w:t>✓</w:t>
            </w:r>
            <w:r>
              <w:rPr>
                <w:b w:val="0"/>
                <w:i/>
                <w:color w:val="375823"/>
                <w:sz w:val="14"/>
              </w:rPr>
              <w:br/>
              <w:t>Feature de ciclo agricola regional</w:t>
            </w:r>
          </w:p>
        </w:tc>
      </w:tr>
      <w:tr>
        <w:tc>
          <w:tcPr>
            <w:tcW w:type="dxa" w:w="9405"/>
            <w:gridSpan w:val="3"/>
            <w:shd w:val="clear" w:color="auto" w:fill="D6E4F0"/>
          </w:tcPr>
          <w:p>
            <w:pPr>
              <w:jc w:val="left"/>
            </w:pPr>
            <w:r>
              <w:rPr>
                <w:b/>
                <w:color w:val="1F4E79"/>
                <w:sz w:val="18"/>
              </w:rPr>
              <w:t>PROMOCIONES</w:t>
            </w:r>
          </w:p>
        </w:tc>
      </w:tr>
      <w:tr>
        <w:tc>
          <w:tcPr>
            <w:tcW w:type="dxa" w:w="4535"/>
            <w:shd w:val="clear" w:color="auto" w:fill="FFFFFF"/>
          </w:tcPr>
          <w:p>
            <w:pPr>
              <w:jc w:val="left"/>
            </w:pPr>
            <w:r>
              <w:rPr>
                <w:color w:val="202020"/>
                <w:sz w:val="18"/>
              </w:rPr>
              <w:t>Promociones con SAP Trade Promotion Mgmt (TPM)</w:t>
            </w:r>
          </w:p>
        </w:tc>
        <w:tc>
          <w:tcPr>
            <w:tcW w:type="dxa" w:w="2154"/>
            <w:shd w:val="clear" w:color="auto" w:fill="C6EFCE"/>
          </w:tcPr>
          <w:p>
            <w:pPr>
              <w:jc w:val="center"/>
            </w:pPr>
            <w:r>
              <w:rPr>
                <w:b/>
                <w:color w:val="375823"/>
                <w:sz w:val="18"/>
              </w:rPr>
              <w:t>✓</w:t>
            </w:r>
            <w:r>
              <w:rPr>
                <w:b w:val="0"/>
                <w:i/>
                <w:color w:val="375823"/>
                <w:sz w:val="14"/>
              </w:rPr>
              <w:br/>
              <w:t>Integracion nativa SAP CAR + TPM</w:t>
            </w:r>
          </w:p>
        </w:tc>
        <w:tc>
          <w:tcPr>
            <w:tcW w:type="dxa" w:w="2665"/>
            <w:shd w:val="clear" w:color="auto" w:fill="C6EFCE"/>
          </w:tcPr>
          <w:p>
            <w:pPr>
              <w:jc w:val="center"/>
            </w:pPr>
            <w:r>
              <w:rPr>
                <w:b/>
                <w:color w:val="375823"/>
                <w:sz w:val="18"/>
              </w:rPr>
              <w:t>✓</w:t>
            </w:r>
            <w:r>
              <w:rPr>
                <w:b w:val="0"/>
                <w:i/>
                <w:color w:val="375823"/>
                <w:sz w:val="14"/>
              </w:rPr>
              <w:br/>
              <w:t>Feature de promocion en entrenamiento</w:t>
            </w:r>
          </w:p>
        </w:tc>
      </w:tr>
      <w:tr>
        <w:tc>
          <w:tcPr>
            <w:tcW w:type="dxa" w:w="4535"/>
            <w:shd w:val="clear" w:color="auto" w:fill="FFFFFF"/>
          </w:tcPr>
          <w:p>
            <w:pPr>
              <w:jc w:val="left"/>
            </w:pPr>
            <w:r>
              <w:rPr>
                <w:color w:val="202020"/>
                <w:sz w:val="18"/>
              </w:rPr>
              <w:t>Promociones sin SAP TPM</w:t>
            </w:r>
          </w:p>
        </w:tc>
        <w:tc>
          <w:tcPr>
            <w:tcW w:type="dxa" w:w="2154"/>
            <w:shd w:val="clear" w:color="auto" w:fill="FFC7CE"/>
          </w:tcPr>
          <w:p>
            <w:pPr>
              <w:jc w:val="center"/>
            </w:pPr>
            <w:r>
              <w:rPr>
                <w:b/>
                <w:color w:val="9C0006"/>
                <w:sz w:val="18"/>
              </w:rPr>
              <w:t>✗</w:t>
            </w:r>
            <w:r>
              <w:rPr>
                <w:b w:val="0"/>
                <w:i/>
                <w:color w:val="9C0006"/>
                <w:sz w:val="14"/>
              </w:rPr>
              <w:br/>
              <w:t>Depende del flujo de datos TPM</w:t>
            </w:r>
          </w:p>
        </w:tc>
        <w:tc>
          <w:tcPr>
            <w:tcW w:type="dxa" w:w="2665"/>
            <w:shd w:val="clear" w:color="auto" w:fill="C6EFCE"/>
          </w:tcPr>
          <w:p>
            <w:pPr>
              <w:jc w:val="center"/>
            </w:pPr>
            <w:r>
              <w:rPr>
                <w:b/>
                <w:color w:val="375823"/>
                <w:sz w:val="18"/>
              </w:rPr>
              <w:t>✓</w:t>
            </w:r>
            <w:r>
              <w:rPr>
                <w:b w:val="0"/>
                <w:i/>
                <w:color w:val="375823"/>
                <w:sz w:val="14"/>
              </w:rPr>
              <w:br/>
              <w:t>Cualquier fuente de datos de promocion</w:t>
            </w:r>
          </w:p>
        </w:tc>
      </w:tr>
      <w:tr>
        <w:tc>
          <w:tcPr>
            <w:tcW w:type="dxa" w:w="4535"/>
            <w:shd w:val="clear" w:color="auto" w:fill="FFFFFF"/>
          </w:tcPr>
          <w:p>
            <w:pPr>
              <w:jc w:val="left"/>
            </w:pPr>
            <w:r>
              <w:rPr>
                <w:color w:val="202020"/>
                <w:sz w:val="18"/>
              </w:rPr>
              <w:t>Interaccion: promocion + fecha especial simultanea</w:t>
            </w:r>
          </w:p>
        </w:tc>
        <w:tc>
          <w:tcPr>
            <w:tcW w:type="dxa" w:w="2154"/>
            <w:shd w:val="clear" w:color="auto" w:fill="FFC7CE"/>
          </w:tcPr>
          <w:p>
            <w:pPr>
              <w:jc w:val="center"/>
            </w:pPr>
            <w:r>
              <w:rPr>
                <w:b/>
                <w:color w:val="9C0006"/>
                <w:sz w:val="18"/>
              </w:rPr>
              <w:t>✗</w:t>
            </w:r>
            <w:r>
              <w:rPr>
                <w:b w:val="0"/>
                <w:i/>
                <w:color w:val="9C0006"/>
                <w:sz w:val="14"/>
              </w:rPr>
              <w:br/>
              <w:t>Modelos estadisticos no capturan interacciones</w:t>
            </w:r>
          </w:p>
        </w:tc>
        <w:tc>
          <w:tcPr>
            <w:tcW w:type="dxa" w:w="2665"/>
            <w:shd w:val="clear" w:color="auto" w:fill="C6EFCE"/>
          </w:tcPr>
          <w:p>
            <w:pPr>
              <w:jc w:val="center"/>
            </w:pPr>
            <w:r>
              <w:rPr>
                <w:b/>
                <w:color w:val="375823"/>
                <w:sz w:val="18"/>
              </w:rPr>
              <w:t>✓</w:t>
            </w:r>
            <w:r>
              <w:rPr>
                <w:b w:val="0"/>
                <w:i/>
                <w:color w:val="375823"/>
                <w:sz w:val="14"/>
              </w:rPr>
              <w:br/>
              <w:t>RandomForest aprende la combinacion automaticamente</w:t>
            </w:r>
          </w:p>
        </w:tc>
      </w:tr>
      <w:tr>
        <w:tc>
          <w:tcPr>
            <w:tcW w:type="dxa" w:w="4535"/>
            <w:shd w:val="clear" w:color="auto" w:fill="FFFFFF"/>
          </w:tcPr>
          <w:p>
            <w:pPr>
              <w:jc w:val="left"/>
            </w:pPr>
            <w:r>
              <w:rPr>
                <w:color w:val="202020"/>
                <w:sz w:val="18"/>
              </w:rPr>
              <w:t>Efecto de promocion por categoria de producto</w:t>
            </w:r>
          </w:p>
        </w:tc>
        <w:tc>
          <w:tcPr>
            <w:tcW w:type="dxa" w:w="2154"/>
            <w:shd w:val="clear" w:color="auto" w:fill="FFEB9C"/>
          </w:tcPr>
          <w:p>
            <w:pPr>
              <w:jc w:val="center"/>
            </w:pPr>
            <w:r>
              <w:rPr>
                <w:b/>
                <w:color w:val="744B00"/>
                <w:sz w:val="18"/>
              </w:rPr>
              <w:t>~</w:t>
            </w:r>
            <w:r>
              <w:rPr>
                <w:b w:val="0"/>
                <w:i/>
                <w:color w:val="744B00"/>
                <w:sz w:val="14"/>
              </w:rPr>
              <w:br/>
              <w:t>Modelos lineales, efecto plano</w:t>
            </w:r>
          </w:p>
        </w:tc>
        <w:tc>
          <w:tcPr>
            <w:tcW w:type="dxa" w:w="2665"/>
            <w:shd w:val="clear" w:color="auto" w:fill="C6EFCE"/>
          </w:tcPr>
          <w:p>
            <w:pPr>
              <w:jc w:val="center"/>
            </w:pPr>
            <w:r>
              <w:rPr>
                <w:b/>
                <w:color w:val="375823"/>
                <w:sz w:val="18"/>
              </w:rPr>
              <w:t>✓</w:t>
            </w:r>
            <w:r>
              <w:rPr>
                <w:b w:val="0"/>
                <w:i/>
                <w:color w:val="375823"/>
                <w:sz w:val="14"/>
              </w:rPr>
              <w:br/>
              <w:t>Aprendido por categoria en entrenamiento</w:t>
            </w:r>
          </w:p>
        </w:tc>
      </w:tr>
      <w:tr>
        <w:tc>
          <w:tcPr>
            <w:tcW w:type="dxa" w:w="9405"/>
            <w:gridSpan w:val="3"/>
            <w:shd w:val="clear" w:color="auto" w:fill="D6E4F0"/>
          </w:tcPr>
          <w:p>
            <w:pPr>
              <w:jc w:val="left"/>
            </w:pPr>
            <w:r>
              <w:rPr>
                <w:b/>
                <w:color w:val="1F4E79"/>
                <w:sz w:val="18"/>
              </w:rPr>
              <w:t>CAPACIDADES DEL MODELO PREDICTIVO</w:t>
            </w:r>
          </w:p>
        </w:tc>
      </w:tr>
      <w:tr>
        <w:tc>
          <w:tcPr>
            <w:tcW w:type="dxa" w:w="4535"/>
            <w:shd w:val="clear" w:color="auto" w:fill="FFFFFF"/>
          </w:tcPr>
          <w:p>
            <w:pPr>
              <w:jc w:val="left"/>
            </w:pPr>
            <w:r>
              <w:rPr>
                <w:color w:val="202020"/>
                <w:sz w:val="18"/>
              </w:rPr>
              <w:t>Interacciones no-lineales entre variables</w:t>
            </w:r>
          </w:p>
        </w:tc>
        <w:tc>
          <w:tcPr>
            <w:tcW w:type="dxa" w:w="2154"/>
            <w:shd w:val="clear" w:color="auto" w:fill="FFC7CE"/>
          </w:tcPr>
          <w:p>
            <w:pPr>
              <w:jc w:val="center"/>
            </w:pPr>
            <w:r>
              <w:rPr>
                <w:b/>
                <w:color w:val="9C0006"/>
                <w:sz w:val="18"/>
              </w:rPr>
              <w:t>✗</w:t>
            </w:r>
            <w:r>
              <w:rPr>
                <w:b w:val="0"/>
                <w:i/>
                <w:color w:val="9C0006"/>
                <w:sz w:val="14"/>
              </w:rPr>
              <w:br/>
              <w:t>Modelos estadisticos son fundamentalmente lineales</w:t>
            </w:r>
          </w:p>
        </w:tc>
        <w:tc>
          <w:tcPr>
            <w:tcW w:type="dxa" w:w="2665"/>
            <w:shd w:val="clear" w:color="auto" w:fill="C6EFCE"/>
          </w:tcPr>
          <w:p>
            <w:pPr>
              <w:jc w:val="center"/>
            </w:pPr>
            <w:r>
              <w:rPr>
                <w:b/>
                <w:color w:val="375823"/>
                <w:sz w:val="18"/>
              </w:rPr>
              <w:t>✓</w:t>
            </w:r>
            <w:r>
              <w:rPr>
                <w:b w:val="0"/>
                <w:i/>
                <w:color w:val="375823"/>
                <w:sz w:val="14"/>
              </w:rPr>
              <w:br/>
              <w:t>Fortaleza central de RandomForest</w:t>
            </w:r>
          </w:p>
        </w:tc>
      </w:tr>
      <w:tr>
        <w:tc>
          <w:tcPr>
            <w:tcW w:type="dxa" w:w="4535"/>
            <w:shd w:val="clear" w:color="auto" w:fill="FFFFFF"/>
          </w:tcPr>
          <w:p>
            <w:pPr>
              <w:jc w:val="left"/>
            </w:pPr>
            <w:r>
              <w:rPr>
                <w:color w:val="202020"/>
                <w:sz w:val="18"/>
              </w:rPr>
              <w:t>Multiples estacionalidades simultaneas</w:t>
            </w:r>
          </w:p>
        </w:tc>
        <w:tc>
          <w:tcPr>
            <w:tcW w:type="dxa" w:w="2154"/>
            <w:shd w:val="clear" w:color="auto" w:fill="FFEB9C"/>
          </w:tcPr>
          <w:p>
            <w:pPr>
              <w:jc w:val="center"/>
            </w:pPr>
            <w:r>
              <w:rPr>
                <w:b/>
                <w:color w:val="744B00"/>
                <w:sz w:val="18"/>
              </w:rPr>
              <w:t>~</w:t>
            </w:r>
            <w:r>
              <w:rPr>
                <w:b w:val="0"/>
                <w:i/>
                <w:color w:val="744B00"/>
                <w:sz w:val="14"/>
              </w:rPr>
              <w:br/>
              <w:t>Holt-Winters: solo una estacionalidad a la vez</w:t>
            </w:r>
          </w:p>
        </w:tc>
        <w:tc>
          <w:tcPr>
            <w:tcW w:type="dxa" w:w="2665"/>
            <w:shd w:val="clear" w:color="auto" w:fill="C6EFCE"/>
          </w:tcPr>
          <w:p>
            <w:pPr>
              <w:jc w:val="center"/>
            </w:pPr>
            <w:r>
              <w:rPr>
                <w:b/>
                <w:color w:val="375823"/>
                <w:sz w:val="18"/>
              </w:rPr>
              <w:t>✓</w:t>
            </w:r>
            <w:r>
              <w:rPr>
                <w:b w:val="0"/>
                <w:i/>
                <w:color w:val="375823"/>
                <w:sz w:val="14"/>
              </w:rPr>
              <w:br/>
              <w:t>Features de lag capturan multiples ciclos</w:t>
            </w:r>
          </w:p>
        </w:tc>
      </w:tr>
      <w:tr>
        <w:tc>
          <w:tcPr>
            <w:tcW w:type="dxa" w:w="4535"/>
            <w:shd w:val="clear" w:color="auto" w:fill="FFFFFF"/>
          </w:tcPr>
          <w:p>
            <w:pPr>
              <w:jc w:val="left"/>
            </w:pPr>
            <w:r>
              <w:rPr>
                <w:color w:val="202020"/>
                <w:sz w:val="18"/>
              </w:rPr>
              <w:t>Demanda intermitente / esporadica</w:t>
            </w:r>
          </w:p>
        </w:tc>
        <w:tc>
          <w:tcPr>
            <w:tcW w:type="dxa" w:w="2154"/>
            <w:shd w:val="clear" w:color="auto" w:fill="C6EFCE"/>
          </w:tcPr>
          <w:p>
            <w:pPr>
              <w:jc w:val="center"/>
            </w:pPr>
            <w:r>
              <w:rPr>
                <w:b/>
                <w:color w:val="375823"/>
                <w:sz w:val="18"/>
              </w:rPr>
              <w:t>✓</w:t>
            </w:r>
            <w:r>
              <w:rPr>
                <w:b w:val="0"/>
                <w:i/>
                <w:color w:val="375823"/>
                <w:sz w:val="14"/>
              </w:rPr>
              <w:br/>
              <w:t>Modelo Croston disponible en UDF</w:t>
            </w:r>
          </w:p>
        </w:tc>
        <w:tc>
          <w:tcPr>
            <w:tcW w:type="dxa" w:w="2665"/>
            <w:shd w:val="clear" w:color="auto" w:fill="C6EFCE"/>
          </w:tcPr>
          <w:p>
            <w:pPr>
              <w:jc w:val="center"/>
            </w:pPr>
            <w:r>
              <w:rPr>
                <w:b/>
                <w:color w:val="375823"/>
                <w:sz w:val="18"/>
              </w:rPr>
              <w:t>✓</w:t>
            </w:r>
            <w:r>
              <w:rPr>
                <w:b w:val="0"/>
                <w:i/>
                <w:color w:val="375823"/>
                <w:sz w:val="14"/>
              </w:rPr>
              <w:br/>
              <w:t>Soportado con features adicionales</w:t>
            </w:r>
          </w:p>
        </w:tc>
      </w:tr>
      <w:tr>
        <w:tc>
          <w:tcPr>
            <w:tcW w:type="dxa" w:w="4535"/>
            <w:shd w:val="clear" w:color="auto" w:fill="FFFFFF"/>
          </w:tcPr>
          <w:p>
            <w:pPr>
              <w:jc w:val="left"/>
            </w:pPr>
            <w:r>
              <w:rPr>
                <w:color w:val="202020"/>
                <w:sz w:val="18"/>
              </w:rPr>
              <w:t>Cold start — productos nuevos sin historico</w:t>
            </w:r>
          </w:p>
        </w:tc>
        <w:tc>
          <w:tcPr>
            <w:tcW w:type="dxa" w:w="2154"/>
            <w:shd w:val="clear" w:color="auto" w:fill="FFC7CE"/>
          </w:tcPr>
          <w:p>
            <w:pPr>
              <w:jc w:val="center"/>
            </w:pPr>
            <w:r>
              <w:rPr>
                <w:b/>
                <w:color w:val="9C0006"/>
                <w:sz w:val="18"/>
              </w:rPr>
              <w:t>✗</w:t>
            </w:r>
            <w:r>
              <w:rPr>
                <w:b w:val="0"/>
                <w:i/>
                <w:color w:val="9C0006"/>
                <w:sz w:val="14"/>
              </w:rPr>
              <w:br/>
              <w:t>Requiere historico minimo para ajustar el modelo</w:t>
            </w:r>
          </w:p>
        </w:tc>
        <w:tc>
          <w:tcPr>
            <w:tcW w:type="dxa" w:w="2665"/>
            <w:shd w:val="clear" w:color="auto" w:fill="C6EFCE"/>
          </w:tcPr>
          <w:p>
            <w:pPr>
              <w:jc w:val="center"/>
            </w:pPr>
            <w:r>
              <w:rPr>
                <w:b/>
                <w:color w:val="375823"/>
                <w:sz w:val="18"/>
              </w:rPr>
              <w:t>✓</w:t>
            </w:r>
            <w:r>
              <w:rPr>
                <w:b w:val="0"/>
                <w:i/>
                <w:color w:val="375823"/>
                <w:sz w:val="14"/>
              </w:rPr>
              <w:br/>
              <w:t>Generaliza desde productos similares via features</w:t>
            </w:r>
          </w:p>
        </w:tc>
      </w:tr>
      <w:tr>
        <w:tc>
          <w:tcPr>
            <w:tcW w:type="dxa" w:w="4535"/>
            <w:shd w:val="clear" w:color="auto" w:fill="FFFFFF"/>
          </w:tcPr>
          <w:p>
            <w:pPr>
              <w:jc w:val="left"/>
            </w:pPr>
            <w:r>
              <w:rPr>
                <w:color w:val="202020"/>
                <w:sz w:val="18"/>
              </w:rPr>
              <w:t>Diferenciacion por tienda / region</w:t>
            </w:r>
          </w:p>
        </w:tc>
        <w:tc>
          <w:tcPr>
            <w:tcW w:type="dxa" w:w="2154"/>
            <w:shd w:val="clear" w:color="auto" w:fill="FFEB9C"/>
          </w:tcPr>
          <w:p>
            <w:pPr>
              <w:jc w:val="center"/>
            </w:pPr>
            <w:r>
              <w:rPr>
                <w:b/>
                <w:color w:val="744B00"/>
                <w:sz w:val="18"/>
              </w:rPr>
              <w:t>~</w:t>
            </w:r>
            <w:r>
              <w:rPr>
                <w:b w:val="0"/>
                <w:i/>
                <w:color w:val="744B00"/>
                <w:sz w:val="14"/>
              </w:rPr>
              <w:br/>
              <w:t>Forecasta por SKU, no por SKU+tienda facilmente</w:t>
            </w:r>
          </w:p>
        </w:tc>
        <w:tc>
          <w:tcPr>
            <w:tcW w:type="dxa" w:w="2665"/>
            <w:shd w:val="clear" w:color="auto" w:fill="C6EFCE"/>
          </w:tcPr>
          <w:p>
            <w:pPr>
              <w:jc w:val="center"/>
            </w:pPr>
            <w:r>
              <w:rPr>
                <w:b/>
                <w:color w:val="375823"/>
                <w:sz w:val="18"/>
              </w:rPr>
              <w:t>✓</w:t>
            </w:r>
            <w:r>
              <w:rPr>
                <w:b w:val="0"/>
                <w:i/>
                <w:color w:val="375823"/>
                <w:sz w:val="14"/>
              </w:rPr>
              <w:br/>
              <w:t>Feature de tienda/region en entrenamiento</w:t>
            </w:r>
          </w:p>
        </w:tc>
      </w:tr>
      <w:tr>
        <w:tc>
          <w:tcPr>
            <w:tcW w:type="dxa" w:w="4535"/>
            <w:shd w:val="clear" w:color="auto" w:fill="FFFFFF"/>
          </w:tcPr>
          <w:p>
            <w:pPr>
              <w:jc w:val="left"/>
            </w:pPr>
            <w:r>
              <w:rPr>
                <w:color w:val="202020"/>
                <w:sz w:val="18"/>
              </w:rPr>
              <w:t>Explicabilidad — feature importance para el negocio</w:t>
            </w:r>
          </w:p>
        </w:tc>
        <w:tc>
          <w:tcPr>
            <w:tcW w:type="dxa" w:w="2154"/>
            <w:shd w:val="clear" w:color="auto" w:fill="FFC7CE"/>
          </w:tcPr>
          <w:p>
            <w:pPr>
              <w:jc w:val="center"/>
            </w:pPr>
            <w:r>
              <w:rPr>
                <w:b/>
                <w:color w:val="9C0006"/>
                <w:sz w:val="18"/>
              </w:rPr>
              <w:t>✗</w:t>
            </w:r>
            <w:r>
              <w:rPr>
                <w:b w:val="0"/>
                <w:i/>
                <w:color w:val="9C0006"/>
                <w:sz w:val="14"/>
              </w:rPr>
              <w:br/>
              <w:t>Caja negra estadistica, sin desglose por variable</w:t>
            </w:r>
          </w:p>
        </w:tc>
        <w:tc>
          <w:tcPr>
            <w:tcW w:type="dxa" w:w="2665"/>
            <w:shd w:val="clear" w:color="auto" w:fill="C6EFCE"/>
          </w:tcPr>
          <w:p>
            <w:pPr>
              <w:jc w:val="center"/>
            </w:pPr>
            <w:r>
              <w:rPr>
                <w:b/>
                <w:color w:val="375823"/>
                <w:sz w:val="18"/>
              </w:rPr>
              <w:t>✓</w:t>
            </w:r>
            <w:r>
              <w:rPr>
                <w:b w:val="0"/>
                <w:i/>
                <w:color w:val="375823"/>
                <w:sz w:val="14"/>
              </w:rPr>
              <w:br/>
              <w:t>"Regalia Pascual explica 18% del error de abril"</w:t>
            </w:r>
          </w:p>
        </w:tc>
      </w:tr>
      <w:tr>
        <w:tc>
          <w:tcPr>
            <w:tcW w:type="dxa" w:w="4535"/>
            <w:shd w:val="clear" w:color="auto" w:fill="FFFFFF"/>
          </w:tcPr>
          <w:p>
            <w:pPr>
              <w:jc w:val="left"/>
            </w:pPr>
            <w:r>
              <w:rPr>
                <w:color w:val="202020"/>
                <w:sz w:val="18"/>
              </w:rPr>
              <w:t>Aprendizaje cruzado entre categorias de producto</w:t>
            </w:r>
          </w:p>
        </w:tc>
        <w:tc>
          <w:tcPr>
            <w:tcW w:type="dxa" w:w="2154"/>
            <w:shd w:val="clear" w:color="auto" w:fill="FFC7CE"/>
          </w:tcPr>
          <w:p>
            <w:pPr>
              <w:jc w:val="center"/>
            </w:pPr>
            <w:r>
              <w:rPr>
                <w:b/>
                <w:color w:val="9C0006"/>
                <w:sz w:val="18"/>
              </w:rPr>
              <w:t>✗</w:t>
            </w:r>
            <w:r>
              <w:rPr>
                <w:b w:val="0"/>
                <w:i/>
                <w:color w:val="9C0006"/>
                <w:sz w:val="14"/>
              </w:rPr>
              <w:br/>
              <w:t>Cada serie modelada independientemente</w:t>
            </w:r>
          </w:p>
        </w:tc>
        <w:tc>
          <w:tcPr>
            <w:tcW w:type="dxa" w:w="2665"/>
            <w:shd w:val="clear" w:color="auto" w:fill="C6EFCE"/>
          </w:tcPr>
          <w:p>
            <w:pPr>
              <w:jc w:val="center"/>
            </w:pPr>
            <w:r>
              <w:rPr>
                <w:b/>
                <w:color w:val="375823"/>
                <w:sz w:val="18"/>
              </w:rPr>
              <w:t>✓</w:t>
            </w:r>
            <w:r>
              <w:rPr>
                <w:b w:val="0"/>
                <w:i/>
                <w:color w:val="375823"/>
                <w:sz w:val="14"/>
              </w:rPr>
              <w:br/>
              <w:t>El modelo aprende patrones transversales</w:t>
            </w:r>
          </w:p>
        </w:tc>
      </w:tr>
      <w:tr>
        <w:tc>
          <w:tcPr>
            <w:tcW w:type="dxa" w:w="4535"/>
            <w:shd w:val="clear" w:color="auto" w:fill="FFFFFF"/>
          </w:tcPr>
          <w:p>
            <w:pPr>
              <w:jc w:val="left"/>
            </w:pPr>
            <w:r>
              <w:rPr>
                <w:color w:val="202020"/>
                <w:sz w:val="18"/>
              </w:rPr>
              <w:t>Diferenciacion del efecto por tipo de producto</w:t>
            </w:r>
          </w:p>
        </w:tc>
        <w:tc>
          <w:tcPr>
            <w:tcW w:type="dxa" w:w="2154"/>
            <w:shd w:val="clear" w:color="auto" w:fill="FFC7CE"/>
          </w:tcPr>
          <w:p>
            <w:pPr>
              <w:jc w:val="center"/>
            </w:pPr>
            <w:r>
              <w:rPr>
                <w:b/>
                <w:color w:val="9C0006"/>
                <w:sz w:val="18"/>
              </w:rPr>
              <w:t>✗</w:t>
            </w:r>
            <w:r>
              <w:rPr>
                <w:b w:val="0"/>
                <w:i/>
                <w:color w:val="9C0006"/>
                <w:sz w:val="14"/>
              </w:rPr>
              <w:br/>
              <w:t>Mismo modelo para todos los SKUs</w:t>
            </w:r>
          </w:p>
        </w:tc>
        <w:tc>
          <w:tcPr>
            <w:tcW w:type="dxa" w:w="2665"/>
            <w:shd w:val="clear" w:color="auto" w:fill="C6EFCE"/>
          </w:tcPr>
          <w:p>
            <w:pPr>
              <w:jc w:val="center"/>
            </w:pPr>
            <w:r>
              <w:rPr>
                <w:b/>
                <w:color w:val="375823"/>
                <w:sz w:val="18"/>
              </w:rPr>
              <w:t>✓</w:t>
            </w:r>
            <w:r>
              <w:rPr>
                <w:b w:val="0"/>
                <w:i/>
                <w:color w:val="375823"/>
                <w:sz w:val="14"/>
              </w:rPr>
              <w:br/>
              <w:t>Perecederos, electronica y ropa tienen patrones distintos</w:t>
            </w:r>
          </w:p>
        </w:tc>
      </w:tr>
      <w:tr>
        <w:tc>
          <w:tcPr>
            <w:tcW w:type="dxa" w:w="9405"/>
            <w:gridSpan w:val="3"/>
            <w:shd w:val="clear" w:color="auto" w:fill="D6E4F0"/>
          </w:tcPr>
          <w:p>
            <w:pPr>
              <w:jc w:val="left"/>
            </w:pPr>
            <w:r>
              <w:rPr>
                <w:b/>
                <w:color w:val="1F4E79"/>
                <w:sz w:val="18"/>
              </w:rPr>
              <w:t>ASPECTOS OPERACIONALES</w:t>
            </w:r>
          </w:p>
        </w:tc>
      </w:tr>
      <w:tr>
        <w:tc>
          <w:tcPr>
            <w:tcW w:type="dxa" w:w="4535"/>
            <w:shd w:val="clear" w:color="auto" w:fill="FFFFFF"/>
          </w:tcPr>
          <w:p>
            <w:pPr>
              <w:jc w:val="left"/>
            </w:pPr>
            <w:r>
              <w:rPr>
                <w:color w:val="202020"/>
                <w:sz w:val="18"/>
              </w:rPr>
              <w:t>Soporte SAP estandar (OSS, upgrades, parches)</w:t>
            </w:r>
          </w:p>
        </w:tc>
        <w:tc>
          <w:tcPr>
            <w:tcW w:type="dxa" w:w="2154"/>
            <w:shd w:val="clear" w:color="auto" w:fill="C6EFCE"/>
          </w:tcPr>
          <w:p>
            <w:pPr>
              <w:jc w:val="center"/>
            </w:pPr>
            <w:r>
              <w:rPr>
                <w:b/>
                <w:color w:val="375823"/>
                <w:sz w:val="18"/>
              </w:rPr>
              <w:t>✓</w:t>
            </w:r>
            <w:r>
              <w:rPr>
                <w:b w:val="0"/>
                <w:i/>
                <w:color w:val="375823"/>
                <w:sz w:val="14"/>
              </w:rPr>
              <w:br/>
              <w:t>Soporte oficial SAP incluido en licencia</w:t>
            </w:r>
          </w:p>
        </w:tc>
        <w:tc>
          <w:tcPr>
            <w:tcW w:type="dxa" w:w="2665"/>
            <w:shd w:val="clear" w:color="auto" w:fill="FFC7CE"/>
          </w:tcPr>
          <w:p>
            <w:pPr>
              <w:jc w:val="center"/>
            </w:pPr>
            <w:r>
              <w:rPr>
                <w:b/>
                <w:color w:val="9C0006"/>
                <w:sz w:val="18"/>
              </w:rPr>
              <w:t>✗</w:t>
            </w:r>
            <w:r>
              <w:rPr>
                <w:b w:val="0"/>
                <w:i/>
                <w:color w:val="9C0006"/>
                <w:sz w:val="14"/>
              </w:rPr>
              <w:br/>
              <w:t>Responsabilidad del equipo de desarrollo</w:t>
            </w:r>
          </w:p>
        </w:tc>
      </w:tr>
      <w:tr>
        <w:tc>
          <w:tcPr>
            <w:tcW w:type="dxa" w:w="4535"/>
            <w:shd w:val="clear" w:color="auto" w:fill="FFFFFF"/>
          </w:tcPr>
          <w:p>
            <w:pPr>
              <w:jc w:val="left"/>
            </w:pPr>
            <w:r>
              <w:rPr>
                <w:color w:val="202020"/>
                <w:sz w:val="18"/>
              </w:rPr>
              <w:t>Integracion nativa con MM / MRP / IBP</w:t>
            </w:r>
          </w:p>
        </w:tc>
        <w:tc>
          <w:tcPr>
            <w:tcW w:type="dxa" w:w="2154"/>
            <w:shd w:val="clear" w:color="auto" w:fill="C6EFCE"/>
          </w:tcPr>
          <w:p>
            <w:pPr>
              <w:jc w:val="center"/>
            </w:pPr>
            <w:r>
              <w:rPr>
                <w:b/>
                <w:color w:val="375823"/>
                <w:sz w:val="18"/>
              </w:rPr>
              <w:t>✓</w:t>
            </w:r>
            <w:r>
              <w:rPr>
                <w:b w:val="0"/>
                <w:i/>
                <w:color w:val="375823"/>
                <w:sz w:val="14"/>
              </w:rPr>
              <w:br/>
              <w:t>Flujos estandar sin desarrollo adicional</w:t>
            </w:r>
          </w:p>
        </w:tc>
        <w:tc>
          <w:tcPr>
            <w:tcW w:type="dxa" w:w="2665"/>
            <w:shd w:val="clear" w:color="auto" w:fill="FFEB9C"/>
          </w:tcPr>
          <w:p>
            <w:pPr>
              <w:jc w:val="center"/>
            </w:pPr>
            <w:r>
              <w:rPr>
                <w:b/>
                <w:color w:val="744B00"/>
                <w:sz w:val="18"/>
              </w:rPr>
              <w:t>~</w:t>
            </w:r>
            <w:r>
              <w:rPr>
                <w:b w:val="0"/>
                <w:i/>
                <w:color w:val="744B00"/>
                <w:sz w:val="14"/>
              </w:rPr>
              <w:br/>
              <w:t>Integracion custom via OData/API — ya implementada</w:t>
            </w:r>
          </w:p>
        </w:tc>
      </w:tr>
      <w:tr>
        <w:tc>
          <w:tcPr>
            <w:tcW w:type="dxa" w:w="4535"/>
            <w:shd w:val="clear" w:color="auto" w:fill="FFFFFF"/>
          </w:tcPr>
          <w:p>
            <w:pPr>
              <w:jc w:val="left"/>
            </w:pPr>
            <w:r>
              <w:rPr>
                <w:color w:val="202020"/>
                <w:sz w:val="18"/>
              </w:rPr>
              <w:t>Reentrenamiento bajo demanda con nuevos datos</w:t>
            </w:r>
          </w:p>
        </w:tc>
        <w:tc>
          <w:tcPr>
            <w:tcW w:type="dxa" w:w="2154"/>
            <w:shd w:val="clear" w:color="auto" w:fill="FFC7CE"/>
          </w:tcPr>
          <w:p>
            <w:pPr>
              <w:jc w:val="center"/>
            </w:pPr>
            <w:r>
              <w:rPr>
                <w:b/>
                <w:color w:val="9C0006"/>
                <w:sz w:val="18"/>
              </w:rPr>
              <w:t>✗</w:t>
            </w:r>
            <w:r>
              <w:rPr>
                <w:b w:val="0"/>
                <w:i/>
                <w:color w:val="9C0006"/>
                <w:sz w:val="14"/>
              </w:rPr>
              <w:br/>
              <w:t>Ciclos fijos de actualizacion de modelos SAP</w:t>
            </w:r>
          </w:p>
        </w:tc>
        <w:tc>
          <w:tcPr>
            <w:tcW w:type="dxa" w:w="2665"/>
            <w:shd w:val="clear" w:color="auto" w:fill="C6EFCE"/>
          </w:tcPr>
          <w:p>
            <w:pPr>
              <w:jc w:val="center"/>
            </w:pPr>
            <w:r>
              <w:rPr>
                <w:b/>
                <w:color w:val="375823"/>
                <w:sz w:val="18"/>
              </w:rPr>
              <w:t>✓</w:t>
            </w:r>
            <w:r>
              <w:rPr>
                <w:b w:val="0"/>
                <w:i/>
                <w:color w:val="375823"/>
                <w:sz w:val="14"/>
              </w:rPr>
              <w:br/>
              <w:t>Pipeline automatizable en SAP AI Core</w:t>
            </w:r>
          </w:p>
        </w:tc>
      </w:tr>
      <w:tr>
        <w:tc>
          <w:tcPr>
            <w:tcW w:type="dxa" w:w="4535"/>
            <w:shd w:val="clear" w:color="auto" w:fill="FFFFFF"/>
          </w:tcPr>
          <w:p>
            <w:pPr>
              <w:jc w:val="left"/>
            </w:pPr>
            <w:r>
              <w:rPr>
                <w:color w:val="202020"/>
                <w:sz w:val="18"/>
              </w:rPr>
              <w:t>Ingesta de datos externos (APIs, CSV, web)</w:t>
            </w:r>
          </w:p>
        </w:tc>
        <w:tc>
          <w:tcPr>
            <w:tcW w:type="dxa" w:w="2154"/>
            <w:shd w:val="clear" w:color="auto" w:fill="FFC7CE"/>
          </w:tcPr>
          <w:p>
            <w:pPr>
              <w:jc w:val="center"/>
            </w:pPr>
            <w:r>
              <w:rPr>
                <w:b/>
                <w:color w:val="9C0006"/>
                <w:sz w:val="18"/>
              </w:rPr>
              <w:t>✗</w:t>
            </w:r>
            <w:r>
              <w:rPr>
                <w:b w:val="0"/>
                <w:i/>
                <w:color w:val="9C0006"/>
                <w:sz w:val="14"/>
              </w:rPr>
              <w:br/>
              <w:t>Solo datos del ecosistema SAP</w:t>
            </w:r>
          </w:p>
        </w:tc>
        <w:tc>
          <w:tcPr>
            <w:tcW w:type="dxa" w:w="2665"/>
            <w:shd w:val="clear" w:color="auto" w:fill="C6EFCE"/>
          </w:tcPr>
          <w:p>
            <w:pPr>
              <w:jc w:val="center"/>
            </w:pPr>
            <w:r>
              <w:rPr>
                <w:b/>
                <w:color w:val="375823"/>
                <w:sz w:val="18"/>
              </w:rPr>
              <w:t>✓</w:t>
            </w:r>
            <w:r>
              <w:rPr>
                <w:b w:val="0"/>
                <w:i/>
                <w:color w:val="375823"/>
                <w:sz w:val="14"/>
              </w:rPr>
              <w:br/>
              <w:t>Cualquier fuente de datos integrable</w:t>
            </w:r>
          </w:p>
        </w:tc>
      </w:tr>
      <w:tr>
        <w:tc>
          <w:tcPr>
            <w:tcW w:type="dxa" w:w="4535"/>
            <w:shd w:val="clear" w:color="auto" w:fill="FFFFFF"/>
          </w:tcPr>
          <w:p>
            <w:pPr>
              <w:jc w:val="left"/>
            </w:pPr>
            <w:r>
              <w:rPr>
                <w:color w:val="202020"/>
                <w:sz w:val="18"/>
              </w:rPr>
              <w:t>Governance / override manual por planificador</w:t>
            </w:r>
          </w:p>
        </w:tc>
        <w:tc>
          <w:tcPr>
            <w:tcW w:type="dxa" w:w="2154"/>
            <w:shd w:val="clear" w:color="auto" w:fill="C6EFCE"/>
          </w:tcPr>
          <w:p>
            <w:pPr>
              <w:jc w:val="center"/>
            </w:pPr>
            <w:r>
              <w:rPr>
                <w:b/>
                <w:color w:val="375823"/>
                <w:sz w:val="18"/>
              </w:rPr>
              <w:t>✓</w:t>
            </w:r>
            <w:r>
              <w:rPr>
                <w:b w:val="0"/>
                <w:i/>
                <w:color w:val="375823"/>
                <w:sz w:val="14"/>
              </w:rPr>
              <w:br/>
              <w:t>Workflow estandar SAP de aprobacion</w:t>
            </w:r>
          </w:p>
        </w:tc>
        <w:tc>
          <w:tcPr>
            <w:tcW w:type="dxa" w:w="2665"/>
            <w:shd w:val="clear" w:color="auto" w:fill="FFEB9C"/>
          </w:tcPr>
          <w:p>
            <w:pPr>
              <w:jc w:val="center"/>
            </w:pPr>
            <w:r>
              <w:rPr>
                <w:b/>
                <w:color w:val="744B00"/>
                <w:sz w:val="18"/>
              </w:rPr>
              <w:t>~</w:t>
            </w:r>
            <w:r>
              <w:rPr>
                <w:b w:val="0"/>
                <w:i/>
                <w:color w:val="744B00"/>
                <w:sz w:val="14"/>
              </w:rPr>
              <w:br/>
              <w:t>Implementable, requiere desarrollo adicional</w:t>
            </w:r>
          </w:p>
        </w:tc>
      </w:tr>
      <w:tr>
        <w:tc>
          <w:tcPr>
            <w:tcW w:type="dxa" w:w="4535"/>
            <w:shd w:val="clear" w:color="auto" w:fill="FFFFFF"/>
          </w:tcPr>
          <w:p>
            <w:pPr>
              <w:jc w:val="left"/>
            </w:pPr>
            <w:r>
              <w:rPr>
                <w:color w:val="202020"/>
                <w:sz w:val="18"/>
              </w:rPr>
              <w:t>KPIs de accuracy incorporados (MAPE, MAE, etc.)</w:t>
            </w:r>
          </w:p>
        </w:tc>
        <w:tc>
          <w:tcPr>
            <w:tcW w:type="dxa" w:w="2154"/>
            <w:shd w:val="clear" w:color="auto" w:fill="C6EFCE"/>
          </w:tcPr>
          <w:p>
            <w:pPr>
              <w:jc w:val="center"/>
            </w:pPr>
            <w:r>
              <w:rPr>
                <w:b/>
                <w:color w:val="375823"/>
                <w:sz w:val="18"/>
              </w:rPr>
              <w:t>✓</w:t>
            </w:r>
            <w:r>
              <w:rPr>
                <w:b w:val="0"/>
                <w:i/>
                <w:color w:val="375823"/>
                <w:sz w:val="14"/>
              </w:rPr>
              <w:br/>
              <w:t>Dashboard estandar SAP CAR</w:t>
            </w:r>
          </w:p>
        </w:tc>
        <w:tc>
          <w:tcPr>
            <w:tcW w:type="dxa" w:w="2665"/>
            <w:shd w:val="clear" w:color="auto" w:fill="C6EFCE"/>
          </w:tcPr>
          <w:p>
            <w:pPr>
              <w:jc w:val="center"/>
            </w:pPr>
            <w:r>
              <w:rPr>
                <w:b/>
                <w:color w:val="375823"/>
                <w:sz w:val="18"/>
              </w:rPr>
              <w:t>✓</w:t>
            </w:r>
            <w:r>
              <w:rPr>
                <w:b w:val="0"/>
                <w:i/>
                <w:color w:val="375823"/>
                <w:sz w:val="14"/>
              </w:rPr>
              <w:br/>
              <w:t>Calculados en pipeline + dashboard CAP</w:t>
            </w:r>
          </w:p>
        </w:tc>
      </w:tr>
      <w:tr>
        <w:tc>
          <w:tcPr>
            <w:tcW w:type="dxa" w:w="4535"/>
            <w:shd w:val="clear" w:color="auto" w:fill="FFFFFF"/>
          </w:tcPr>
          <w:p>
            <w:pPr>
              <w:jc w:val="left"/>
            </w:pPr>
            <w:r>
              <w:rPr>
                <w:color w:val="202020"/>
                <w:sz w:val="18"/>
              </w:rPr>
              <w:t>Escalabilidad enterprise (miles de SKUs)</w:t>
            </w:r>
          </w:p>
        </w:tc>
        <w:tc>
          <w:tcPr>
            <w:tcW w:type="dxa" w:w="2154"/>
            <w:shd w:val="clear" w:color="auto" w:fill="C6EFCE"/>
          </w:tcPr>
          <w:p>
            <w:pPr>
              <w:jc w:val="center"/>
            </w:pPr>
            <w:r>
              <w:rPr>
                <w:b/>
                <w:color w:val="375823"/>
                <w:sz w:val="18"/>
              </w:rPr>
              <w:t>✓</w:t>
            </w:r>
            <w:r>
              <w:rPr>
                <w:b w:val="0"/>
                <w:i/>
                <w:color w:val="375823"/>
                <w:sz w:val="14"/>
              </w:rPr>
              <w:br/>
              <w:t>Disenado para escala retail enterprise</w:t>
            </w:r>
          </w:p>
        </w:tc>
        <w:tc>
          <w:tcPr>
            <w:tcW w:type="dxa" w:w="2665"/>
            <w:shd w:val="clear" w:color="auto" w:fill="C6EFCE"/>
          </w:tcPr>
          <w:p>
            <w:pPr>
              <w:jc w:val="center"/>
            </w:pPr>
            <w:r>
              <w:rPr>
                <w:b/>
                <w:color w:val="375823"/>
                <w:sz w:val="18"/>
              </w:rPr>
              <w:t>✓</w:t>
            </w:r>
            <w:r>
              <w:rPr>
                <w:b w:val="0"/>
                <w:i/>
                <w:color w:val="375823"/>
                <w:sz w:val="14"/>
              </w:rPr>
              <w:br/>
              <w:t>Escala con infraestructura SAP AI Core</w:t>
            </w:r>
          </w:p>
        </w:tc>
      </w:tr>
      <w:tr>
        <w:tc>
          <w:tcPr>
            <w:tcW w:type="dxa" w:w="9405"/>
            <w:gridSpan w:val="3"/>
            <w:shd w:val="clear" w:color="auto" w:fill="D6E4F0"/>
          </w:tcPr>
          <w:p>
            <w:pPr>
              <w:jc w:val="left"/>
            </w:pPr>
            <w:r>
              <w:rPr>
                <w:b/>
                <w:color w:val="1F4E79"/>
                <w:sz w:val="18"/>
              </w:rPr>
              <w:t>COSTO Y LICENCIAMIENTO</w:t>
            </w:r>
          </w:p>
        </w:tc>
      </w:tr>
      <w:tr>
        <w:tc>
          <w:tcPr>
            <w:tcW w:type="dxa" w:w="4535"/>
            <w:shd w:val="clear" w:color="auto" w:fill="FFFFFF"/>
          </w:tcPr>
          <w:p>
            <w:pPr>
              <w:jc w:val="left"/>
            </w:pPr>
            <w:r>
              <w:rPr>
                <w:color w:val="202020"/>
                <w:sz w:val="18"/>
              </w:rPr>
              <w:t>Sin costo adicional si el cliente ya tiene SAP CAR</w:t>
            </w:r>
          </w:p>
        </w:tc>
        <w:tc>
          <w:tcPr>
            <w:tcW w:type="dxa" w:w="2154"/>
            <w:shd w:val="clear" w:color="auto" w:fill="C6EFCE"/>
          </w:tcPr>
          <w:p>
            <w:pPr>
              <w:jc w:val="center"/>
            </w:pPr>
            <w:r>
              <w:rPr>
                <w:b/>
                <w:color w:val="375823"/>
                <w:sz w:val="18"/>
              </w:rPr>
              <w:t>✓</w:t>
            </w:r>
            <w:r>
              <w:rPr>
                <w:b w:val="0"/>
                <w:i/>
                <w:color w:val="375823"/>
                <w:sz w:val="14"/>
              </w:rPr>
              <w:br/>
              <w:t>Funcionalidad incluida en licencia CAR</w:t>
            </w:r>
          </w:p>
        </w:tc>
        <w:tc>
          <w:tcPr>
            <w:tcW w:type="dxa" w:w="2665"/>
            <w:shd w:val="clear" w:color="auto" w:fill="FFC7CE"/>
          </w:tcPr>
          <w:p>
            <w:pPr>
              <w:jc w:val="center"/>
            </w:pPr>
            <w:r>
              <w:rPr>
                <w:b/>
                <w:color w:val="9C0006"/>
                <w:sz w:val="18"/>
              </w:rPr>
              <w:t>✗</w:t>
            </w:r>
            <w:r>
              <w:rPr>
                <w:b w:val="0"/>
                <w:i/>
                <w:color w:val="9C0006"/>
                <w:sz w:val="14"/>
              </w:rPr>
              <w:br/>
              <w:t>Requiere licencia SAP AI Core adicional</w:t>
            </w:r>
          </w:p>
        </w:tc>
      </w:tr>
      <w:tr>
        <w:tc>
          <w:tcPr>
            <w:tcW w:type="dxa" w:w="4535"/>
            <w:shd w:val="clear" w:color="auto" w:fill="FFFFFF"/>
          </w:tcPr>
          <w:p>
            <w:pPr>
              <w:jc w:val="left"/>
            </w:pPr>
            <w:r>
              <w:rPr>
                <w:color w:val="202020"/>
                <w:sz w:val="18"/>
              </w:rPr>
              <w:t>Aplicable si el cliente NO tiene SAP CAR</w:t>
            </w:r>
          </w:p>
        </w:tc>
        <w:tc>
          <w:tcPr>
            <w:tcW w:type="dxa" w:w="2154"/>
            <w:shd w:val="clear" w:color="auto" w:fill="FFC7CE"/>
          </w:tcPr>
          <w:p>
            <w:pPr>
              <w:jc w:val="center"/>
            </w:pPr>
            <w:r>
              <w:rPr>
                <w:b/>
                <w:color w:val="9C0006"/>
                <w:sz w:val="18"/>
              </w:rPr>
              <w:t>✗</w:t>
            </w:r>
            <w:r>
              <w:rPr>
                <w:b w:val="0"/>
                <w:i/>
                <w:color w:val="9C0006"/>
                <w:sz w:val="14"/>
              </w:rPr>
              <w:br/>
              <w:t>Requiere adquirir licencia SAP CAR</w:t>
            </w:r>
          </w:p>
        </w:tc>
        <w:tc>
          <w:tcPr>
            <w:tcW w:type="dxa" w:w="2665"/>
            <w:shd w:val="clear" w:color="auto" w:fill="C6EFCE"/>
          </w:tcPr>
          <w:p>
            <w:pPr>
              <w:jc w:val="center"/>
            </w:pPr>
            <w:r>
              <w:rPr>
                <w:b/>
                <w:color w:val="375823"/>
                <w:sz w:val="18"/>
              </w:rPr>
              <w:t>✓</w:t>
            </w:r>
            <w:r>
              <w:rPr>
                <w:b w:val="0"/>
                <w:i/>
                <w:color w:val="375823"/>
                <w:sz w:val="14"/>
              </w:rPr>
              <w:br/>
              <w:t>Solo SAP AI Core — menor inversion inicial</w:t>
            </w:r>
          </w:p>
        </w:tc>
      </w:tr>
      <w:tr>
        <w:tc>
          <w:tcPr>
            <w:tcW w:type="dxa" w:w="4535"/>
            <w:shd w:val="clear" w:color="auto" w:fill="FFFFFF"/>
          </w:tcPr>
          <w:p>
            <w:pPr>
              <w:jc w:val="left"/>
            </w:pPr>
            <w:r>
              <w:rPr>
                <w:color w:val="202020"/>
                <w:sz w:val="18"/>
              </w:rPr>
              <w:t>Control total sobre logica y features del modelo</w:t>
            </w:r>
          </w:p>
        </w:tc>
        <w:tc>
          <w:tcPr>
            <w:tcW w:type="dxa" w:w="2154"/>
            <w:shd w:val="clear" w:color="auto" w:fill="FFC7CE"/>
          </w:tcPr>
          <w:p>
            <w:pPr>
              <w:jc w:val="center"/>
            </w:pPr>
            <w:r>
              <w:rPr>
                <w:b/>
                <w:color w:val="9C0006"/>
                <w:sz w:val="18"/>
              </w:rPr>
              <w:t>✗</w:t>
            </w:r>
            <w:r>
              <w:rPr>
                <w:b w:val="0"/>
                <w:i/>
                <w:color w:val="9C0006"/>
                <w:sz w:val="14"/>
              </w:rPr>
              <w:br/>
              <w:t>Modelo fijo de SAP, no customizable</w:t>
            </w:r>
          </w:p>
        </w:tc>
        <w:tc>
          <w:tcPr>
            <w:tcW w:type="dxa" w:w="2665"/>
            <w:shd w:val="clear" w:color="auto" w:fill="C6EFCE"/>
          </w:tcPr>
          <w:p>
            <w:pPr>
              <w:jc w:val="center"/>
            </w:pPr>
            <w:r>
              <w:rPr>
                <w:b/>
                <w:color w:val="375823"/>
                <w:sz w:val="18"/>
              </w:rPr>
              <w:t>✓</w:t>
            </w:r>
            <w:r>
              <w:rPr>
                <w:b w:val="0"/>
                <w:i/>
                <w:color w:val="375823"/>
                <w:sz w:val="14"/>
              </w:rPr>
              <w:br/>
              <w:t>Total flexibilidad en ingenieria de features</w:t>
            </w:r>
          </w:p>
        </w:tc>
      </w:tr>
    </w:tbl>
    <w:p/>
    <w:p/>
    <w:p>
      <w:pPr>
        <w:pStyle w:val="Heading1"/>
      </w:pPr>
      <w:r>
        <w:t>7. Lo que UDF Nunca Podra Hacer — Limitaciones Estructurales</w:t>
      </w:r>
    </w:p>
    <w:p>
      <w:r>
        <w:t>Las siguientes capacidades son estructuralmente imposibles para UDF independientemente del nivel de configuracion, de contar con SAP TPM, MRP, IBP u otros modulos adicionales. No son brechas de implementacion — son limitaciones inherentes a la arquitectura y los algoritmos estadisticos que UDF utiliza por diseno.</w:t>
      </w:r>
    </w:p>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7B2D00"/>
          </w:tcPr>
          <w:p>
            <w:pPr>
              <w:jc w:val="center"/>
            </w:pPr>
            <w:r>
              <w:rPr>
                <w:b/>
                <w:color w:val="FFFFFF"/>
                <w:sz w:val="18"/>
              </w:rPr>
              <w:t>Capacidad</w:t>
            </w:r>
          </w:p>
        </w:tc>
        <w:tc>
          <w:tcPr>
            <w:tcW w:type="dxa" w:w="3969"/>
            <w:shd w:val="clear" w:color="auto" w:fill="7B2D00"/>
          </w:tcPr>
          <w:p>
            <w:pPr>
              <w:jc w:val="center"/>
            </w:pPr>
            <w:r>
              <w:rPr>
                <w:b/>
                <w:color w:val="FFFFFF"/>
                <w:sz w:val="18"/>
              </w:rPr>
              <w:t>UDF — configuracion maxima</w:t>
              <w:br/>
              <w:t>(con TPM y todos los modulos SAP)</w:t>
            </w:r>
          </w:p>
        </w:tc>
        <w:tc>
          <w:tcPr>
            <w:tcW w:type="dxa" w:w="2835"/>
            <w:shd w:val="clear" w:color="auto" w:fill="7B2D00"/>
          </w:tcPr>
          <w:p>
            <w:pPr>
              <w:jc w:val="center"/>
            </w:pPr>
            <w:r>
              <w:rPr>
                <w:b/>
                <w:color w:val="FFFFFF"/>
                <w:sz w:val="18"/>
              </w:rPr>
              <w:t>Modelo Custom (SAP AI Core)</w:t>
            </w:r>
          </w:p>
        </w:tc>
      </w:tr>
      <w:tr>
        <w:tc>
          <w:tcPr>
            <w:tcW w:type="dxa" w:w="2551"/>
            <w:shd w:val="clear" w:color="auto" w:fill="F2F2F2"/>
          </w:tcPr>
          <w:p>
            <w:pPr>
              <w:jc w:val="left"/>
            </w:pPr>
            <w:r>
              <w:rPr>
                <w:b/>
                <w:color w:val="202020"/>
                <w:sz w:val="18"/>
              </w:rPr>
              <w:t>Interacciones no-lineales entre variables</w:t>
            </w:r>
          </w:p>
        </w:tc>
        <w:tc>
          <w:tcPr>
            <w:tcW w:type="dxa" w:w="3969"/>
            <w:shd w:val="clear" w:color="auto" w:fill="FFC7CE"/>
          </w:tcPr>
          <w:p>
            <w:pPr>
              <w:jc w:val="left"/>
            </w:pPr>
            <w:r>
              <w:rPr>
                <w:b/>
                <w:color w:val="9C0006"/>
                <w:sz w:val="20"/>
              </w:rPr>
              <w:t xml:space="preserve">✗  </w:t>
            </w:r>
            <w:r>
              <w:rPr>
                <w:b w:val="0"/>
                <w:color w:val="9C0006"/>
                <w:sz w:val="16"/>
              </w:rPr>
              <w:t>Imposible. Holt-Winters y Croston son modelos lineales/aditivos por diseno matematico. Ninguna configuracion cambia su naturaleza algoritmica.</w:t>
            </w:r>
          </w:p>
        </w:tc>
        <w:tc>
          <w:tcPr>
            <w:tcW w:type="dxa" w:w="2835"/>
            <w:shd w:val="clear" w:color="auto" w:fill="C6EFCE"/>
          </w:tcPr>
          <w:p>
            <w:pPr>
              <w:jc w:val="left"/>
            </w:pPr>
            <w:r>
              <w:rPr>
                <w:b/>
                <w:color w:val="375823"/>
                <w:sz w:val="20"/>
              </w:rPr>
              <w:t xml:space="preserve">✓  </w:t>
            </w:r>
            <w:r>
              <w:rPr>
                <w:b w:val="0"/>
                <w:color w:val="375823"/>
                <w:sz w:val="16"/>
              </w:rPr>
              <w:t>Fortaleza central de RandomForest — captura combinaciones como "quincena + fin de mes + lunes" como un efecto unico.</w:t>
            </w:r>
          </w:p>
        </w:tc>
      </w:tr>
      <w:tr>
        <w:tc>
          <w:tcPr>
            <w:tcW w:type="dxa" w:w="2551"/>
            <w:shd w:val="clear" w:color="auto" w:fill="F2F2F2"/>
          </w:tcPr>
          <w:p>
            <w:pPr>
              <w:jc w:val="left"/>
            </w:pPr>
            <w:r>
              <w:rPr>
                <w:b/>
                <w:color w:val="202020"/>
                <w:sz w:val="18"/>
              </w:rPr>
              <w:t>Ingesta de datos externos via API</w:t>
              <w:br/>
              <w:t>(clima, Banco Central RD, remesas, turismo)</w:t>
            </w:r>
          </w:p>
        </w:tc>
        <w:tc>
          <w:tcPr>
            <w:tcW w:type="dxa" w:w="3969"/>
            <w:shd w:val="clear" w:color="auto" w:fill="FFC7CE"/>
          </w:tcPr>
          <w:p>
            <w:pPr>
              <w:jc w:val="left"/>
            </w:pPr>
            <w:r>
              <w:rPr>
                <w:b/>
                <w:color w:val="9C0006"/>
                <w:sz w:val="20"/>
              </w:rPr>
              <w:t xml:space="preserve">✗  </w:t>
            </w:r>
            <w:r>
              <w:rPr>
                <w:b w:val="0"/>
                <w:color w:val="9C0006"/>
                <w:sz w:val="16"/>
              </w:rPr>
              <w:t>Imposible. Arquitectura cerrada — UDF solo ingiere lo que fluye por pipelines SAP estandar. No existe mecanismo para consumir fuentes externas.</w:t>
            </w:r>
          </w:p>
        </w:tc>
        <w:tc>
          <w:tcPr>
            <w:tcW w:type="dxa" w:w="2835"/>
            <w:shd w:val="clear" w:color="auto" w:fill="C6EFCE"/>
          </w:tcPr>
          <w:p>
            <w:pPr>
              <w:jc w:val="left"/>
            </w:pPr>
            <w:r>
              <w:rPr>
                <w:b/>
                <w:color w:val="375823"/>
                <w:sz w:val="20"/>
              </w:rPr>
              <w:t xml:space="preserve">✓  </w:t>
            </w:r>
            <w:r>
              <w:rPr>
                <w:b w:val="0"/>
                <w:color w:val="375823"/>
                <w:sz w:val="16"/>
              </w:rPr>
              <w:t>Cualquier fuente externa integrable: API meteorologica, indicadores del Banco Central RD, datos de turismo.</w:t>
            </w:r>
          </w:p>
        </w:tc>
      </w:tr>
      <w:tr>
        <w:tc>
          <w:tcPr>
            <w:tcW w:type="dxa" w:w="2551"/>
            <w:shd w:val="clear" w:color="auto" w:fill="F2F2F2"/>
          </w:tcPr>
          <w:p>
            <w:pPr>
              <w:jc w:val="left"/>
            </w:pPr>
            <w:r>
              <w:rPr>
                <w:b/>
                <w:color w:val="202020"/>
                <w:sz w:val="18"/>
              </w:rPr>
              <w:t>Feature importance / explicabilidad de negocio</w:t>
            </w:r>
          </w:p>
        </w:tc>
        <w:tc>
          <w:tcPr>
            <w:tcW w:type="dxa" w:w="3969"/>
            <w:shd w:val="clear" w:color="auto" w:fill="FFC7CE"/>
          </w:tcPr>
          <w:p>
            <w:pPr>
              <w:jc w:val="left"/>
            </w:pPr>
            <w:r>
              <w:rPr>
                <w:b/>
                <w:color w:val="9C0006"/>
                <w:sz w:val="20"/>
              </w:rPr>
              <w:t xml:space="preserve">✗  </w:t>
            </w:r>
            <w:r>
              <w:rPr>
                <w:b w:val="0"/>
                <w:color w:val="9C0006"/>
                <w:sz w:val="16"/>
              </w:rPr>
              <w:t>Imposible. Los modelos estadisticos no producen importancia de variables. Nunca sabras cuanto pesa la Regalia Pascual en el forecast.</w:t>
            </w:r>
          </w:p>
        </w:tc>
        <w:tc>
          <w:tcPr>
            <w:tcW w:type="dxa" w:w="2835"/>
            <w:shd w:val="clear" w:color="auto" w:fill="C6EFCE"/>
          </w:tcPr>
          <w:p>
            <w:pPr>
              <w:jc w:val="left"/>
            </w:pPr>
            <w:r>
              <w:rPr>
                <w:b/>
                <w:color w:val="375823"/>
                <w:sz w:val="20"/>
              </w:rPr>
              <w:t xml:space="preserve">✓  </w:t>
            </w:r>
            <w:r>
              <w:rPr>
                <w:b w:val="0"/>
                <w:color w:val="375823"/>
                <w:sz w:val="16"/>
              </w:rPr>
              <w:t>"La Regalia Pascual explica el 22% del error de abril en la tienda de Santiago."</w:t>
            </w:r>
          </w:p>
        </w:tc>
      </w:tr>
      <w:tr>
        <w:tc>
          <w:tcPr>
            <w:tcW w:type="dxa" w:w="2551"/>
            <w:shd w:val="clear" w:color="auto" w:fill="F2F2F2"/>
          </w:tcPr>
          <w:p>
            <w:pPr>
              <w:jc w:val="left"/>
            </w:pPr>
            <w:r>
              <w:rPr>
                <w:b/>
                <w:color w:val="202020"/>
                <w:sz w:val="18"/>
              </w:rPr>
              <w:t>Magnitud aprendida de eventos unicos</w:t>
              <w:br/>
              <w:t>(ej. Regalia Pascual)</w:t>
            </w:r>
          </w:p>
        </w:tc>
        <w:tc>
          <w:tcPr>
            <w:tcW w:type="dxa" w:w="3969"/>
            <w:shd w:val="clear" w:color="auto" w:fill="FFC7CE"/>
          </w:tcPr>
          <w:p>
            <w:pPr>
              <w:jc w:val="left"/>
            </w:pPr>
            <w:r>
              <w:rPr>
                <w:b/>
                <w:color w:val="9C0006"/>
                <w:sz w:val="20"/>
              </w:rPr>
              <w:t xml:space="preserve">✗  </w:t>
            </w:r>
            <w:r>
              <w:rPr>
                <w:b w:val="0"/>
                <w:color w:val="9C0006"/>
                <w:sz w:val="16"/>
              </w:rPr>
              <w:t>Solo puede marcarla como feriado con efecto plano y fijo. Nunca aprende del historico cuanto sube exactamente cada producto en ese evento.</w:t>
            </w:r>
          </w:p>
        </w:tc>
        <w:tc>
          <w:tcPr>
            <w:tcW w:type="dxa" w:w="2835"/>
            <w:shd w:val="clear" w:color="auto" w:fill="C6EFCE"/>
          </w:tcPr>
          <w:p>
            <w:pPr>
              <w:jc w:val="left"/>
            </w:pPr>
            <w:r>
              <w:rPr>
                <w:b/>
                <w:color w:val="375823"/>
                <w:sz w:val="20"/>
              </w:rPr>
              <w:t xml:space="preserve">✓  </w:t>
            </w:r>
            <w:r>
              <w:rPr>
                <w:b w:val="0"/>
                <w:color w:val="375823"/>
                <w:sz w:val="16"/>
              </w:rPr>
              <w:t>Aprende la magnitud real por producto y por tienda directamente desde el historico.</w:t>
            </w:r>
          </w:p>
        </w:tc>
      </w:tr>
      <w:tr>
        <w:tc>
          <w:tcPr>
            <w:tcW w:type="dxa" w:w="2551"/>
            <w:shd w:val="clear" w:color="auto" w:fill="F2F2F2"/>
          </w:tcPr>
          <w:p>
            <w:pPr>
              <w:jc w:val="left"/>
            </w:pPr>
            <w:r>
              <w:rPr>
                <w:b/>
                <w:color w:val="202020"/>
                <w:sz w:val="18"/>
              </w:rPr>
              <w:t>Aprendizaje cruzado entre SKUs</w:t>
            </w:r>
          </w:p>
        </w:tc>
        <w:tc>
          <w:tcPr>
            <w:tcW w:type="dxa" w:w="3969"/>
            <w:shd w:val="clear" w:color="auto" w:fill="FFC7CE"/>
          </w:tcPr>
          <w:p>
            <w:pPr>
              <w:jc w:val="left"/>
            </w:pPr>
            <w:r>
              <w:rPr>
                <w:b/>
                <w:color w:val="9C0006"/>
                <w:sz w:val="20"/>
              </w:rPr>
              <w:t xml:space="preserve">✗  </w:t>
            </w:r>
            <w:r>
              <w:rPr>
                <w:b w:val="0"/>
                <w:color w:val="9C0006"/>
                <w:sz w:val="16"/>
              </w:rPr>
              <w:t>Imposible. Cada serie se modela de forma completamente independiente. No detecta que cuando los licores suben en diciembre, los vasos desechables siguen el mismo patron.</w:t>
            </w:r>
          </w:p>
        </w:tc>
        <w:tc>
          <w:tcPr>
            <w:tcW w:type="dxa" w:w="2835"/>
            <w:shd w:val="clear" w:color="auto" w:fill="C6EFCE"/>
          </w:tcPr>
          <w:p>
            <w:pPr>
              <w:jc w:val="left"/>
            </w:pPr>
            <w:r>
              <w:rPr>
                <w:b/>
                <w:color w:val="375823"/>
                <w:sz w:val="20"/>
              </w:rPr>
              <w:t xml:space="preserve">✓  </w:t>
            </w:r>
            <w:r>
              <w:rPr>
                <w:b w:val="0"/>
                <w:color w:val="375823"/>
                <w:sz w:val="16"/>
              </w:rPr>
              <w:t>El modelo aprende correlaciones entre productos dentro de la misma sesion de entrenamiento.</w:t>
            </w:r>
          </w:p>
        </w:tc>
      </w:tr>
    </w:tbl>
    <w:p/>
    <w:p>
      <w:pPr>
        <w:pStyle w:val="Heading1"/>
      </w:pPr>
      <w:r>
        <w:t>8. Diferencias de Diseno — Enfoques Distintos</w:t>
      </w:r>
    </w:p>
    <w:p>
      <w:r>
        <w:t>Las siguientes caracteristicas no representan ventajas ni desventajas de ninguna solucion — son decisiones de arquitectura y enfoque. Se presentan separadas para evitar confusiones en la interpretacion de la tabla comparativa anterior.</w:t>
      </w:r>
    </w:p>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E4057"/>
          </w:tcPr>
          <w:p>
            <w:pPr>
              <w:jc w:val="center"/>
            </w:pPr>
            <w:r>
              <w:rPr>
                <w:b/>
                <w:color w:val="FFFFFF"/>
                <w:sz w:val="20"/>
              </w:rPr>
              <w:t>Dimension</w:t>
            </w:r>
          </w:p>
        </w:tc>
        <w:tc>
          <w:tcPr>
            <w:tcW w:type="dxa" w:w="3118"/>
            <w:shd w:val="clear" w:color="auto" w:fill="2E4057"/>
          </w:tcPr>
          <w:p>
            <w:pPr>
              <w:jc w:val="center"/>
            </w:pPr>
            <w:r>
              <w:rPr>
                <w:b/>
                <w:color w:val="FFFFFF"/>
                <w:sz w:val="20"/>
              </w:rPr>
              <w:t>SAP CAR UDF</w:t>
            </w:r>
          </w:p>
        </w:tc>
        <w:tc>
          <w:tcPr>
            <w:tcW w:type="dxa" w:w="3402"/>
            <w:shd w:val="clear" w:color="auto" w:fill="2E4057"/>
          </w:tcPr>
          <w:p>
            <w:pPr>
              <w:jc w:val="center"/>
            </w:pPr>
            <w:r>
              <w:rPr>
                <w:b/>
                <w:color w:val="FFFFFF"/>
                <w:sz w:val="20"/>
              </w:rPr>
              <w:t>Modelo Custom (SAP AI Core)</w:t>
            </w:r>
          </w:p>
        </w:tc>
      </w:tr>
      <w:tr>
        <w:tc>
          <w:tcPr>
            <w:tcW w:type="dxa" w:w="2835"/>
            <w:shd w:val="clear" w:color="auto" w:fill="F5F5F5"/>
          </w:tcPr>
          <w:p>
            <w:pPr>
              <w:jc w:val="left"/>
            </w:pPr>
            <w:r>
              <w:rPr>
                <w:b/>
                <w:color w:val="202020"/>
                <w:sz w:val="18"/>
              </w:rPr>
              <w:t>Fuente principal de datos</w:t>
            </w:r>
          </w:p>
        </w:tc>
        <w:tc>
          <w:tcPr>
            <w:tcW w:type="dxa" w:w="3118"/>
            <w:shd w:val="clear" w:color="auto" w:fill="F5F5F5"/>
          </w:tcPr>
          <w:p>
            <w:pPr>
              <w:jc w:val="left"/>
            </w:pPr>
            <w:r>
              <w:rPr>
                <w:b w:val="0"/>
                <w:color w:val="202020"/>
                <w:sz w:val="18"/>
              </w:rPr>
              <w:t>Ventas del POS (caja registradora)</w:t>
            </w:r>
          </w:p>
        </w:tc>
        <w:tc>
          <w:tcPr>
            <w:tcW w:type="dxa" w:w="3402"/>
            <w:shd w:val="clear" w:color="auto" w:fill="F5F5F5"/>
          </w:tcPr>
          <w:p>
            <w:pPr>
              <w:jc w:val="left"/>
            </w:pPr>
            <w:r>
              <w:rPr>
                <w:b w:val="0"/>
                <w:color w:val="202020"/>
                <w:sz w:val="18"/>
              </w:rPr>
              <w:t>Consumo historico e inventario proyectado</w:t>
            </w:r>
          </w:p>
        </w:tc>
      </w:tr>
      <w:tr>
        <w:tc>
          <w:tcPr>
            <w:tcW w:type="dxa" w:w="2835"/>
            <w:shd w:val="clear" w:color="auto" w:fill="EAEAEA"/>
          </w:tcPr>
          <w:p>
            <w:pPr>
              <w:jc w:val="left"/>
            </w:pPr>
            <w:r>
              <w:rPr>
                <w:b/>
                <w:color w:val="202020"/>
                <w:sz w:val="18"/>
              </w:rPr>
              <w:t>Pregunta de negocio que responde</w:t>
            </w:r>
          </w:p>
        </w:tc>
        <w:tc>
          <w:tcPr>
            <w:tcW w:type="dxa" w:w="3118"/>
            <w:shd w:val="clear" w:color="auto" w:fill="EAEAEA"/>
          </w:tcPr>
          <w:p>
            <w:pPr>
              <w:jc w:val="left"/>
            </w:pPr>
            <w:r>
              <w:rPr>
                <w:b w:val="0"/>
                <w:color w:val="202020"/>
                <w:sz w:val="18"/>
              </w:rPr>
              <w:t>"Cuanto venderemos el proximo periodo?"</w:t>
            </w:r>
          </w:p>
        </w:tc>
        <w:tc>
          <w:tcPr>
            <w:tcW w:type="dxa" w:w="3402"/>
            <w:shd w:val="clear" w:color="auto" w:fill="EAEAEA"/>
          </w:tcPr>
          <w:p>
            <w:pPr>
              <w:jc w:val="left"/>
            </w:pPr>
            <w:r>
              <w:rPr>
                <w:b w:val="0"/>
                <w:color w:val="202020"/>
                <w:sz w:val="18"/>
              </w:rPr>
              <w:t>"Cuantos dias de stock nos quedan antes de desabastecernos?"</w:t>
            </w:r>
          </w:p>
        </w:tc>
      </w:tr>
      <w:tr>
        <w:tc>
          <w:tcPr>
            <w:tcW w:type="dxa" w:w="2835"/>
            <w:shd w:val="clear" w:color="auto" w:fill="F5F5F5"/>
          </w:tcPr>
          <w:p>
            <w:pPr>
              <w:jc w:val="left"/>
            </w:pPr>
            <w:r>
              <w:rPr>
                <w:b/>
                <w:color w:val="202020"/>
                <w:sz w:val="18"/>
              </w:rPr>
              <w:t>Arquitectura para reabastecimiento proactivo</w:t>
            </w:r>
          </w:p>
        </w:tc>
        <w:tc>
          <w:tcPr>
            <w:tcW w:type="dxa" w:w="3118"/>
            <w:shd w:val="clear" w:color="auto" w:fill="F5F5F5"/>
          </w:tcPr>
          <w:p>
            <w:pPr>
              <w:jc w:val="left"/>
            </w:pPr>
            <w:r>
              <w:rPr>
                <w:b w:val="0"/>
                <w:color w:val="202020"/>
                <w:sz w:val="18"/>
              </w:rPr>
              <w:t>UDF conectado con MRP e IBP (cadena SAP completa)</w:t>
            </w:r>
          </w:p>
        </w:tc>
        <w:tc>
          <w:tcPr>
            <w:tcW w:type="dxa" w:w="3402"/>
            <w:shd w:val="clear" w:color="auto" w:fill="F5F5F5"/>
          </w:tcPr>
          <w:p>
            <w:pPr>
              <w:jc w:val="left"/>
            </w:pPr>
            <w:r>
              <w:rPr>
                <w:b w:val="0"/>
                <w:color w:val="202020"/>
                <w:sz w:val="18"/>
              </w:rPr>
              <w:t>Modelo integrado directamente con CAP y sistema de compras</w:t>
            </w:r>
          </w:p>
        </w:tc>
      </w:tr>
      <w:tr>
        <w:tc>
          <w:tcPr>
            <w:tcW w:type="dxa" w:w="2835"/>
            <w:shd w:val="clear" w:color="auto" w:fill="EAEAEA"/>
          </w:tcPr>
          <w:p>
            <w:pPr>
              <w:jc w:val="left"/>
            </w:pPr>
            <w:r>
              <w:rPr>
                <w:b/>
                <w:color w:val="202020"/>
                <w:sz w:val="18"/>
              </w:rPr>
              <w:t>Tipo de alerta adicional disponible</w:t>
            </w:r>
          </w:p>
        </w:tc>
        <w:tc>
          <w:tcPr>
            <w:tcW w:type="dxa" w:w="3118"/>
            <w:shd w:val="clear" w:color="auto" w:fill="EAEAEA"/>
          </w:tcPr>
          <w:p>
            <w:pPr>
              <w:jc w:val="left"/>
            </w:pPr>
            <w:r>
              <w:rPr>
                <w:b w:val="0"/>
                <w:color w:val="202020"/>
                <w:sz w:val="18"/>
              </w:rPr>
              <w:t>Desviacion de ventas vs. forecast (post-evento)</w:t>
            </w:r>
          </w:p>
        </w:tc>
        <w:tc>
          <w:tcPr>
            <w:tcW w:type="dxa" w:w="3402"/>
            <w:shd w:val="clear" w:color="auto" w:fill="EAEAEA"/>
          </w:tcPr>
          <w:p>
            <w:pPr>
              <w:jc w:val="left"/>
            </w:pPr>
            <w:r>
              <w:rPr>
                <w:b w:val="0"/>
                <w:color w:val="202020"/>
                <w:sz w:val="18"/>
              </w:rPr>
              <w:t>Proyeccion de quiebre de stock por fecha futura</w:t>
            </w:r>
          </w:p>
        </w:tc>
      </w:tr>
      <w:tr>
        <w:tc>
          <w:tcPr>
            <w:tcW w:type="dxa" w:w="2835"/>
            <w:shd w:val="clear" w:color="auto" w:fill="F5F5F5"/>
          </w:tcPr>
          <w:p>
            <w:pPr>
              <w:jc w:val="left"/>
            </w:pPr>
            <w:r>
              <w:rPr>
                <w:b/>
                <w:color w:val="202020"/>
                <w:sz w:val="18"/>
              </w:rPr>
              <w:t>Soporte y mantenimiento</w:t>
            </w:r>
          </w:p>
        </w:tc>
        <w:tc>
          <w:tcPr>
            <w:tcW w:type="dxa" w:w="3118"/>
            <w:shd w:val="clear" w:color="auto" w:fill="F5F5F5"/>
          </w:tcPr>
          <w:p>
            <w:pPr>
              <w:jc w:val="left"/>
            </w:pPr>
            <w:r>
              <w:rPr>
                <w:b w:val="0"/>
                <w:color w:val="202020"/>
                <w:sz w:val="18"/>
              </w:rPr>
              <w:t>SAP Standard incluido en licencia CAR</w:t>
            </w:r>
          </w:p>
        </w:tc>
        <w:tc>
          <w:tcPr>
            <w:tcW w:type="dxa" w:w="3402"/>
            <w:shd w:val="clear" w:color="auto" w:fill="F5F5F5"/>
          </w:tcPr>
          <w:p>
            <w:pPr>
              <w:jc w:val="left"/>
            </w:pPr>
            <w:r>
              <w:rPr>
                <w:b w:val="0"/>
                <w:color w:val="202020"/>
                <w:sz w:val="18"/>
              </w:rPr>
              <w:t>Responsabilidad del equipo de desarrollo del cliente</w:t>
            </w:r>
          </w:p>
        </w:tc>
      </w:tr>
      <w:tr>
        <w:tc>
          <w:tcPr>
            <w:tcW w:type="dxa" w:w="2835"/>
            <w:shd w:val="clear" w:color="auto" w:fill="EAEAEA"/>
          </w:tcPr>
          <w:p>
            <w:pPr>
              <w:jc w:val="left"/>
            </w:pPr>
            <w:r>
              <w:rPr>
                <w:b/>
                <w:color w:val="202020"/>
                <w:sz w:val="18"/>
              </w:rPr>
              <w:t>Modelo de licenciamiento</w:t>
            </w:r>
          </w:p>
        </w:tc>
        <w:tc>
          <w:tcPr>
            <w:tcW w:type="dxa" w:w="3118"/>
            <w:shd w:val="clear" w:color="auto" w:fill="EAEAEA"/>
          </w:tcPr>
          <w:p>
            <w:pPr>
              <w:jc w:val="left"/>
            </w:pPr>
            <w:r>
              <w:rPr>
                <w:b w:val="0"/>
                <w:color w:val="202020"/>
                <w:sz w:val="18"/>
              </w:rPr>
              <w:t>Incluido en licencia SAP CAR</w:t>
            </w:r>
          </w:p>
        </w:tc>
        <w:tc>
          <w:tcPr>
            <w:tcW w:type="dxa" w:w="3402"/>
            <w:shd w:val="clear" w:color="auto" w:fill="EAEAEA"/>
          </w:tcPr>
          <w:p>
            <w:pPr>
              <w:jc w:val="left"/>
            </w:pPr>
            <w:r>
              <w:rPr>
                <w:b w:val="0"/>
                <w:color w:val="202020"/>
                <w:sz w:val="18"/>
              </w:rPr>
              <w:t>SAP AI Core (licencia independiente)</w:t>
            </w:r>
          </w:p>
        </w:tc>
      </w:tr>
    </w:tbl>
    <w:p/>
    <w:p>
      <w:pPr>
        <w:pStyle w:val="Heading1"/>
      </w:pPr>
      <w:r>
        <w:t>9. Conclusiones y Recomendacion</w:t>
      </w:r>
    </w:p>
    <w:p>
      <w:r>
        <w:rPr>
          <w:b/>
        </w:rPr>
        <w:t>UDF es la solucion adecuada si:</w:t>
      </w:r>
    </w:p>
    <w:p>
      <w:pPr>
        <w:pStyle w:val="ListBullet"/>
      </w:pPr>
      <w:r>
        <w:t>Grupo Ramos ya cuenta con licencia SAP CAR activa.</w:t>
      </w:r>
    </w:p>
    <w:p>
      <w:pPr>
        <w:pStyle w:val="ListBullet"/>
      </w:pPr>
      <w:r>
        <w:t>El foco es la integracion estandar con MRP/IBP sin desarrollo.</w:t>
      </w:r>
    </w:p>
    <w:p>
      <w:pPr>
        <w:pStyle w:val="ListBullet"/>
      </w:pPr>
      <w:r>
        <w:t>No se requiere incorporar senales de negocio propias del mercado dominicano.</w:t>
      </w:r>
    </w:p>
    <w:p/>
    <w:p>
      <w:r>
        <w:rPr>
          <w:b/>
        </w:rPr>
        <w:t>El Modelo Custom es la solucion superior si:</w:t>
      </w:r>
    </w:p>
    <w:p>
      <w:pPr>
        <w:pStyle w:val="ListBullet"/>
      </w:pPr>
      <w:r>
        <w:t>Se quiere incorporar Regalia Pascual, quincenas, remesas, alertas de huracan o cualquier senal propia.</w:t>
      </w:r>
    </w:p>
    <w:p>
      <w:pPr>
        <w:pStyle w:val="ListBullet"/>
      </w:pPr>
      <w:r>
        <w:t>Se requiere diferenciacion de prediccion por tienda o region (Santo Domingo, Santiago, Punta Cana, etc.).</w:t>
      </w:r>
    </w:p>
    <w:p>
      <w:pPr>
        <w:pStyle w:val="ListBullet"/>
      </w:pPr>
      <w:r>
        <w:t>Se quiere entender QUE variables impulsan el consumo (feature importance = inteligencia de negocio).</w:t>
      </w:r>
    </w:p>
    <w:p>
      <w:pPr>
        <w:pStyle w:val="ListBullet"/>
      </w:pPr>
      <w:r>
        <w:t>Grupo Ramos no tiene licencia SAP CAR (evita esa inversion).</w:t>
      </w:r>
    </w:p>
    <w:p>
      <w:pPr>
        <w:pStyle w:val="ListBullet"/>
      </w:pPr>
      <w:r>
        <w:t>Se proyecta crecimiento del modelo con nuevas fuentes de datos externas.</w:t>
      </w:r>
    </w:p>
    <w:p>
      <w:pPr>
        <w:pStyle w:val="ListBullet"/>
      </w:pPr>
      <w:r>
        <w:t>Se necesita reentrenar el modelo frecuentemente a medida que el negocio evoluciona.</w:t>
      </w:r>
    </w:p>
    <w:p/>
    <w:p>
      <w:r>
        <w:rPr>
          <w:b/>
        </w:rPr>
        <w:t xml:space="preserve">Recomendacion final: </w:t>
      </w:r>
      <w:r>
        <w:t>Dado el perfil de Grupo Ramos como operador de gran superficie en Republica Dominicana, con eventos comerciales y ciclos de pago unicos del mercado dominicano — especialmente la Regalia Pascual, las quincenas y el efecto de las remesas en Navidad y Dia de las Madres — el Modelo Custom en SAP AI Core representa la opcion con mayor retorno de inversion en precision de prediccion. UDF estandar no fue disenado para capturar la riqueza de senales de negocio disponibles en este contexto especifico.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