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qhp8onhcv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775"/>
        <w:gridCol w:w="7305"/>
        <w:tblGridChange w:id="0">
          <w:tblGrid>
            <w:gridCol w:w="2775"/>
            <w:gridCol w:w="73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Genesis Maribel Cortez Zuñiga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20"/>
        <w:gridCol w:w="840"/>
        <w:gridCol w:w="810"/>
        <w:gridCol w:w="915"/>
        <w:gridCol w:w="1005"/>
        <w:gridCol w:w="975"/>
        <w:gridCol w:w="2550"/>
        <w:tblGridChange w:id="0">
          <w:tblGrid>
            <w:gridCol w:w="2820"/>
            <w:gridCol w:w="840"/>
            <w:gridCol w:w="810"/>
            <w:gridCol w:w="915"/>
            <w:gridCol w:w="1005"/>
            <w:gridCol w:w="97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58xvht37xf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Resolver situaciones problemáticas de la vida cotidiana, ámbito científico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 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Construir el modelo arquitectónico de una solución sistémica que soporte los procesos de negocio de acuerdo los requerimientos de la organización y estándares industriales. 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Implementar soluciones sistémicas integrales para automatizar y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2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2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2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ZAicUSn3l4452Jt9r9xu73FIg==">CgMxLjAyDWgudXFocDhvbmhjdjcyDmguZDU4eHZodDM3eGY0OAByITFyNk4wcnJBR3BEUHBqQzJ1TlhxVzBkcHdraE5xVS0xbw==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