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widowControl/>
        <w:spacing w:after="100" w:before="0" w:line="312"/>
        <w:ind w:left="0" w:firstLine="0"/>
      </w:pPr>
      <w:r>
        <w:rPr>
          <w:rFonts w:ascii="Arial" w:cs="Arial" w:eastAsia="Arial" w:hAnsi="Arial"/>
          <w:color w:val="1B1B1B"/>
          <w:sz w:val="22"/>
          <w:szCs w:val="22"/>
        </w:rPr>
        <w:t xml:space="preserve">Vì sao dùng IoU mà không đo khung lệch bao nhiêu điểm ảnh? Vì cùng lệch 10 điểm ảnh, với vật lớn và vật nhỏ khác nhau rất nhiều: khung xe 200×200 lệch 10 điểm ảnh, IoU vẫn còn 0,90; khung người ở xa 20×40 lệch 10 điểm ảnh, IoU chỉ còn 0,33. IoU tính theo tỉ lệ nên vật lớn hay nhỏ đều dùng chung một tiêu chuẩn. IoU dùng chủ yếu ở bốn chỗ: </w:t>
      </w:r>
      <w:r>
        <w:rPr>
          <w:rFonts w:ascii="Arial" w:cs="Arial" w:eastAsia="Arial" w:hAnsi="Arial"/>
          <w:b/>
          <w:bCs/>
          <w:color w:val="24405C"/>
          <w:sz w:val="22"/>
          <w:szCs w:val="22"/>
        </w:rPr>
        <w:t xml:space="preserve">so đáp án, chấm điểm</w:t>
      </w:r>
      <w:r>
        <w:rPr>
          <w:rFonts w:ascii="Arial" w:cs="Arial" w:eastAsia="Arial" w:hAnsi="Arial"/>
          <w:color w:val="1B1B1B"/>
          <w:sz w:val="22"/>
          <w:szCs w:val="22"/>
        </w:rPr>
        <w:t xml:space="preserve"> (tỉ lệ «bắt được» ở tiết 1 tính bằng IoU ≥ 0,3; đổi sang 0,5 thì người đi bộ từ 53% còn 41%); </w:t>
      </w:r>
      <w:r>
        <w:rPr>
          <w:rFonts w:ascii="Arial" w:cs="Arial" w:eastAsia="Arial" w:hAnsi="Arial"/>
          <w:b/>
          <w:bCs/>
          <w:color w:val="24405C"/>
          <w:sz w:val="22"/>
          <w:szCs w:val="22"/>
        </w:rPr>
        <w:t xml:space="preserve">bỏ khung trùng</w:t>
      </w:r>
      <w:r>
        <w:rPr>
          <w:rFonts w:ascii="Arial" w:cs="Arial" w:eastAsia="Arial" w:hAnsi="Arial"/>
          <w:color w:val="1B1B1B"/>
          <w:sz w:val="22"/>
          <w:szCs w:val="22"/>
        </w:rPr>
        <w:t xml:space="preserve"> (một người có nhiều khung, giữ khung điểm cao nhất, bỏ các khung có IoU quá lớn với nó; YOLOX đặt 0,45); </w:t>
      </w:r>
      <w:r>
        <w:rPr>
          <w:rFonts w:ascii="Arial" w:cs="Arial" w:eastAsia="Arial" w:hAnsi="Arial"/>
          <w:b/>
          <w:bCs/>
          <w:color w:val="24405C"/>
          <w:sz w:val="22"/>
          <w:szCs w:val="22"/>
        </w:rPr>
        <w:t xml:space="preserve">so đáp án khi huấn luyện</w:t>
      </w:r>
      <w:r>
        <w:rPr>
          <w:rFonts w:ascii="Arial" w:cs="Arial" w:eastAsia="Arial" w:hAnsi="Arial"/>
          <w:color w:val="1B1B1B"/>
          <w:sz w:val="22"/>
          <w:szCs w:val="22"/>
        </w:rPr>
        <w:t xml:space="preserve"> (xem khung của mô hình đang đoán đáp án nào); </w:t>
      </w:r>
      <w:r>
        <w:rPr>
          <w:rFonts w:ascii="Arial" w:cs="Arial" w:eastAsia="Arial" w:hAnsi="Arial"/>
          <w:b/>
          <w:bCs/>
          <w:color w:val="24405C"/>
          <w:sz w:val="22"/>
          <w:szCs w:val="22"/>
        </w:rPr>
        <w:t xml:space="preserve">kiểm tra chất lượng gán nhãn</w:t>
      </w:r>
      <w:r>
        <w:rPr>
          <w:rFonts w:ascii="Arial" w:cs="Arial" w:eastAsia="Arial" w:hAnsi="Arial"/>
          <w:color w:val="1B1B1B"/>
          <w:sz w:val="22"/>
          <w:szCs w:val="22"/>
        </w:rPr>
        <w:t xml:space="preserve"> (hai người gán cùng một vật, so IoU).</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Không làm được hoặc muốn ôn thì bấm «Giải thích» ở góc phải câu đó, xem được cả trước khi nộp; phần giải thích nói luôn đáp án, nên hãy tự nghĩ trước. Nộp bài sẽ biết tuần nào sai nhiều và những câu đã xem giải thích trước khi nộp.</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650"/>
        <w:gridCol w:w="2000"/>
        <w:gridCol w:w="6710"/>
      </w:tblGrid>
      <w:tr>
        <w:trPr>
          <w:cantSplit/>
          <w:tblHeader/>
        </w:trPr>
        <w:tc>
          <w:tcPr>
            <w:tcW w:type="dxa" w:w="6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7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độ nói về cách người và hệ thống chia việc, không nói xe thông minh đến đâu.</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20» là mức thấp nhất, thấp hơn 20 là ra khỏi ODD. Lidar tính khoảng cách từ thời gian ánh sáng đi và về. Radar chỉ đo được tốc độ vật lại gần hoặc ra xa mình.</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biết vật cách bao xa nhưng không biết đó là gì. Xa gấp đôi thì sai số ước lượng khoảng cách của camera gấp bốn.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Ở 50 km/h cần khoảng 20 m mới dừng được, nên phải thấy xa ít nhất 25 m. Mô phỏng loại bớt thiết kế kém, nhưng không chứng minh được xe thật an toàn.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trên bảng thông số phải hỏi là đo với độ phản xạ bao nhiêu; vật màu tối sẽ thấy gần hơn. Camera và lidar lắp lệch 1° thì ở 50 m lệch 0,87 m.</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năm tình huống, không loại cảm biến nào tốt nhất ở mọi tình huống, nên xe phải lắp nhiều loại.</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cảm biến nào cũng có lúc hỏng. Khi ghép chúng lại, cái nào chuẩn hơn thì tin nhiều hơn.</w:t>
            </w:r>
          </w:p>
        </w:tc>
      </w:tr>
      <w:tr>
        <w:trPr>
          <w:cantSplit/>
          <w:tblHeader w:val="false"/>
        </w:trPr>
        <w:tc>
          <w:tcPr>
            <w:tcW w:type="dxa" w:w="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67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hình học từ các ví dụ có đáp án. Nó cho ra khung, loại và điểm tin cậy. Vật càng xa, ánh sáng càng tối thì càng dễ bị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2026-10-27T08:45:41.022Z</dcterms:created>
  <dcterms:modified xsi:type="dcterms:W3CDTF">2026-10-27T08:45:41.022Z</dcterms:modified>
</cp:coreProperties>
</file>

<file path=docProps/custom.xml><?xml version="1.0" encoding="utf-8"?>
<Properties xmlns="http://schemas.openxmlformats.org/officeDocument/2006/custom-properties" xmlns:vt="http://schemas.openxmlformats.org/officeDocument/2006/docPropsVTypes"/>
</file>