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 Đây là chiêu quan trọng nhất, vì với loại thứ nhất thì bản thân lidar không có cách nào.</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 Nhân tiện, cường độ yếu bất thường cũng là dấu hiệu cảnh báo.</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nên nó khác ba chiêu kia: không nhắm vào một loại cụ thể nào. Chỗ nào có kính toà nhà, ngã tư nào hay đọng nước, đánh dấu trước thành vùng rủi ro, tới đó thì hạ trọng số của lidar.</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và nó có hai yêu cầu: một là dừng kịp — tính bằng công thức quãng đường dừng ở tiết 1 tuần 4, cộng 5 m dự phòng; hai là với tới được vật mà tình huống yêu cầu nhận ra. Lấy số lớn hơn trong hai số đó mới là ngưỡng tầm đo thật.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300"/>
        <w:gridCol w:w="1050"/>
        <w:gridCol w:w="1200"/>
        <w:gridCol w:w="1600"/>
        <w:gridCol w:w="1500"/>
        <w:gridCol w:w="171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 + 5</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Vật ở</w:t>
            </w:r>
          </w:p>
        </w:tc>
        <w:tc>
          <w:tcPr>
            <w:tcW w:type="dxa" w:w="17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c>
          <w:tcPr>
            <w:tcW w:type="dxa" w:w="1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c>
          <w:tcPr>
            <w:tcW w:type="dxa" w:w="1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1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Ở cả ba tình huống, vật đều ở xa hơn quãng đường dừng — nên ngưỡng tầm đo đều do khoảng cách tới vật quyết định. Không phải ngẫu nhiên: chạy chậm thì quãng dừng ngắn, chạy nhanh thì lại cần nhìn xa hơn.</w:t>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Bài nộp có trang riêng: week5/hw/ (bàn đọc thông số là week5/spec/ — hai địa chỉ giống nhau, chỉ khác đoạn cuối). Trả lời ở trang đó,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Câu 1 có bảng 12 ô: bấm vào ô nào thì phần đọc thông số của ô đó mở ra ngay bên dưới — ngưỡng phanh, ba dòng thông số, kết luận. Xem xong chọn «Đủ» hoặc «Không đủ», không cần sang bàn đọc thông số.</w:t>
      </w:r>
    </w:p>
    <w:p>
      <w:pPr>
        <w:pStyle w:val="ListParagraph"/>
        <w:widowControl/>
        <w:numPr>
          <w:ilvl w:val="0"/>
          <w:numId w:val="5"/>
        </w:numPr>
        <w:spacing w:after="80" w:line="320"/>
      </w:pPr>
      <w:r>
        <w:rPr>
          <w:rFonts w:ascii="Arial" w:cs="Arial" w:eastAsia="Arial" w:hAnsi="Arial"/>
          <w:color w:val="1B1B1B"/>
          <w:sz w:val="22"/>
          <w:szCs w:val="22"/>
        </w:rPr>
        <w:t xml:space="preserve">Câu 2 có hai ô chọn chế độ ngay trên đề, mặc định là 1024 điểm/vòng; tự đổi sang 2048, phần đọc sẽ đổi theo ngay. Đổi xong, ô tốc độ chỉ còn 10 Hz — 20 Hz biến mất, vì bảng Lidar Operating Modes ghi dòng cuối là x 2048 @ 10 Hz. Đó chính là cái giá mà câu 2 hỏi.</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sang bàn đọc thông số tra thông số rồi quay lại, những gì đã điền vẫn còn. Muốn làm lại từ đầu thì dưới cùng có nút «Xoá hết», phải bấm hai lần mới xoá.</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Laser Wavelength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雷射波長</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Bước sóng laser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Diameter Exiting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出口光束直徑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chùm tia ra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2026-10-07T13:51:47.069Z</dcterms:created>
  <dcterms:modified xsi:type="dcterms:W3CDTF">2026-10-07T13:51:47.069Z</dcterms:modified>
</cp:coreProperties>
</file>

<file path=docProps/custom.xml><?xml version="1.0" encoding="utf-8"?>
<Properties xmlns="http://schemas.openxmlformats.org/officeDocument/2006/custom-properties" xmlns:vt="http://schemas.openxmlformats.org/officeDocument/2006/docPropsVTypes"/>
</file>