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22"/>
        </w:rPr>
        <w:t>MILEGUARD AUTO INSURANCE</w:t>
      </w:r>
    </w:p>
    <w:p>
      <w:pPr>
        <w:jc w:val="center"/>
      </w:pPr>
      <w:r>
        <w:rPr>
          <w:b/>
          <w:color w:val="1F2937"/>
          <w:sz w:val="56"/>
        </w:rPr>
        <w:t>Project Charter</w:t>
      </w:r>
    </w:p>
    <w:p>
      <w:pPr>
        <w:jc w:val="center"/>
      </w:pPr>
      <w:r>
        <w:rPr>
          <w:color w:val="4B5563"/>
          <w:sz w:val="22"/>
        </w:rPr>
        <w:t>Project initiation, governance and scope baseline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EEF4FF"/>
          </w:tcPr>
          <w:p>
            <w:r/>
            <w:r>
              <w:rPr>
                <w:b/>
                <w:color w:val="2563EB"/>
              </w:rPr>
              <w:t xml:space="preserve">Documentation basis: </w:t>
            </w:r>
            <w:r>
              <w:rPr>
                <w:sz w:val="18"/>
              </w:rPr>
              <w:t>This document consolidates the agreed business/technical baseline and the supplied Angular/backend implementation snapshot. Where source material is explicit, it is authoritative. Where a current code snapshot differs from the final planning contract, this document identifies the distinction rather than silently reconciling it.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80" w:after="80"/>
      </w:pPr>
      <w:r>
        <w:t>Contents</w:t>
      </w:r>
    </w:p>
    <w:p>
      <w:pPr>
        <w:spacing w:after="20"/>
      </w:pPr>
      <w:r>
        <w:rPr>
          <w:b/>
        </w:rPr>
        <w:t xml:space="preserve">01  </w:t>
      </w:r>
      <w:r>
        <w:t>Project identity and vision</w:t>
      </w:r>
    </w:p>
    <w:p>
      <w:pPr>
        <w:spacing w:after="20"/>
      </w:pPr>
      <w:r>
        <w:rPr>
          <w:b/>
        </w:rPr>
        <w:t xml:space="preserve">02  </w:t>
      </w:r>
      <w:r>
        <w:t>Objectives and success criteria</w:t>
      </w:r>
    </w:p>
    <w:p>
      <w:pPr>
        <w:spacing w:after="20"/>
      </w:pPr>
      <w:r>
        <w:rPr>
          <w:b/>
        </w:rPr>
        <w:t xml:space="preserve">03  </w:t>
      </w:r>
      <w:r>
        <w:t>Scope and boundaries</w:t>
      </w:r>
    </w:p>
    <w:p>
      <w:pPr>
        <w:spacing w:after="20"/>
      </w:pPr>
      <w:r>
        <w:rPr>
          <w:b/>
        </w:rPr>
        <w:t xml:space="preserve">04  </w:t>
      </w:r>
      <w:r>
        <w:t>Stakeholders and roles</w:t>
      </w:r>
    </w:p>
    <w:p>
      <w:pPr>
        <w:spacing w:after="20"/>
      </w:pPr>
      <w:r>
        <w:rPr>
          <w:b/>
        </w:rPr>
        <w:t xml:space="preserve">05  </w:t>
      </w:r>
      <w:r>
        <w:t>High-level solution context</w:t>
      </w:r>
    </w:p>
    <w:p>
      <w:pPr>
        <w:spacing w:after="20"/>
      </w:pPr>
      <w:r>
        <w:rPr>
          <w:b/>
        </w:rPr>
        <w:t xml:space="preserve">06  </w:t>
      </w:r>
      <w:r>
        <w:t>Milestones and delivery approach</w:t>
      </w:r>
    </w:p>
    <w:p>
      <w:pPr>
        <w:spacing w:after="20"/>
      </w:pPr>
      <w:r>
        <w:rPr>
          <w:b/>
        </w:rPr>
        <w:t xml:space="preserve">07  </w:t>
      </w:r>
      <w:r>
        <w:t>Constraints, assumptions and dependencies</w:t>
      </w:r>
    </w:p>
    <w:p>
      <w:pPr>
        <w:spacing w:after="20"/>
      </w:pPr>
      <w:r>
        <w:rPr>
          <w:b/>
        </w:rPr>
        <w:t xml:space="preserve">08  </w:t>
      </w:r>
      <w:r>
        <w:t>Risks and mitigations</w:t>
      </w:r>
    </w:p>
    <w:p>
      <w:pPr>
        <w:spacing w:after="20"/>
      </w:pPr>
      <w:r>
        <w:rPr>
          <w:b/>
        </w:rPr>
        <w:t xml:space="preserve">09  </w:t>
      </w:r>
      <w:r>
        <w:t>Governance and change control</w:t>
      </w:r>
    </w:p>
    <w:p>
      <w:pPr>
        <w:spacing w:after="20"/>
      </w:pPr>
      <w:r>
        <w:rPr>
          <w:b/>
        </w:rPr>
        <w:t xml:space="preserve">10  </w:t>
      </w:r>
      <w:r>
        <w:t>Definition of success</w:t>
      </w:r>
    </w:p>
    <w:p>
      <w:pPr>
        <w:spacing w:after="20"/>
      </w:pPr>
      <w:r>
        <w:rPr>
          <w:b/>
        </w:rPr>
        <w:t xml:space="preserve">11  </w:t>
      </w:r>
      <w:r>
        <w:t>Source references</w:t>
      </w:r>
    </w:p>
    <w:p>
      <w:r>
        <w:br w:type="page"/>
      </w:r>
    </w:p>
    <w:p>
      <w:pPr>
        <w:pStyle w:val="Heading1"/>
        <w:keepNext/>
        <w:spacing w:before="180" w:after="80"/>
      </w:pPr>
      <w:r>
        <w:t>1. Project identity and vision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Project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MileGuard Auto Insurance Capstone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Product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End-to-end personal auto insurance platform for a single fictional insurer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Primary outcome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Digitize onboarding, agent-assisted quotation, mandatory underwriting, policy issuance/billing, renewal/cancellation, FNOL, claims adjudication, settlement and simulated payout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Delivery 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Individual capstone; intentionally simplified business-realistic MVP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Architecture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Angular 21 + Ocelot + six focused .NET microservices + one SQL database per business service</w:t>
            </w:r>
          </w:p>
        </w:tc>
      </w:tr>
    </w:tbl>
    <w:p>
      <w:pPr>
        <w:spacing w:after="40"/>
      </w:pPr>
    </w:p>
    <w:p>
      <w:pPr>
        <w:spacing w:after="100" w:line="259" w:lineRule="auto"/>
      </w:pPr>
      <w:r>
        <w:t>The project is intended to demonstrate a complete insurance lifecycle rather than a collection of unrelated CRUD screens. The solution separates business responsibilities across Customer, Agent, Underwriter, Claims Adjuster and Admin and preserves historical snapshots at contractual boundaries.</w:t>
      </w:r>
    </w:p>
    <w:p>
      <w:pPr>
        <w:pStyle w:val="Heading1"/>
        <w:keepNext/>
        <w:spacing w:before="180" w:after="80"/>
      </w:pPr>
      <w:r>
        <w:t>2. Objectives and success criteria</w:t>
      </w:r>
    </w:p>
    <w:p>
      <w:pPr>
        <w:pStyle w:val="ListBullet"/>
        <w:spacing w:after="40"/>
      </w:pPr>
      <w:r>
        <w:t>Provide a working end-to-end personal auto insurance lifecycle.</w:t>
      </w:r>
    </w:p>
    <w:p>
      <w:pPr>
        <w:pStyle w:val="ListBullet"/>
        <w:spacing w:after="40"/>
      </w:pPr>
      <w:r>
        <w:t>Provide Basic, Standard and Premium plan comparison with explainable rule-based pricing.</w:t>
      </w:r>
    </w:p>
    <w:p>
      <w:pPr>
        <w:pStyle w:val="ListBullet"/>
        <w:spacing w:after="40"/>
      </w:pPr>
      <w:r>
        <w:t>Enforce mandatory manual underwriting for every finalized quote.</w:t>
      </w:r>
    </w:p>
    <w:p>
      <w:pPr>
        <w:pStyle w:val="ListBullet"/>
        <w:spacing w:after="40"/>
      </w:pPr>
      <w:r>
        <w:t>Issue and service 12-month policies with installment billing and immutable policy documents.</w:t>
      </w:r>
    </w:p>
    <w:p>
      <w:pPr>
        <w:pStyle w:val="ListBullet"/>
        <w:spacing w:after="40"/>
      </w:pPr>
      <w:r>
        <w:t>Support minimal renewal/cancellation without introducing a second complex subsystem.</w:t>
      </w:r>
    </w:p>
    <w:p>
      <w:pPr>
        <w:pStyle w:val="ListBullet"/>
        <w:spacing w:after="40"/>
      </w:pPr>
      <w:r>
        <w:t>Support Agent-created FNOL/formal Claims, evidence, review, settlement, authority escalation and simulated payout.</w:t>
      </w:r>
    </w:p>
    <w:p>
      <w:pPr>
        <w:pStyle w:val="ListBullet"/>
        <w:spacing w:after="40"/>
      </w:pPr>
      <w:r>
        <w:t>Preserve historical finalized/submitted/issued data as immutable snapshots.</w:t>
      </w:r>
    </w:p>
    <w:p>
      <w:pPr>
        <w:pStyle w:val="ListBullet"/>
        <w:spacing w:after="40"/>
      </w:pPr>
      <w:r>
        <w:t>Enforce role and resource/assignment authorization in backend services.</w:t>
      </w:r>
    </w:p>
    <w:p>
      <w:pPr>
        <w:pStyle w:val="Heading1"/>
        <w:keepNext/>
        <w:spacing w:before="180" w:after="80"/>
      </w:pPr>
      <w:r>
        <w:t>3. Scope and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In scope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Explicitly out of scope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Personal auto only; one primary Driver; multiple personally owned Vehicles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Commercial/fleet; multiple drivers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Customer, Agent, Underwriter, Claims Adjuster, Admin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Marketplace/broker comparison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Basic/Standard/Premium fixed plans; explainable rule-based pricing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ML/AI pricing, fraud models, predictive underwriting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Manual underwriting; policy issuance; billing; minimal renewal/cancellation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Real payment/payout integrations; cloud storage; notifications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Agent-created FNOL/Claim; evidence; settlement; simulated payout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Advanced reporting, disputes/appeals, reinstatement/proration/collections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Local file storage and generated policy PDF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Docker/Kubernetes/cloud CI/CD deployment, Redis, brokers, event-driven workflow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4. Stakeholders and business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Primary responsibility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Assignment rule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Customer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Own profile; review/accept offers; pay premiums; policies/docs; renewal/cancellation; claims tracking; settlement/payout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Own resources only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Agent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Assigned customer operations; Driver/Vehicle maintenance; quote; underwriting documents; FNOL/claim; renewal processing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One permanent Customer assignment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Underwriter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Review assigned applications; five-part checklist; approve/reject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One permanent application assignment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Claims Adjuster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Investigate assigned claims; assess loss; decide within authority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One permanent claim assignment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Admin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Internal user administration; Agent/Underwriter/Adjuster assignment; pricing; authority settlement review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Privileged operational role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5. High-level solution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504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Angular 21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Single role-aware client with feature-oriented screens, route guards, Signals/local state, API service classes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Ocelot gateway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Routing, auth context, CORS/correlation boundary; no insurance business logic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IdentityService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Credentials, roles, JWT/refresh lifecycle and internal-user 2FA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CustomerVehicleService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Customer profile, primary Driver, Vehicles, permanent Agent assignment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QuoteRatingService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Plans, rating configuration, rule-based premium calculation, Quotes and snapshots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UnderwritingService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Application lifecycle, assignment, checklist, decision and approved-offer validity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PolicyBillingService</w:t>
            </w:r>
          </w:p>
        </w:tc>
        <w:tc>
          <w:tcPr>
            <w:tcW w:type="dxa" w:w="504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Policy contract, payment schedule/transactions, document, renewal/cancellation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ClaimsService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FNOL, claims, evidence, review, settlement, authority and simulated payout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6. Milestones and delivery approach</w:t>
      </w:r>
    </w:p>
    <w:p>
      <w:pPr>
        <w:spacing w:after="100" w:line="259" w:lineRule="auto"/>
      </w:pPr>
      <w:r>
        <w:t>The build is organized as parallel vertical slices so frontend and backend progress together. Each slice establishes the service contract, backend use cases, Angular API client, screens, validation/error states and automated tests before moving to the next slice.</w:t>
      </w:r>
    </w:p>
    <w:p>
      <w:pPr>
        <w:pStyle w:val="ListNumber"/>
        <w:spacing w:after="40"/>
      </w:pPr>
      <w:r>
        <w:rPr>
          <w:b/>
        </w:rPr>
        <w:t xml:space="preserve">Slice 1 - Identity baseline. </w:t>
      </w:r>
      <w:r>
        <w:t>Registration/login, role routing, refresh/logout, internal-user approval and 2FA.</w:t>
      </w:r>
    </w:p>
    <w:p>
      <w:pPr>
        <w:pStyle w:val="ListNumber"/>
        <w:spacing w:after="40"/>
      </w:pPr>
      <w:r>
        <w:rPr>
          <w:b/>
        </w:rPr>
        <w:t xml:space="preserve">Slice 2 - Customer and Agent foundation. </w:t>
      </w:r>
      <w:r>
        <w:t>Profile, Driver, Vehicle, readiness and permanent assignment.</w:t>
      </w:r>
    </w:p>
    <w:p>
      <w:pPr>
        <w:pStyle w:val="ListNumber"/>
        <w:spacing w:after="40"/>
      </w:pPr>
      <w:r>
        <w:rPr>
          <w:b/>
        </w:rPr>
        <w:t xml:space="preserve">Slice 3 - Quotation. </w:t>
      </w:r>
      <w:r>
        <w:t>Vehicle selection, plan comparison, configuration, recalculation, finalization and submission.</w:t>
      </w:r>
    </w:p>
    <w:p>
      <w:pPr>
        <w:pStyle w:val="ListNumber"/>
        <w:spacing w:after="40"/>
      </w:pPr>
      <w:r>
        <w:rPr>
          <w:b/>
        </w:rPr>
        <w:t xml:space="preserve">Slice 4 - Underwriting. </w:t>
      </w:r>
      <w:r>
        <w:t>Admin queue/assignment, Underwriter review/checklist/decision, Customer offer state.</w:t>
      </w:r>
    </w:p>
    <w:p>
      <w:pPr>
        <w:pStyle w:val="ListNumber"/>
        <w:spacing w:after="40"/>
      </w:pPr>
      <w:r>
        <w:rPr>
          <w:b/>
        </w:rPr>
        <w:t xml:space="preserve">Slice 5 - Policy and Billing. </w:t>
      </w:r>
      <w:r>
        <w:t>Purchase acceptance, payment flow, issuance, PDF, policy view, cancellation and renewal request.</w:t>
      </w:r>
    </w:p>
    <w:p>
      <w:pPr>
        <w:pStyle w:val="ListNumber"/>
        <w:spacing w:after="40"/>
      </w:pPr>
      <w:r>
        <w:rPr>
          <w:b/>
        </w:rPr>
        <w:t xml:space="preserve">Slice 6 - Claims. </w:t>
      </w:r>
      <w:r>
        <w:t>FNOL, formal claim, evidence, Adjuster review, settlement, authority escalation and payout.</w:t>
      </w:r>
    </w:p>
    <w:p>
      <w:pPr>
        <w:pStyle w:val="ListNumber"/>
        <w:spacing w:after="40"/>
      </w:pPr>
      <w:r>
        <w:rPr>
          <w:b/>
        </w:rPr>
        <w:t xml:space="preserve">Slice 7 - Hardening. </w:t>
      </w:r>
      <w:r>
        <w:t>Cross-service failure handling, time-based processing, security tests, golden path and route/API alignment.</w:t>
      </w:r>
    </w:p>
    <w:p>
      <w:pPr>
        <w:pStyle w:val="Heading1"/>
        <w:keepNext/>
        <w:spacing w:before="180" w:after="80"/>
      </w:pPr>
      <w:r>
        <w:t>7. Constraints, assumptions and dependencies</w:t>
      </w:r>
    </w:p>
    <w:p>
      <w:pPr>
        <w:pStyle w:val="ListBullet"/>
        <w:spacing w:after="40"/>
      </w:pPr>
      <w:r>
        <w:t>Local SQL Server LocalDB is the persistence target for the capstone.</w:t>
      </w:r>
    </w:p>
    <w:p>
      <w:pPr>
        <w:pStyle w:val="ListBullet"/>
        <w:spacing w:after="40"/>
      </w:pPr>
      <w:r>
        <w:t>All six business services own independent databases; no cross-database foreign keys or direct reads.</w:t>
      </w:r>
    </w:p>
    <w:p>
      <w:pPr>
        <w:pStyle w:val="ListBullet"/>
        <w:spacing w:after="40"/>
      </w:pPr>
      <w:r>
        <w:t>Synchronous REST is the only inter-service communication mechanism.</w:t>
      </w:r>
    </w:p>
    <w:p>
      <w:pPr>
        <w:pStyle w:val="ListBullet"/>
        <w:spacing w:after="40"/>
      </w:pPr>
      <w:r>
        <w:t>Payment and payout are deterministic simulations; no financial integration is included.</w:t>
      </w:r>
    </w:p>
    <w:p>
      <w:pPr>
        <w:pStyle w:val="ListBullet"/>
        <w:spacing w:after="40"/>
      </w:pPr>
      <w:r>
        <w:t>Local service-owned file storage is used for vehicle images, claim evidence and policy PDFs.</w:t>
      </w:r>
    </w:p>
    <w:p>
      <w:pPr>
        <w:pStyle w:val="ListBullet"/>
        <w:spacing w:after="40"/>
      </w:pPr>
      <w:r>
        <w:t>Internal users require built-in Identity 2FA; customer 2FA/password reset are excluded from the revised MVP baseline.</w:t>
      </w:r>
    </w:p>
    <w:p>
      <w:pPr>
        <w:pStyle w:val="ListBullet"/>
        <w:spacing w:after="40"/>
      </w:pPr>
      <w:r>
        <w:t>Frontend route/visibility logic is a UX layer; backend authorization is authoritative.</w:t>
      </w:r>
    </w:p>
    <w:p>
      <w:pPr>
        <w:pStyle w:val="Heading1"/>
        <w:keepNext/>
        <w:spacing w:before="180" w:after="80"/>
      </w:pPr>
      <w:r>
        <w:t>8. Risks and mitigations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3360"/>
            <w:vAlign w:val="center"/>
            <w:shd w:fill="1F2937"/>
          </w:tcPr>
          <w:p>
            <w:r/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Frontend/backend route drift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High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Treat API contract as a versioned implementation boundary; test gateway routes from Angular clients.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Cross-service dependency outage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High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Fail closed for mandatory data; use explicit unavailable/conflict states and retry only where safe.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Duplicate assignment/purchase/submission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High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Enforce assign-once and idempotency/concurrency keys at service/database level.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Historical data mutation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High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Snapshot finalized Quote, underwriting context, issued Policy and submitted Claim evidence.</w:t>
            </w:r>
          </w:p>
        </w:tc>
      </w:tr>
      <w:tr>
        <w:trPr>
          <w:cantSplit/>
        </w:trP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Time-based state inconsistencies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Medium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1F2937"/>
                <w:sz w:val="17"/>
              </w:rPr>
              <w:t>Centralize state-transition guards and make repeatable processing idempotent.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UI exposes unsupported business action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Medium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F2937"/>
                <w:sz w:val="17"/>
              </w:rPr>
              <w:t>Drive controls from authoritative backend state and keep action endpoints explicit.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80" w:after="80"/>
      </w:pPr>
      <w:r>
        <w:t>9. Governance and change control</w:t>
      </w:r>
    </w:p>
    <w:p>
      <w:pPr>
        <w:pStyle w:val="ListBullet"/>
        <w:spacing w:after="40"/>
      </w:pPr>
      <w:r>
        <w:t>Business rule changes must be reflected in SRS, affected service contract, database impact and UI journey before code changes.</w:t>
      </w:r>
    </w:p>
    <w:p>
      <w:pPr>
        <w:pStyle w:val="ListBullet"/>
        <w:spacing w:after="40"/>
      </w:pPr>
      <w:r>
        <w:t>Route names may be refined only with synchronized Ocelot, Angular, tests and API documentation updates.</w:t>
      </w:r>
    </w:p>
    <w:p>
      <w:pPr>
        <w:pStyle w:val="ListBullet"/>
        <w:spacing w:after="40"/>
      </w:pPr>
      <w:r>
        <w:t>No new infrastructure technology is introduced unless it is required by an approved requirement.</w:t>
      </w:r>
    </w:p>
    <w:p>
      <w:pPr>
        <w:pStyle w:val="ListBullet"/>
        <w:spacing w:after="40"/>
      </w:pPr>
      <w:r>
        <w:t>Cross-service references remain identifiers; historical snapshots are preferred where later source changes must not rewrite past transactions.</w:t>
      </w:r>
    </w:p>
    <w:p>
      <w:pPr>
        <w:pStyle w:val="Heading1"/>
        <w:keepNext/>
        <w:spacing w:before="180" w:after="80"/>
      </w:pPr>
      <w:r>
        <w:t>10. Definition of success</w:t>
      </w:r>
    </w:p>
    <w:p>
      <w:pPr>
        <w:pStyle w:val="ListBullet"/>
        <w:spacing w:after="40"/>
      </w:pPr>
      <w:r>
        <w:t>An authenticated user reaches the correct role-specific workspace.</w:t>
      </w:r>
    </w:p>
    <w:p>
      <w:pPr>
        <w:pStyle w:val="ListBullet"/>
        <w:spacing w:after="40"/>
      </w:pPr>
      <w:r>
        <w:t>A complete quote can proceed through underwriting to policy issuance without manual database edits.</w:t>
      </w:r>
    </w:p>
    <w:p>
      <w:pPr>
        <w:pStyle w:val="ListBullet"/>
        <w:spacing w:after="40"/>
      </w:pPr>
      <w:r>
        <w:t>A submitted claim can complete the review, settlement and payout lifecycle through the documented states.</w:t>
      </w:r>
    </w:p>
    <w:p>
      <w:pPr>
        <w:pStyle w:val="ListBullet"/>
        <w:spacing w:after="40"/>
      </w:pPr>
      <w:r>
        <w:t>Protected resources reject unauthorized/incorrectly assigned users with appropriate 401/403 behavior.</w:t>
      </w:r>
    </w:p>
    <w:p>
      <w:pPr>
        <w:pStyle w:val="ListBullet"/>
        <w:spacing w:after="40"/>
      </w:pPr>
      <w:r>
        <w:t>Historical snapshots remain stable after later configuration/profile changes.</w:t>
      </w:r>
    </w:p>
    <w:p>
      <w:pPr>
        <w:pStyle w:val="ListBullet"/>
        <w:spacing w:after="40"/>
      </w:pPr>
      <w:r>
        <w:t>Critical unit, integration and frontend journey tests pass.</w:t>
      </w:r>
    </w:p>
    <w:p>
      <w:pPr>
        <w:pStyle w:val="Heading1"/>
        <w:keepNext/>
        <w:spacing w:before="180" w:after="80"/>
      </w:pPr>
      <w:r>
        <w:t>Source references</w:t>
      </w:r>
    </w:p>
    <w:p>
      <w:pPr>
        <w:pStyle w:val="ListBullet"/>
        <w:spacing w:after="40"/>
      </w:pPr>
      <w:r>
        <w:t>01_Business_Requirements_Document_Final.docx (v2.0, 29 Sep 2026)</w:t>
      </w:r>
    </w:p>
    <w:p>
      <w:pPr>
        <w:pStyle w:val="ListBullet"/>
        <w:spacing w:after="40"/>
      </w:pPr>
      <w:r>
        <w:t>02_Technical_Requirements_Document_Final.docx (v2.0, 29 Sep 2026)</w:t>
      </w:r>
    </w:p>
    <w:p>
      <w:pPr>
        <w:pStyle w:val="ListBullet"/>
        <w:spacing w:after="40"/>
      </w:pPr>
      <w:r>
        <w:t>02_Master_Specification(1).docx (implementation baseline, 29 Sep 2026)</w:t>
      </w:r>
    </w:p>
    <w:p>
      <w:pPr>
        <w:pStyle w:val="ListBullet"/>
        <w:spacing w:after="40"/>
      </w:pPr>
      <w:r>
        <w:t>03_Final_Database_Reference.docx (final database baseline, 30 Sep 2026)</w:t>
      </w:r>
    </w:p>
    <w:p>
      <w:pPr>
        <w:pStyle w:val="ListBullet"/>
        <w:spacing w:after="40"/>
      </w:pPr>
      <w:r>
        <w:t>09_API_Contract_Final.docx (API contract, 29 Sep 2026)</w:t>
      </w:r>
    </w:p>
    <w:p>
      <w:pPr>
        <w:pStyle w:val="ListBullet"/>
        <w:spacing w:after="40"/>
      </w:pPr>
      <w:r>
        <w:t>API_Endpoints_Reference_Final.docx (final endpoint catalogue, 30 Sep 2026)</w:t>
      </w:r>
    </w:p>
    <w:p>
      <w:pPr>
        <w:pStyle w:val="ListBullet"/>
        <w:spacing w:after="40"/>
      </w:pPr>
      <w:r>
        <w:t>AutoInsurance_Complete_UI_Requirements_Specification.docx (complete UI baseline, 29 Sep 2026)</w:t>
      </w:r>
    </w:p>
    <w:p>
      <w:pPr>
        <w:pStyle w:val="ListBullet"/>
        <w:spacing w:after="40"/>
      </w:pPr>
      <w:r>
        <w:t>Current Angular frontend code dumps supplied in this conversation (8 Oct 2026 snapshot)</w:t>
      </w:r>
    </w:p>
    <w:p>
      <w:pPr>
        <w:pStyle w:val="ListBullet"/>
        <w:spacing w:after="40"/>
      </w:pPr>
      <w:r>
        <w:t>Six service-context documents and the supplied backend code dumps.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Implementation documentation baseline • 08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MileGuard Auto Insurance Capstone  |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563E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01_Project_Charter</dc:title>
  <dc:subject>MileGuard Auto Insurance project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