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22"/>
        </w:rPr>
        <w:t>MILEGUARD AUTO INSURANCE</w:t>
      </w:r>
    </w:p>
    <w:p>
      <w:pPr>
        <w:jc w:val="center"/>
      </w:pPr>
      <w:r>
        <w:rPr>
          <w:b/>
          <w:color w:val="1F2937"/>
          <w:sz w:val="56"/>
        </w:rPr>
        <w:t>Software Requirements Specification (SRS)</w:t>
      </w:r>
    </w:p>
    <w:p>
      <w:pPr>
        <w:jc w:val="center"/>
      </w:pPr>
      <w:r>
        <w:rPr>
          <w:color w:val="4B5563"/>
          <w:sz w:val="22"/>
        </w:rPr>
        <w:t>Functional, non-functional and interface requirements</w:t>
      </w:r>
    </w:p>
    <w:tbl>
      <w:tblPr>
        <w:tblW w:type="auto" w:w="0"/>
        <w:jc w:val="center"/>
        <w:tblLook w:firstColumn="1" w:firstRow="1" w:lastColumn="0" w:lastRow="0" w:noHBand="0" w:noVBand="1" w:val="04A0"/>
        <w:tblBorders>
          <w:top w:val="single" w:sz="4" w:space="0" w:color="BFDBFE"/>
          <w:left w:val="single" w:sz="4" w:space="0" w:color="BFDBFE"/>
          <w:bottom w:val="single" w:sz="4" w:space="0" w:color="BFDBFE"/>
          <w:right w:val="single" w:sz="4" w:space="0" w:color="BFDBFE"/>
          <w:insideH w:val="single" w:sz="4" w:space="0" w:color="BFDBFE"/>
          <w:insideV w:val="single" w:sz="4" w:space="0" w:color="BFDBFE"/>
        </w:tblBorders>
      </w:tblPr>
      <w:tblGrid>
        <w:gridCol w:w="10080"/>
      </w:tblGrid>
      <w:tr>
        <w:trPr>
          <w:tblHeader w:val="true"/>
        </w:trPr>
        <w:tc>
          <w:tcPr>
            <w:tcW w:type="dxa" w:w="10080"/>
            <w:shd w:fill="EEF4FF"/>
          </w:tcPr>
          <w:p>
            <w:r/>
            <w:r>
              <w:rPr>
                <w:b/>
                <w:color w:val="2563EB"/>
              </w:rPr>
              <w:t xml:space="preserve">Documentation basis: </w:t>
            </w:r>
            <w:r>
              <w:rPr>
                <w:sz w:val="18"/>
              </w:rPr>
              <w:t>This document consolidates the agreed business/technical baseline and the supplied Angular/backend implementation snapshot. Where source material is explicit, it is authoritative. Where a current code snapshot differs from the final planning contract, this document identifies the distinction rather than silently reconciling it.</w:t>
            </w:r>
          </w:p>
        </w:tc>
      </w:tr>
    </w:tbl>
    <w:p>
      <w:pPr>
        <w:spacing w:after="20"/>
      </w:pPr>
    </w:p>
    <w:p>
      <w:r>
        <w:br w:type="page"/>
      </w:r>
    </w:p>
    <w:p>
      <w:pPr>
        <w:pStyle w:val="Heading1"/>
        <w:keepNext/>
        <w:spacing w:before="180" w:after="80"/>
      </w:pPr>
      <w:r>
        <w:t>Contents</w:t>
      </w:r>
    </w:p>
    <w:p>
      <w:pPr>
        <w:spacing w:after="20"/>
      </w:pPr>
      <w:r>
        <w:rPr>
          <w:b/>
        </w:rPr>
        <w:t xml:space="preserve">01  </w:t>
      </w:r>
      <w:r>
        <w:t>Purpose and scope</w:t>
      </w:r>
    </w:p>
    <w:p>
      <w:pPr>
        <w:spacing w:after="20"/>
      </w:pPr>
      <w:r>
        <w:rPr>
          <w:b/>
        </w:rPr>
        <w:t xml:space="preserve">02  </w:t>
      </w:r>
      <w:r>
        <w:t>User classes and permissions</w:t>
      </w:r>
    </w:p>
    <w:p>
      <w:pPr>
        <w:spacing w:after="20"/>
      </w:pPr>
      <w:r>
        <w:rPr>
          <w:b/>
        </w:rPr>
        <w:t xml:space="preserve">03  </w:t>
      </w:r>
      <w:r>
        <w:t>System context</w:t>
      </w:r>
    </w:p>
    <w:p>
      <w:pPr>
        <w:spacing w:after="20"/>
      </w:pPr>
      <w:r>
        <w:rPr>
          <w:b/>
        </w:rPr>
        <w:t xml:space="preserve">04  </w:t>
      </w:r>
      <w:r>
        <w:t>Functional requirements</w:t>
      </w:r>
    </w:p>
    <w:p>
      <w:pPr>
        <w:spacing w:after="20"/>
      </w:pPr>
      <w:r>
        <w:rPr>
          <w:b/>
        </w:rPr>
        <w:t xml:space="preserve">05  </w:t>
      </w:r>
      <w:r>
        <w:t>Business rules</w:t>
      </w:r>
    </w:p>
    <w:p>
      <w:pPr>
        <w:spacing w:after="20"/>
      </w:pPr>
      <w:r>
        <w:rPr>
          <w:b/>
        </w:rPr>
        <w:t xml:space="preserve">06  </w:t>
      </w:r>
      <w:r>
        <w:t>Non-functional requirements</w:t>
      </w:r>
    </w:p>
    <w:p>
      <w:pPr>
        <w:spacing w:after="20"/>
      </w:pPr>
      <w:r>
        <w:rPr>
          <w:b/>
        </w:rPr>
        <w:t xml:space="preserve">07  </w:t>
      </w:r>
      <w:r>
        <w:t>External interfaces</w:t>
      </w:r>
    </w:p>
    <w:p>
      <w:pPr>
        <w:spacing w:after="20"/>
      </w:pPr>
      <w:r>
        <w:rPr>
          <w:b/>
        </w:rPr>
        <w:t xml:space="preserve">08  </w:t>
      </w:r>
      <w:r>
        <w:t>Data and audit requirements</w:t>
      </w:r>
    </w:p>
    <w:p>
      <w:pPr>
        <w:spacing w:after="20"/>
      </w:pPr>
      <w:r>
        <w:rPr>
          <w:b/>
        </w:rPr>
        <w:t xml:space="preserve">09  </w:t>
      </w:r>
      <w:r>
        <w:t>UI requirements alignment</w:t>
      </w:r>
    </w:p>
    <w:p>
      <w:pPr>
        <w:spacing w:after="20"/>
      </w:pPr>
      <w:r>
        <w:rPr>
          <w:b/>
        </w:rPr>
        <w:t xml:space="preserve">10  </w:t>
      </w:r>
      <w:r>
        <w:t>Error and state requirements</w:t>
      </w:r>
    </w:p>
    <w:p>
      <w:pPr>
        <w:spacing w:after="20"/>
      </w:pPr>
      <w:r>
        <w:rPr>
          <w:b/>
        </w:rPr>
        <w:t xml:space="preserve">11  </w:t>
      </w:r>
      <w:r>
        <w:t>Acceptance and traceability</w:t>
      </w:r>
    </w:p>
    <w:p>
      <w:pPr>
        <w:spacing w:after="20"/>
      </w:pPr>
      <w:r>
        <w:rPr>
          <w:b/>
        </w:rPr>
        <w:t xml:space="preserve">12  </w:t>
      </w:r>
      <w:r>
        <w:t>Source references</w:t>
      </w:r>
    </w:p>
    <w:p>
      <w:r>
        <w:br w:type="page"/>
      </w:r>
    </w:p>
    <w:p>
      <w:pPr>
        <w:pStyle w:val="Heading1"/>
        <w:keepNext/>
        <w:spacing w:before="180" w:after="80"/>
      </w:pPr>
      <w:r>
        <w:t>1. Purpose and scope</w:t>
      </w:r>
    </w:p>
    <w:p>
      <w:pPr>
        <w:spacing w:after="100" w:line="259" w:lineRule="auto"/>
      </w:pPr>
      <w:r>
        <w:t>This SRS defines the functional behavior and quality constraints of the MileGuard personal auto insurance MVP. It is intended to serve as the shared contract for product, frontend, backend, QA and documentation work.</w:t>
      </w:r>
    </w:p>
    <w:p>
      <w:pPr>
        <w:pStyle w:val="Heading1"/>
        <w:keepNext/>
        <w:spacing w:before="180" w:after="80"/>
      </w:pPr>
      <w:r>
        <w:t>2. User classes and permissions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360"/>
        <w:gridCol w:w="3360"/>
        <w:gridCol w:w="3360"/>
      </w:tblGrid>
      <w:tr>
        <w:trPr>
          <w:tblHeader w:val="true"/>
        </w:trPr>
        <w:tc>
          <w:tcPr>
            <w:tcW w:type="dxa" w:w="3360"/>
            <w:vAlign w:val="center"/>
            <w:shd w:fill="1F2937"/>
          </w:tcPr>
          <w:p>
            <w:r/>
            <w:r>
              <w:rPr>
                <w:b/>
                <w:color w:val="FFFFFF"/>
                <w:sz w:val="17"/>
              </w:rPr>
              <w:t>Role</w:t>
            </w:r>
          </w:p>
        </w:tc>
        <w:tc>
          <w:tcPr>
            <w:tcW w:type="dxa" w:w="3360"/>
            <w:vAlign w:val="center"/>
            <w:shd w:fill="1F2937"/>
          </w:tcPr>
          <w:p>
            <w:r/>
            <w:r>
              <w:rPr>
                <w:b/>
                <w:color w:val="FFFFFF"/>
                <w:sz w:val="17"/>
              </w:rPr>
              <w:t>Core capabilities</w:t>
            </w:r>
          </w:p>
        </w:tc>
        <w:tc>
          <w:tcPr>
            <w:tcW w:type="dxa" w:w="3360"/>
            <w:vAlign w:val="center"/>
            <w:shd w:fill="1F2937"/>
          </w:tcPr>
          <w:p>
            <w:r/>
            <w:r>
              <w:rPr>
                <w:b/>
                <w:color w:val="FFFFFF"/>
                <w:sz w:val="17"/>
              </w:rPr>
              <w:t>Key restrictions</w:t>
            </w:r>
          </w:p>
        </w:tc>
      </w:tr>
      <w:tr>
        <w:trPr>
          <w:cantSplit/>
        </w:trPr>
        <w:tc>
          <w:tcPr>
            <w:tcW w:type="dxa" w:w="3360"/>
            <w:vAlign w:val="center"/>
            <w:shd w:fill="F8FAFC"/>
          </w:tcPr>
          <w:p>
            <w:r/>
            <w:r>
              <w:rPr>
                <w:b w:val="0"/>
                <w:color w:val="1F2937"/>
                <w:sz w:val="17"/>
              </w:rPr>
              <w:t>Customer</w:t>
            </w:r>
          </w:p>
        </w:tc>
        <w:tc>
          <w:tcPr>
            <w:tcW w:type="dxa" w:w="3360"/>
            <w:vAlign w:val="center"/>
            <w:shd w:fill="F8FAFC"/>
          </w:tcPr>
          <w:p>
            <w:r/>
            <w:r>
              <w:rPr>
                <w:b w:val="0"/>
                <w:color w:val="1F2937"/>
                <w:sz w:val="17"/>
              </w:rPr>
              <w:t>Register; maintain own profile; view Driver/Vehicles; view Quotes/Underwriting/Policies; accept offer; pay; cancel/renew; view Claims; accept settlement; choose payout</w:t>
            </w:r>
          </w:p>
        </w:tc>
        <w:tc>
          <w:tcPr>
            <w:tcW w:type="dxa" w:w="3360"/>
            <w:vAlign w:val="center"/>
            <w:shd w:fill="F8FAFC"/>
          </w:tcPr>
          <w:p>
            <w:r/>
            <w:r>
              <w:rPr>
                <w:b w:val="0"/>
                <w:color w:val="1F2937"/>
                <w:sz w:val="17"/>
              </w:rPr>
              <w:t>Cannot edit Driver/Vehicle operational data; cannot access another customer</w:t>
            </w:r>
          </w:p>
        </w:tc>
      </w:tr>
      <w:tr>
        <w:trPr>
          <w:cantSplit/>
        </w:trPr>
        <w:tc>
          <w:tcPr>
            <w:tcW w:type="dxa" w:w="3360"/>
            <w:vAlign w:val="center"/>
          </w:tcPr>
          <w:p>
            <w:r/>
            <w:r>
              <w:rPr>
                <w:b w:val="0"/>
                <w:color w:val="1F2937"/>
                <w:sz w:val="17"/>
              </w:rPr>
              <w:t>Agent</w:t>
            </w:r>
          </w:p>
        </w:tc>
        <w:tc>
          <w:tcPr>
            <w:tcW w:type="dxa" w:w="3360"/>
            <w:vAlign w:val="center"/>
          </w:tcPr>
          <w:p>
            <w:r/>
            <w:r>
              <w:rPr>
                <w:b w:val="0"/>
                <w:color w:val="1F2937"/>
                <w:sz w:val="17"/>
              </w:rPr>
              <w:t>Manage assigned customer; Driver/Vehicle; quote; underwriting docs; FNOL/Claim; customer policy visibility; renewal processing</w:t>
            </w:r>
          </w:p>
        </w:tc>
        <w:tc>
          <w:tcPr>
            <w:tcW w:type="dxa" w:w="3360"/>
            <w:vAlign w:val="center"/>
          </w:tcPr>
          <w:p>
            <w:r/>
            <w:r>
              <w:rPr>
                <w:b w:val="0"/>
                <w:color w:val="1F2937"/>
                <w:sz w:val="17"/>
              </w:rPr>
              <w:t>Only permanently assigned customers; no reassignment</w:t>
            </w:r>
          </w:p>
        </w:tc>
      </w:tr>
      <w:tr>
        <w:trPr>
          <w:cantSplit/>
        </w:trPr>
        <w:tc>
          <w:tcPr>
            <w:tcW w:type="dxa" w:w="3360"/>
            <w:vAlign w:val="center"/>
            <w:shd w:fill="F8FAFC"/>
          </w:tcPr>
          <w:p>
            <w:r/>
            <w:r>
              <w:rPr>
                <w:b w:val="0"/>
                <w:color w:val="1F2937"/>
                <w:sz w:val="17"/>
              </w:rPr>
              <w:t>Underwriter</w:t>
            </w:r>
          </w:p>
        </w:tc>
        <w:tc>
          <w:tcPr>
            <w:tcW w:type="dxa" w:w="3360"/>
            <w:vAlign w:val="center"/>
            <w:shd w:fill="F8FAFC"/>
          </w:tcPr>
          <w:p>
            <w:r/>
            <w:r>
              <w:rPr>
                <w:b w:val="0"/>
                <w:color w:val="1F2937"/>
                <w:sz w:val="17"/>
              </w:rPr>
              <w:t>Review assigned applications; complete five-part checklist; approve/reject</w:t>
            </w:r>
          </w:p>
        </w:tc>
        <w:tc>
          <w:tcPr>
            <w:tcW w:type="dxa" w:w="3360"/>
            <w:vAlign w:val="center"/>
            <w:shd w:fill="F8FAFC"/>
          </w:tcPr>
          <w:p>
            <w:r/>
            <w:r>
              <w:rPr>
                <w:b w:val="0"/>
                <w:color w:val="1F2937"/>
                <w:sz w:val="17"/>
              </w:rPr>
              <w:t>Cannot alter plan, coverage or premium; assigned applications only</w:t>
            </w:r>
          </w:p>
        </w:tc>
      </w:tr>
      <w:tr>
        <w:trPr>
          <w:cantSplit/>
        </w:trPr>
        <w:tc>
          <w:tcPr>
            <w:tcW w:type="dxa" w:w="3360"/>
            <w:vAlign w:val="center"/>
          </w:tcPr>
          <w:p>
            <w:r/>
            <w:r>
              <w:rPr>
                <w:b w:val="0"/>
                <w:color w:val="1F2937"/>
                <w:sz w:val="17"/>
              </w:rPr>
              <w:t>Claims Adjuster</w:t>
            </w:r>
          </w:p>
        </w:tc>
        <w:tc>
          <w:tcPr>
            <w:tcW w:type="dxa" w:w="3360"/>
            <w:vAlign w:val="center"/>
          </w:tcPr>
          <w:p>
            <w:r/>
            <w:r>
              <w:rPr>
                <w:b w:val="0"/>
                <w:color w:val="1F2937"/>
                <w:sz w:val="17"/>
              </w:rPr>
              <w:t>Review assigned Claims; assess; decide within authority</w:t>
            </w:r>
          </w:p>
        </w:tc>
        <w:tc>
          <w:tcPr>
            <w:tcW w:type="dxa" w:w="3360"/>
            <w:vAlign w:val="center"/>
          </w:tcPr>
          <w:p>
            <w:r/>
            <w:r>
              <w:rPr>
                <w:b w:val="0"/>
                <w:color w:val="1F2937"/>
                <w:sz w:val="17"/>
              </w:rPr>
              <w:t>Assigned claims only; above-authority payable settlement escalates</w:t>
            </w:r>
          </w:p>
        </w:tc>
      </w:tr>
      <w:tr>
        <w:trPr>
          <w:cantSplit/>
        </w:trPr>
        <w:tc>
          <w:tcPr>
            <w:tcW w:type="dxa" w:w="3360"/>
            <w:vAlign w:val="center"/>
            <w:shd w:fill="F8FAFC"/>
          </w:tcPr>
          <w:p>
            <w:r/>
            <w:r>
              <w:rPr>
                <w:b w:val="0"/>
                <w:color w:val="1F2937"/>
                <w:sz w:val="17"/>
              </w:rPr>
              <w:t>Admin</w:t>
            </w:r>
          </w:p>
        </w:tc>
        <w:tc>
          <w:tcPr>
            <w:tcW w:type="dxa" w:w="3360"/>
            <w:vAlign w:val="center"/>
            <w:shd w:fill="F8FAFC"/>
          </w:tcPr>
          <w:p>
            <w:r/>
            <w:r>
              <w:rPr>
                <w:b w:val="0"/>
                <w:color w:val="1F2937"/>
                <w:sz w:val="17"/>
              </w:rPr>
              <w:t>Manage internal users; assign roles; assign Customer/Underwriter/Adjuster; pricing; authority settlement decisions</w:t>
            </w:r>
          </w:p>
        </w:tc>
        <w:tc>
          <w:tcPr>
            <w:tcW w:type="dxa" w:w="3360"/>
            <w:vAlign w:val="center"/>
            <w:shd w:fill="F8FAFC"/>
          </w:tcPr>
          <w:p>
            <w:r/>
            <w:r>
              <w:rPr>
                <w:b w:val="0"/>
                <w:color w:val="1F2937"/>
                <w:sz w:val="17"/>
              </w:rPr>
              <w:t>Cannot act as Agent/Underwriter/Adjuster through role substitution</w:t>
            </w:r>
          </w:p>
        </w:tc>
      </w:tr>
    </w:tbl>
    <w:p>
      <w:pPr>
        <w:spacing w:after="40"/>
      </w:pPr>
    </w:p>
    <w:p>
      <w:pPr>
        <w:pStyle w:val="Heading1"/>
        <w:keepNext/>
        <w:spacing w:before="180" w:after="80"/>
      </w:pPr>
      <w:r>
        <w:t>3. System context</w:t>
      </w:r>
    </w:p>
    <w:p>
      <w:pPr>
        <w:spacing w:after="100" w:line="259" w:lineRule="auto"/>
      </w:pPr>
      <w:r>
        <w:t>The system is a single Angular 21 application behind Ocelot. Ocelot forwards browser requests to six focused .NET services. Each service owns one database and all inter-service communication uses synchronous REST contracts. The frontend is a thin client and does not own authoritative insurance rules.</w:t>
      </w:r>
    </w:p>
    <w:p>
      <w:pPr>
        <w:pStyle w:val="Heading1"/>
        <w:keepNext/>
        <w:spacing w:before="180" w:after="80"/>
      </w:pPr>
      <w:r>
        <w:t>4. Functional requirements</w:t>
      </w:r>
    </w:p>
    <w:p>
      <w:pPr>
        <w:pStyle w:val="Heading2"/>
        <w:keepNext/>
        <w:spacing w:before="120" w:after="80"/>
      </w:pPr>
      <w:r>
        <w:t>Identity and session</w:t>
      </w:r>
    </w:p>
    <w:p>
      <w:pPr>
        <w:pStyle w:val="ListBullet"/>
        <w:spacing w:after="40"/>
      </w:pPr>
      <w:r>
        <w:t>FR-I-01 Customer registration creates a Customer identity.</w:t>
      </w:r>
    </w:p>
    <w:p>
      <w:pPr>
        <w:pStyle w:val="ListBullet"/>
        <w:spacing w:after="40"/>
      </w:pPr>
      <w:r>
        <w:t>FR-I-02 Internal registration creates a Pending internal-access registration.</w:t>
      </w:r>
    </w:p>
    <w:p>
      <w:pPr>
        <w:pStyle w:val="ListBullet"/>
        <w:spacing w:after="40"/>
      </w:pPr>
      <w:r>
        <w:t>FR-I-03 Login validates account state and returns an operational session or a 2FA next step.</w:t>
      </w:r>
    </w:p>
    <w:p>
      <w:pPr>
        <w:pStyle w:val="ListBullet"/>
        <w:spacing w:after="40"/>
      </w:pPr>
      <w:r>
        <w:t>FR-I-04 Refresh rotates persisted refresh state and returns a new access token.</w:t>
      </w:r>
    </w:p>
    <w:p>
      <w:pPr>
        <w:pStyle w:val="ListBullet"/>
        <w:spacing w:after="40"/>
      </w:pPr>
      <w:r>
        <w:t>FR-I-05 Logout revokes the applicable refresh session.</w:t>
      </w:r>
    </w:p>
    <w:p>
      <w:pPr>
        <w:pStyle w:val="ListBullet"/>
        <w:spacing w:after="40"/>
      </w:pPr>
      <w:r>
        <w:t>FR-I-06 Internal users must complete built-in Identity 2FA.</w:t>
      </w:r>
    </w:p>
    <w:p>
      <w:pPr>
        <w:pStyle w:val="ListBullet"/>
        <w:spacing w:after="40"/>
      </w:pPr>
      <w:r>
        <w:t>FR-I-07 Current-user information exposes minimal identity/role/display context.</w:t>
      </w:r>
    </w:p>
    <w:p>
      <w:pPr>
        <w:pStyle w:val="Heading2"/>
        <w:keepNext/>
        <w:spacing w:before="120" w:after="80"/>
      </w:pPr>
      <w:r>
        <w:t>Customer and vehicle</w:t>
      </w:r>
    </w:p>
    <w:p>
      <w:pPr>
        <w:pStyle w:val="ListBullet"/>
        <w:spacing w:after="40"/>
      </w:pPr>
      <w:r>
        <w:t>FR-C-01 One Customer profile is associated with one Identity user.</w:t>
      </w:r>
    </w:p>
    <w:p>
      <w:pPr>
        <w:pStyle w:val="ListBullet"/>
        <w:spacing w:after="40"/>
      </w:pPr>
      <w:r>
        <w:t>FR-C-02 Customer has exactly one primary Driver.</w:t>
      </w:r>
    </w:p>
    <w:p>
      <w:pPr>
        <w:pStyle w:val="ListBullet"/>
        <w:spacing w:after="40"/>
      </w:pPr>
      <w:r>
        <w:t>FR-C-03 Customer may have multiple personally owned Vehicles.</w:t>
      </w:r>
    </w:p>
    <w:p>
      <w:pPr>
        <w:pStyle w:val="ListBullet"/>
        <w:spacing w:after="40"/>
      </w:pPr>
      <w:r>
        <w:t>FR-C-04 VIN and licence number are unique.</w:t>
      </w:r>
    </w:p>
    <w:p>
      <w:pPr>
        <w:pStyle w:val="ListBullet"/>
        <w:spacing w:after="40"/>
      </w:pPr>
      <w:r>
        <w:t>FR-C-05 Driver/Vehicle eligibility data is validated before quote generation.</w:t>
      </w:r>
    </w:p>
    <w:p>
      <w:pPr>
        <w:pStyle w:val="ListBullet"/>
        <w:spacing w:after="40"/>
      </w:pPr>
      <w:r>
        <w:t>FR-C-06 Admin assigns one Agent permanently; reassignment is not supported.</w:t>
      </w:r>
    </w:p>
    <w:p>
      <w:pPr>
        <w:pStyle w:val="ListBullet"/>
        <w:spacing w:after="40"/>
      </w:pPr>
      <w:r>
        <w:t>FR-C-07 Agent access is restricted to the assigned Customer.</w:t>
      </w:r>
    </w:p>
    <w:p>
      <w:pPr>
        <w:pStyle w:val="Heading2"/>
        <w:keepNext/>
        <w:spacing w:before="120" w:after="80"/>
      </w:pPr>
      <w:r>
        <w:t>Quotation and rating</w:t>
      </w:r>
    </w:p>
    <w:p>
      <w:pPr>
        <w:pStyle w:val="ListBullet"/>
        <w:spacing w:after="40"/>
      </w:pPr>
      <w:r>
        <w:t>FR-Q-01 Agent starts or resumes one active Draft for an eligible Vehicle.</w:t>
      </w:r>
    </w:p>
    <w:p>
      <w:pPr>
        <w:pStyle w:val="ListBullet"/>
        <w:spacing w:after="40"/>
      </w:pPr>
      <w:r>
        <w:t>FR-Q-02 System generates Basic, Standard and Premium options.</w:t>
      </w:r>
    </w:p>
    <w:p>
      <w:pPr>
        <w:pStyle w:val="ListBullet"/>
        <w:spacing w:after="40"/>
      </w:pPr>
      <w:r>
        <w:t>FR-Q-03 Agent configures permitted plan/coverage/deductible/add-on values.</w:t>
      </w:r>
    </w:p>
    <w:p>
      <w:pPr>
        <w:pStyle w:val="ListBullet"/>
        <w:spacing w:after="40"/>
      </w:pPr>
      <w:r>
        <w:t>FR-Q-04 Recalculation uses current authoritative risk and rating data.</w:t>
      </w:r>
    </w:p>
    <w:p>
      <w:pPr>
        <w:pStyle w:val="ListBullet"/>
        <w:spacing w:after="40"/>
      </w:pPr>
      <w:r>
        <w:t>FR-Q-05 Finalization creates immutable Quote snapshots.</w:t>
      </w:r>
    </w:p>
    <w:p>
      <w:pPr>
        <w:pStyle w:val="ListBullet"/>
        <w:spacing w:after="40"/>
      </w:pPr>
      <w:r>
        <w:t>FR-Q-06 Finalized Quote is valid for seven days for the submission/underwriting handoff.</w:t>
      </w:r>
    </w:p>
    <w:p>
      <w:pPr>
        <w:pStyle w:val="ListBullet"/>
        <w:spacing w:after="40"/>
      </w:pPr>
      <w:r>
        <w:t>FR-Q-07 Submission to Underwriting is idempotent.</w:t>
      </w:r>
    </w:p>
    <w:p>
      <w:pPr>
        <w:pStyle w:val="Heading2"/>
        <w:keepNext/>
        <w:spacing w:before="120" w:after="80"/>
      </w:pPr>
      <w:r>
        <w:t>Underwriting</w:t>
      </w:r>
    </w:p>
    <w:p>
      <w:pPr>
        <w:pStyle w:val="ListBullet"/>
        <w:spacing w:after="40"/>
      </w:pPr>
      <w:r>
        <w:t>FR-U-01 Every finalized Quote enters mandatory manual underwriting.</w:t>
      </w:r>
    </w:p>
    <w:p>
      <w:pPr>
        <w:pStyle w:val="ListBullet"/>
        <w:spacing w:after="40"/>
      </w:pPr>
      <w:r>
        <w:t>FR-U-02 Admin assigns exactly one Underwriter.</w:t>
      </w:r>
    </w:p>
    <w:p>
      <w:pPr>
        <w:pStyle w:val="ListBullet"/>
        <w:spacing w:after="40"/>
      </w:pPr>
      <w:r>
        <w:t>FR-U-03 Assigned Underwriter completes Driver, Vehicle, Insurance, Documentation and Risk Review sections.</w:t>
      </w:r>
    </w:p>
    <w:p>
      <w:pPr>
        <w:pStyle w:val="ListBullet"/>
        <w:spacing w:after="40"/>
      </w:pPr>
      <w:r>
        <w:t>FR-U-04 Underwriter may Approve or Reject.</w:t>
      </w:r>
    </w:p>
    <w:p>
      <w:pPr>
        <w:pStyle w:val="ListBullet"/>
        <w:spacing w:after="40"/>
      </w:pPr>
      <w:r>
        <w:t>FR-U-05 Rejection requires a customer-visible reason.</w:t>
      </w:r>
    </w:p>
    <w:p>
      <w:pPr>
        <w:pStyle w:val="ListBullet"/>
        <w:spacing w:after="40"/>
      </w:pPr>
      <w:r>
        <w:t>FR-U-06 Underwriter cannot change premium, plan, coverage or finalized Quote values.</w:t>
      </w:r>
    </w:p>
    <w:p>
      <w:pPr>
        <w:pStyle w:val="ListBullet"/>
        <w:spacing w:after="40"/>
      </w:pPr>
      <w:r>
        <w:t>FR-U-07 Approved applications expose a seven-day customer completion window.</w:t>
      </w:r>
    </w:p>
    <w:p>
      <w:pPr>
        <w:pStyle w:val="ListBullet"/>
        <w:spacing w:after="40"/>
      </w:pPr>
      <w:r>
        <w:t>FR-U-08 Missed completion transitions the application to Lapsed.</w:t>
      </w:r>
    </w:p>
    <w:p>
      <w:pPr>
        <w:pStyle w:val="Heading2"/>
        <w:keepNext/>
        <w:spacing w:before="120" w:after="80"/>
      </w:pPr>
      <w:r>
        <w:t>Policy and billing</w:t>
      </w:r>
    </w:p>
    <w:p>
      <w:pPr>
        <w:pStyle w:val="ListBullet"/>
        <w:spacing w:after="40"/>
      </w:pPr>
      <w:r>
        <w:t>FR-P-01 Customer accepts an Approved/non-Lapsed offer.</w:t>
      </w:r>
    </w:p>
    <w:p>
      <w:pPr>
        <w:pStyle w:val="ListBullet"/>
        <w:spacing w:after="40"/>
      </w:pPr>
      <w:r>
        <w:t>FR-P-02 Effective date is today through +30 days; term is fixed at 12 months.</w:t>
      </w:r>
    </w:p>
    <w:p>
      <w:pPr>
        <w:pStyle w:val="ListBullet"/>
        <w:spacing w:after="40"/>
      </w:pPr>
      <w:r>
        <w:t>FR-P-03 Payment frequency supports Annual, Semi-Annual, Quarterly and Monthly.</w:t>
      </w:r>
    </w:p>
    <w:p>
      <w:pPr>
        <w:pStyle w:val="ListBullet"/>
        <w:spacing w:after="40"/>
      </w:pPr>
      <w:r>
        <w:t>FR-P-04 First successful payment is required before issuance.</w:t>
      </w:r>
    </w:p>
    <w:p>
      <w:pPr>
        <w:pStyle w:val="ListBullet"/>
        <w:spacing w:after="40"/>
      </w:pPr>
      <w:r>
        <w:t>FR-P-05 Policy issuance creates immutable policy snapshots, schedule and PDF metadata atomically.</w:t>
      </w:r>
    </w:p>
    <w:p>
      <w:pPr>
        <w:pStyle w:val="ListBullet"/>
        <w:spacing w:after="40"/>
      </w:pPr>
      <w:r>
        <w:t>FR-P-06 Policy states progress Issued -&gt; Active -&gt; Expired as dates are reached; permitted cancellation leads to Cancelled.</w:t>
      </w:r>
    </w:p>
    <w:p>
      <w:pPr>
        <w:pStyle w:val="ListBullet"/>
        <w:spacing w:after="40"/>
      </w:pPr>
      <w:r>
        <w:t>FR-P-07 Customer can view/installment history and retry failed simulated payments.</w:t>
      </w:r>
    </w:p>
    <w:p>
      <w:pPr>
        <w:pStyle w:val="ListBullet"/>
        <w:spacing w:after="40"/>
      </w:pPr>
      <w:r>
        <w:t>FR-P-08 Renewal reuses normal Quote/Underwriting before next-term issuance.</w:t>
      </w:r>
    </w:p>
    <w:p>
      <w:pPr>
        <w:pStyle w:val="Heading2"/>
        <w:keepNext/>
        <w:spacing w:before="120" w:after="80"/>
      </w:pPr>
      <w:r>
        <w:t>Claims</w:t>
      </w:r>
    </w:p>
    <w:p>
      <w:pPr>
        <w:pStyle w:val="ListBullet"/>
        <w:spacing w:after="40"/>
      </w:pPr>
      <w:r>
        <w:t>FR-CM-01 Only the assigned Agent creates FNOL and formal claim drafts.</w:t>
      </w:r>
    </w:p>
    <w:p>
      <w:pPr>
        <w:pStyle w:val="ListBullet"/>
        <w:spacing w:after="40"/>
      </w:pPr>
      <w:r>
        <w:t>FR-CM-02 Date of Loss must be covered and reported within 30 days.</w:t>
      </w:r>
    </w:p>
    <w:p>
      <w:pPr>
        <w:pStyle w:val="ListBullet"/>
        <w:spacing w:after="40"/>
      </w:pPr>
      <w:r>
        <w:t>FR-CM-03 Duplicate Policy + Vehicle + DateOfLoss is blocked.</w:t>
      </w:r>
    </w:p>
    <w:p>
      <w:pPr>
        <w:pStyle w:val="ListBullet"/>
        <w:spacing w:after="40"/>
      </w:pPr>
      <w:r>
        <w:t>FR-CM-04 A formal Claim requires evidence before submission.</w:t>
      </w:r>
    </w:p>
    <w:p>
      <w:pPr>
        <w:pStyle w:val="ListBullet"/>
        <w:spacing w:after="40"/>
      </w:pPr>
      <w:r>
        <w:t>FR-CM-05 Submitted Claim/evidence becomes immutable and consumes one of five term slots.</w:t>
      </w:r>
    </w:p>
    <w:p>
      <w:pPr>
        <w:pStyle w:val="ListBullet"/>
        <w:spacing w:after="40"/>
      </w:pPr>
      <w:r>
        <w:t>FR-CM-06 Admin assigns one Adjuster.</w:t>
      </w:r>
    </w:p>
    <w:p>
      <w:pPr>
        <w:pStyle w:val="ListBullet"/>
        <w:spacing w:after="40"/>
      </w:pPr>
      <w:r>
        <w:t>FR-CM-07 Adjuster reviews, assesses and records decision; contractual limit/deductible cannot be overridden.</w:t>
      </w:r>
    </w:p>
    <w:p>
      <w:pPr>
        <w:pStyle w:val="ListBullet"/>
        <w:spacing w:after="40"/>
      </w:pPr>
      <w:r>
        <w:t>FR-CM-08 Above-authority payable settlements are escalated to Admin.</w:t>
      </w:r>
    </w:p>
    <w:p>
      <w:pPr>
        <w:pStyle w:val="ListBullet"/>
        <w:spacing w:after="40"/>
      </w:pPr>
      <w:r>
        <w:t>FR-CM-09 Customer accepts settlement and selects Bank Transfer or UPI for simulated payout.</w:t>
      </w:r>
    </w:p>
    <w:p>
      <w:pPr>
        <w:pStyle w:val="ListBullet"/>
        <w:spacing w:after="40"/>
      </w:pPr>
      <w:r>
        <w:t>FR-CM-10 Payable Claim closes only after payout reaches Paid.</w:t>
      </w:r>
    </w:p>
    <w:p>
      <w:pPr>
        <w:pStyle w:val="Heading2"/>
        <w:keepNext/>
        <w:spacing w:before="120" w:after="80"/>
      </w:pPr>
      <w:r>
        <w:t>Administration</w:t>
      </w:r>
    </w:p>
    <w:p>
      <w:pPr>
        <w:pStyle w:val="ListBullet"/>
        <w:spacing w:after="40"/>
      </w:pPr>
      <w:r>
        <w:t>FR-A-01 Admin reviews and approves/rejects internal registrations.</w:t>
      </w:r>
    </w:p>
    <w:p>
      <w:pPr>
        <w:pStyle w:val="ListBullet"/>
        <w:spacing w:after="40"/>
      </w:pPr>
      <w:r>
        <w:t>FR-A-02 Admin views internal-user role/status/2FA state.</w:t>
      </w:r>
    </w:p>
    <w:p>
      <w:pPr>
        <w:pStyle w:val="ListBullet"/>
        <w:spacing w:after="40"/>
      </w:pPr>
      <w:r>
        <w:t>FR-A-03 Admin performs permanent Agent/Underwriter/Adjuster assignments.</w:t>
      </w:r>
    </w:p>
    <w:p>
      <w:pPr>
        <w:pStyle w:val="ListBullet"/>
        <w:spacing w:after="40"/>
      </w:pPr>
      <w:r>
        <w:t>FR-A-04 Admin manages permitted pricing/rating configuration with audit.</w:t>
      </w:r>
    </w:p>
    <w:p>
      <w:pPr>
        <w:pStyle w:val="ListBullet"/>
        <w:spacing w:after="40"/>
      </w:pPr>
      <w:r>
        <w:t>FR-A-05 Admin handles above-authority claim settlement decisions without changing the calculated amount.</w:t>
      </w:r>
    </w:p>
    <w:p>
      <w:pPr>
        <w:pStyle w:val="Heading1"/>
        <w:keepNext/>
        <w:spacing w:before="180" w:after="80"/>
      </w:pPr>
      <w:r>
        <w:t>5. Business rules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040"/>
        <w:gridCol w:w="5040"/>
      </w:tblGrid>
      <w:tr>
        <w:trPr>
          <w:tblHeader w:val="true"/>
        </w:trPr>
        <w:tc>
          <w:tcPr>
            <w:tcW w:type="dxa" w:w="5040"/>
            <w:vAlign w:val="center"/>
            <w:shd w:fill="1F2937"/>
          </w:tcPr>
          <w:p>
            <w:r/>
            <w:r>
              <w:rPr>
                <w:b/>
                <w:color w:val="FFFFFF"/>
                <w:sz w:val="17"/>
              </w:rPr>
              <w:t>Area</w:t>
            </w:r>
          </w:p>
        </w:tc>
        <w:tc>
          <w:tcPr>
            <w:tcW w:type="dxa" w:w="5040"/>
            <w:vAlign w:val="center"/>
            <w:shd w:fill="1F2937"/>
          </w:tcPr>
          <w:p>
            <w:r/>
            <w:r>
              <w:rPr>
                <w:b/>
                <w:color w:val="FFFFFF"/>
                <w:sz w:val="17"/>
              </w:rPr>
              <w:t>Rule</w:t>
            </w:r>
          </w:p>
        </w:tc>
      </w:tr>
      <w:tr>
        <w:trPr>
          <w:cantSplit/>
        </w:trPr>
        <w:tc>
          <w:tcPr>
            <w:tcW w:type="dxa" w:w="5040"/>
            <w:vAlign w:val="center"/>
            <w:shd w:fill="F8FAFC"/>
          </w:tcPr>
          <w:p>
            <w:r/>
            <w:r>
              <w:rPr>
                <w:b w:val="0"/>
                <w:color w:val="1F2937"/>
                <w:sz w:val="17"/>
              </w:rPr>
              <w:t>Plans</w:t>
            </w:r>
          </w:p>
        </w:tc>
        <w:tc>
          <w:tcPr>
            <w:tcW w:type="dxa" w:w="5040"/>
            <w:vAlign w:val="center"/>
            <w:shd w:fill="F8FAFC"/>
          </w:tcPr>
          <w:p>
            <w:r/>
            <w:r>
              <w:rPr>
                <w:b w:val="0"/>
                <w:color w:val="1F2937"/>
                <w:sz w:val="17"/>
              </w:rPr>
              <w:t>Basic, Standard and Premium are fixed; mandatory coverage membership cannot be removed.</w:t>
            </w:r>
          </w:p>
        </w:tc>
      </w:tr>
      <w:tr>
        <w:trPr>
          <w:cantSplit/>
        </w:trPr>
        <w:tc>
          <w:tcPr>
            <w:tcW w:type="dxa" w:w="5040"/>
            <w:vAlign w:val="center"/>
          </w:tcPr>
          <w:p>
            <w:r/>
            <w:r>
              <w:rPr>
                <w:b w:val="0"/>
                <w:color w:val="1F2937"/>
                <w:sz w:val="17"/>
              </w:rPr>
              <w:t>Rating</w:t>
            </w:r>
          </w:p>
        </w:tc>
        <w:tc>
          <w:tcPr>
            <w:tcW w:type="dxa" w:w="5040"/>
            <w:vAlign w:val="center"/>
          </w:tcPr>
          <w:p>
            <w:r/>
            <w:r>
              <w:rPr>
                <w:b w:val="0"/>
                <w:color w:val="1F2937"/>
                <w:sz w:val="17"/>
              </w:rPr>
              <w:t>Seven additive factors: Driver age, driving experience, vehicle age, vehicle value, annual mileage, geography and prior-three-year qualifying claims.</w:t>
            </w:r>
          </w:p>
        </w:tc>
      </w:tr>
      <w:tr>
        <w:trPr>
          <w:cantSplit/>
        </w:trPr>
        <w:tc>
          <w:tcPr>
            <w:tcW w:type="dxa" w:w="5040"/>
            <w:vAlign w:val="center"/>
            <w:shd w:fill="F8FAFC"/>
          </w:tcPr>
          <w:p>
            <w:r/>
            <w:r>
              <w:rPr>
                <w:b w:val="0"/>
                <w:color w:val="1F2937"/>
                <w:sz w:val="17"/>
              </w:rPr>
              <w:t>Premium</w:t>
            </w:r>
          </w:p>
        </w:tc>
        <w:tc>
          <w:tcPr>
            <w:tcW w:type="dxa" w:w="5040"/>
            <w:vAlign w:val="center"/>
            <w:shd w:fill="F8FAFC"/>
          </w:tcPr>
          <w:p>
            <w:r/>
            <w:r>
              <w:rPr>
                <w:b w:val="0"/>
                <w:color w:val="1F2937"/>
                <w:sz w:val="17"/>
              </w:rPr>
              <w:t>RiskAdjustedPremium = PlanBasePremium × (1 + TotalRisk%). ConfiguredPremium applies configured coverage/deductible surcharges; fixed add-ons are added.</w:t>
            </w:r>
          </w:p>
        </w:tc>
      </w:tr>
      <w:tr>
        <w:trPr>
          <w:cantSplit/>
        </w:trPr>
        <w:tc>
          <w:tcPr>
            <w:tcW w:type="dxa" w:w="5040"/>
            <w:vAlign w:val="center"/>
          </w:tcPr>
          <w:p>
            <w:r/>
            <w:r>
              <w:rPr>
                <w:b w:val="0"/>
                <w:color w:val="1F2937"/>
                <w:sz w:val="17"/>
              </w:rPr>
              <w:t>Quote history</w:t>
            </w:r>
          </w:p>
        </w:tc>
        <w:tc>
          <w:tcPr>
            <w:tcW w:type="dxa" w:w="5040"/>
            <w:vAlign w:val="center"/>
          </w:tcPr>
          <w:p>
            <w:r/>
            <w:r>
              <w:rPr>
                <w:b w:val="0"/>
                <w:color w:val="1F2937"/>
                <w:sz w:val="17"/>
              </w:rPr>
              <w:t>Finalized quote snapshots freeze risk, product, rating and premium.</w:t>
            </w:r>
          </w:p>
        </w:tc>
      </w:tr>
      <w:tr>
        <w:trPr>
          <w:cantSplit/>
        </w:trPr>
        <w:tc>
          <w:tcPr>
            <w:tcW w:type="dxa" w:w="5040"/>
            <w:vAlign w:val="center"/>
            <w:shd w:fill="F8FAFC"/>
          </w:tcPr>
          <w:p>
            <w:r/>
            <w:r>
              <w:rPr>
                <w:b w:val="0"/>
                <w:color w:val="1F2937"/>
                <w:sz w:val="17"/>
              </w:rPr>
              <w:t>Underwriting</w:t>
            </w:r>
          </w:p>
        </w:tc>
        <w:tc>
          <w:tcPr>
            <w:tcW w:type="dxa" w:w="5040"/>
            <w:vAlign w:val="center"/>
            <w:shd w:fill="F8FAFC"/>
          </w:tcPr>
          <w:p>
            <w:r/>
            <w:r>
              <w:rPr>
                <w:b w:val="0"/>
                <w:color w:val="1F2937"/>
                <w:sz w:val="17"/>
              </w:rPr>
              <w:t>All finalized quotes require manual underwriting; rejected is terminal; approved starts a seven-day completion deadline.</w:t>
            </w:r>
          </w:p>
        </w:tc>
      </w:tr>
      <w:tr>
        <w:trPr>
          <w:cantSplit/>
        </w:trPr>
        <w:tc>
          <w:tcPr>
            <w:tcW w:type="dxa" w:w="5040"/>
            <w:vAlign w:val="center"/>
          </w:tcPr>
          <w:p>
            <w:r/>
            <w:r>
              <w:rPr>
                <w:b w:val="0"/>
                <w:color w:val="1F2937"/>
                <w:sz w:val="17"/>
              </w:rPr>
              <w:t>Policy</w:t>
            </w:r>
          </w:p>
        </w:tc>
        <w:tc>
          <w:tcPr>
            <w:tcW w:type="dxa" w:w="5040"/>
            <w:vAlign w:val="center"/>
          </w:tcPr>
          <w:p>
            <w:r/>
            <w:r>
              <w:rPr>
                <w:b w:val="0"/>
                <w:color w:val="1F2937"/>
                <w:sz w:val="17"/>
              </w:rPr>
              <w:t>One active/effective policy per vehicle; 12-month term; first payment before issuance; overdue installment does not cancel policy in MVP.</w:t>
            </w:r>
          </w:p>
        </w:tc>
      </w:tr>
      <w:tr>
        <w:trPr>
          <w:cantSplit/>
        </w:trPr>
        <w:tc>
          <w:tcPr>
            <w:tcW w:type="dxa" w:w="5040"/>
            <w:vAlign w:val="center"/>
            <w:shd w:fill="F8FAFC"/>
          </w:tcPr>
          <w:p>
            <w:r/>
            <w:r>
              <w:rPr>
                <w:b w:val="0"/>
                <w:color w:val="1F2937"/>
                <w:sz w:val="17"/>
              </w:rPr>
              <w:t>Claims</w:t>
            </w:r>
          </w:p>
        </w:tc>
        <w:tc>
          <w:tcPr>
            <w:tcW w:type="dxa" w:w="5040"/>
            <w:vAlign w:val="center"/>
            <w:shd w:fill="F8FAFC"/>
          </w:tcPr>
          <w:p>
            <w:r/>
            <w:r>
              <w:rPr>
                <w:b w:val="0"/>
                <w:color w:val="1F2937"/>
                <w:sz w:val="17"/>
              </w:rPr>
              <w:t>Max five submitted Claims per policy term. Settlement = max(0, min(Assessed, CoverageLimit) - Deductible).</w:t>
            </w:r>
          </w:p>
        </w:tc>
      </w:tr>
    </w:tbl>
    <w:p>
      <w:pPr>
        <w:spacing w:after="40"/>
      </w:pPr>
    </w:p>
    <w:p>
      <w:pPr>
        <w:pStyle w:val="Heading1"/>
        <w:keepNext/>
        <w:spacing w:before="180" w:after="80"/>
      </w:pPr>
      <w:r>
        <w:t>6. Non-functional requirements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040"/>
        <w:gridCol w:w="5040"/>
      </w:tblGrid>
      <w:tr>
        <w:trPr>
          <w:tblHeader w:val="true"/>
        </w:trPr>
        <w:tc>
          <w:tcPr>
            <w:tcW w:type="dxa" w:w="5040"/>
            <w:vAlign w:val="center"/>
            <w:shd w:fill="1F2937"/>
          </w:tcPr>
          <w:p>
            <w:r/>
            <w:r>
              <w:rPr>
                <w:b/>
                <w:color w:val="FFFFFF"/>
                <w:sz w:val="17"/>
              </w:rPr>
              <w:t>ID</w:t>
            </w:r>
          </w:p>
        </w:tc>
        <w:tc>
          <w:tcPr>
            <w:tcW w:type="dxa" w:w="5040"/>
            <w:vAlign w:val="center"/>
            <w:shd w:fill="1F2937"/>
          </w:tcPr>
          <w:p>
            <w:r/>
            <w:r>
              <w:rPr>
                <w:b/>
                <w:color w:val="FFFFFF"/>
                <w:sz w:val="17"/>
              </w:rPr>
              <w:t>Requirement</w:t>
            </w:r>
          </w:p>
        </w:tc>
      </w:tr>
      <w:tr>
        <w:trPr>
          <w:cantSplit/>
        </w:trPr>
        <w:tc>
          <w:tcPr>
            <w:tcW w:type="dxa" w:w="5040"/>
            <w:vAlign w:val="center"/>
            <w:shd w:fill="F8FAFC"/>
          </w:tcPr>
          <w:p>
            <w:r/>
            <w:r>
              <w:rPr>
                <w:b w:val="0"/>
                <w:color w:val="1F2937"/>
                <w:sz w:val="17"/>
              </w:rPr>
              <w:t>NFR-01</w:t>
            </w:r>
          </w:p>
        </w:tc>
        <w:tc>
          <w:tcPr>
            <w:tcW w:type="dxa" w:w="5040"/>
            <w:vAlign w:val="center"/>
            <w:shd w:fill="F8FAFC"/>
          </w:tcPr>
          <w:p>
            <w:r/>
            <w:r>
              <w:rPr>
                <w:b w:val="0"/>
                <w:color w:val="1F2937"/>
                <w:sz w:val="17"/>
              </w:rPr>
              <w:t>Security: JWT bearer authentication, persisted/rotated refresh sessions, built-in internal-user 2FA, backend resource authorization.</w:t>
            </w:r>
          </w:p>
        </w:tc>
      </w:tr>
      <w:tr>
        <w:trPr>
          <w:cantSplit/>
        </w:trPr>
        <w:tc>
          <w:tcPr>
            <w:tcW w:type="dxa" w:w="5040"/>
            <w:vAlign w:val="center"/>
          </w:tcPr>
          <w:p>
            <w:r/>
            <w:r>
              <w:rPr>
                <w:b w:val="0"/>
                <w:color w:val="1F2937"/>
                <w:sz w:val="17"/>
              </w:rPr>
              <w:t>NFR-02</w:t>
            </w:r>
          </w:p>
        </w:tc>
        <w:tc>
          <w:tcPr>
            <w:tcW w:type="dxa" w:w="5040"/>
            <w:vAlign w:val="center"/>
          </w:tcPr>
          <w:p>
            <w:r/>
            <w:r>
              <w:rPr>
                <w:b w:val="0"/>
                <w:color w:val="1F2937"/>
                <w:sz w:val="17"/>
              </w:rPr>
              <w:t>Reliability: mandatory dependency failure must fail closed; no fabricated zero claims/approved state/policy coverage.</w:t>
            </w:r>
          </w:p>
        </w:tc>
      </w:tr>
      <w:tr>
        <w:trPr>
          <w:cantSplit/>
        </w:trPr>
        <w:tc>
          <w:tcPr>
            <w:tcW w:type="dxa" w:w="5040"/>
            <w:vAlign w:val="center"/>
            <w:shd w:fill="F8FAFC"/>
          </w:tcPr>
          <w:p>
            <w:r/>
            <w:r>
              <w:rPr>
                <w:b w:val="0"/>
                <w:color w:val="1F2937"/>
                <w:sz w:val="17"/>
              </w:rPr>
              <w:t>NFR-03</w:t>
            </w:r>
          </w:p>
        </w:tc>
        <w:tc>
          <w:tcPr>
            <w:tcW w:type="dxa" w:w="5040"/>
            <w:vAlign w:val="center"/>
            <w:shd w:fill="F8FAFC"/>
          </w:tcPr>
          <w:p>
            <w:r/>
            <w:r>
              <w:rPr>
                <w:b w:val="0"/>
                <w:color w:val="1F2937"/>
                <w:sz w:val="17"/>
              </w:rPr>
              <w:t>Auditability: business status histories and pricing audit remain in owning DB; technical logs go to Serilog/LoggingDb.</w:t>
            </w:r>
          </w:p>
        </w:tc>
      </w:tr>
      <w:tr>
        <w:trPr>
          <w:cantSplit/>
        </w:trPr>
        <w:tc>
          <w:tcPr>
            <w:tcW w:type="dxa" w:w="5040"/>
            <w:vAlign w:val="center"/>
          </w:tcPr>
          <w:p>
            <w:r/>
            <w:r>
              <w:rPr>
                <w:b w:val="0"/>
                <w:color w:val="1F2937"/>
                <w:sz w:val="17"/>
              </w:rPr>
              <w:t>NFR-04</w:t>
            </w:r>
          </w:p>
        </w:tc>
        <w:tc>
          <w:tcPr>
            <w:tcW w:type="dxa" w:w="5040"/>
            <w:vAlign w:val="center"/>
          </w:tcPr>
          <w:p>
            <w:r/>
            <w:r>
              <w:rPr>
                <w:b w:val="0"/>
                <w:color w:val="1F2937"/>
                <w:sz w:val="17"/>
              </w:rPr>
              <w:t>Data integrity: database constraints/concurrency guards enforce uniqueness and assign-once/idempotency rules.</w:t>
            </w:r>
          </w:p>
        </w:tc>
      </w:tr>
      <w:tr>
        <w:trPr>
          <w:cantSplit/>
        </w:trPr>
        <w:tc>
          <w:tcPr>
            <w:tcW w:type="dxa" w:w="5040"/>
            <w:vAlign w:val="center"/>
            <w:shd w:fill="F8FAFC"/>
          </w:tcPr>
          <w:p>
            <w:r/>
            <w:r>
              <w:rPr>
                <w:b w:val="0"/>
                <w:color w:val="1F2937"/>
                <w:sz w:val="17"/>
              </w:rPr>
              <w:t>NFR-05</w:t>
            </w:r>
          </w:p>
        </w:tc>
        <w:tc>
          <w:tcPr>
            <w:tcW w:type="dxa" w:w="5040"/>
            <w:vAlign w:val="center"/>
            <w:shd w:fill="F8FAFC"/>
          </w:tcPr>
          <w:p>
            <w:r/>
            <w:r>
              <w:rPr>
                <w:b w:val="0"/>
                <w:color w:val="1F2937"/>
                <w:sz w:val="17"/>
              </w:rPr>
              <w:t>Historical integrity: finalized/submitted/issued records remain immutable after their boundary.</w:t>
            </w:r>
          </w:p>
        </w:tc>
      </w:tr>
      <w:tr>
        <w:trPr>
          <w:cantSplit/>
        </w:trPr>
        <w:tc>
          <w:tcPr>
            <w:tcW w:type="dxa" w:w="5040"/>
            <w:vAlign w:val="center"/>
          </w:tcPr>
          <w:p>
            <w:r/>
            <w:r>
              <w:rPr>
                <w:b w:val="0"/>
                <w:color w:val="1F2937"/>
                <w:sz w:val="17"/>
              </w:rPr>
              <w:t>NFR-06</w:t>
            </w:r>
          </w:p>
        </w:tc>
        <w:tc>
          <w:tcPr>
            <w:tcW w:type="dxa" w:w="5040"/>
            <w:vAlign w:val="center"/>
          </w:tcPr>
          <w:p>
            <w:r/>
            <w:r>
              <w:rPr>
                <w:b w:val="0"/>
                <w:color w:val="1F2937"/>
                <w:sz w:val="17"/>
              </w:rPr>
              <w:t>Observability: Correlation ID is accepted/generated at gateway and propagated to downstream logs.</w:t>
            </w:r>
          </w:p>
        </w:tc>
      </w:tr>
      <w:tr>
        <w:trPr>
          <w:cantSplit/>
        </w:trPr>
        <w:tc>
          <w:tcPr>
            <w:tcW w:type="dxa" w:w="5040"/>
            <w:vAlign w:val="center"/>
            <w:shd w:fill="F8FAFC"/>
          </w:tcPr>
          <w:p>
            <w:r/>
            <w:r>
              <w:rPr>
                <w:b w:val="0"/>
                <w:color w:val="1F2937"/>
                <w:sz w:val="17"/>
              </w:rPr>
              <w:t>NFR-07</w:t>
            </w:r>
          </w:p>
        </w:tc>
        <w:tc>
          <w:tcPr>
            <w:tcW w:type="dxa" w:w="5040"/>
            <w:vAlign w:val="center"/>
            <w:shd w:fill="F8FAFC"/>
          </w:tcPr>
          <w:p>
            <w:r/>
            <w:r>
              <w:rPr>
                <w:b w:val="0"/>
                <w:color w:val="1F2937"/>
                <w:sz w:val="17"/>
              </w:rPr>
              <w:t>API safety: safe error envelope; never return secrets, passwords, raw refresh tokens, filesystem paths or sensitive payment data.</w:t>
            </w:r>
          </w:p>
        </w:tc>
      </w:tr>
      <w:tr>
        <w:trPr>
          <w:cantSplit/>
        </w:trPr>
        <w:tc>
          <w:tcPr>
            <w:tcW w:type="dxa" w:w="5040"/>
            <w:vAlign w:val="center"/>
          </w:tcPr>
          <w:p>
            <w:r/>
            <w:r>
              <w:rPr>
                <w:b w:val="0"/>
                <w:color w:val="1F2937"/>
                <w:sz w:val="17"/>
              </w:rPr>
              <w:t>NFR-08</w:t>
            </w:r>
          </w:p>
        </w:tc>
        <w:tc>
          <w:tcPr>
            <w:tcW w:type="dxa" w:w="5040"/>
            <w:vAlign w:val="center"/>
          </w:tcPr>
          <w:p>
            <w:r/>
            <w:r>
              <w:rPr>
                <w:b w:val="0"/>
                <w:color w:val="1F2937"/>
                <w:sz w:val="17"/>
              </w:rPr>
              <w:t>Maintainability: Clean Architecture + Repository Pattern, explicit DTO mapping, FluentValidation, thin controllers.</w:t>
            </w:r>
          </w:p>
        </w:tc>
      </w:tr>
      <w:tr>
        <w:trPr>
          <w:cantSplit/>
        </w:trPr>
        <w:tc>
          <w:tcPr>
            <w:tcW w:type="dxa" w:w="5040"/>
            <w:vAlign w:val="center"/>
            <w:shd w:fill="F8FAFC"/>
          </w:tcPr>
          <w:p>
            <w:r/>
            <w:r>
              <w:rPr>
                <w:b w:val="0"/>
                <w:color w:val="1F2937"/>
                <w:sz w:val="17"/>
              </w:rPr>
              <w:t>NFR-09</w:t>
            </w:r>
          </w:p>
        </w:tc>
        <w:tc>
          <w:tcPr>
            <w:tcW w:type="dxa" w:w="5040"/>
            <w:vAlign w:val="center"/>
            <w:shd w:fill="F8FAFC"/>
          </w:tcPr>
          <w:p>
            <w:r/>
            <w:r>
              <w:rPr>
                <w:b w:val="0"/>
                <w:color w:val="1F2937"/>
                <w:sz w:val="17"/>
              </w:rPr>
              <w:t>Testability: unit/integration frontend/backend tests plus Playwright coverage of the golden path and key negative cases.</w:t>
            </w:r>
          </w:p>
        </w:tc>
      </w:tr>
      <w:tr>
        <w:trPr>
          <w:cantSplit/>
        </w:trPr>
        <w:tc>
          <w:tcPr>
            <w:tcW w:type="dxa" w:w="5040"/>
            <w:vAlign w:val="center"/>
          </w:tcPr>
          <w:p>
            <w:r/>
            <w:r>
              <w:rPr>
                <w:b w:val="0"/>
                <w:color w:val="1F2937"/>
                <w:sz w:val="17"/>
              </w:rPr>
              <w:t>NFR-10</w:t>
            </w:r>
          </w:p>
        </w:tc>
        <w:tc>
          <w:tcPr>
            <w:tcW w:type="dxa" w:w="5040"/>
            <w:vAlign w:val="center"/>
          </w:tcPr>
          <w:p>
            <w:r/>
            <w:r>
              <w:rPr>
                <w:b w:val="0"/>
                <w:color w:val="1F2937"/>
                <w:sz w:val="17"/>
              </w:rPr>
              <w:t>Usability: screen states expose heading/context, purpose, current status, next action, loading/empty/error/permission states and confirmation for high-impact actions.</w:t>
            </w:r>
          </w:p>
        </w:tc>
      </w:tr>
    </w:tbl>
    <w:p>
      <w:pPr>
        <w:spacing w:after="40"/>
      </w:pPr>
    </w:p>
    <w:p>
      <w:pPr>
        <w:pStyle w:val="Heading1"/>
        <w:keepNext/>
        <w:spacing w:before="180" w:after="80"/>
      </w:pPr>
      <w:r>
        <w:t>7. External and system interfaces</w:t>
      </w:r>
    </w:p>
    <w:p>
      <w:pPr>
        <w:pStyle w:val="ListBullet"/>
        <w:spacing w:after="40"/>
      </w:pPr>
      <w:r>
        <w:rPr>
          <w:b/>
        </w:rPr>
        <w:t xml:space="preserve">IF-01 Gateway: </w:t>
      </w:r>
      <w:r>
        <w:t>All browser traffic uses Ocelot. The gateway is a thin routing/authentication context/CORS/correlation boundary.</w:t>
      </w:r>
    </w:p>
    <w:p>
      <w:pPr>
        <w:pStyle w:val="ListBullet"/>
        <w:spacing w:after="40"/>
      </w:pPr>
      <w:r>
        <w:rPr>
          <w:b/>
        </w:rPr>
        <w:t xml:space="preserve">IF-02 Identity: </w:t>
      </w:r>
      <w:r>
        <w:t>All protected APIs rely on JWT identity/role claims from IdentityService.</w:t>
      </w:r>
    </w:p>
    <w:p>
      <w:pPr>
        <w:pStyle w:val="ListBullet"/>
        <w:spacing w:after="40"/>
      </w:pPr>
      <w:r>
        <w:rPr>
          <w:b/>
        </w:rPr>
        <w:t xml:space="preserve">IF-03 Service-to-service REST: </w:t>
      </w:r>
      <w:r>
        <w:t>CustomerVehicle, Claims, QuoteRating, Underwriting and PolicyBilling exchange identifiers and minimal contracts only.</w:t>
      </w:r>
    </w:p>
    <w:p>
      <w:pPr>
        <w:pStyle w:val="ListBullet"/>
        <w:spacing w:after="40"/>
      </w:pPr>
      <w:r>
        <w:rPr>
          <w:b/>
        </w:rPr>
        <w:t xml:space="preserve">IF-04 File access: </w:t>
      </w:r>
      <w:r>
        <w:t>Claim evidence, vehicle images and policy PDFs are accessed only through authorized APIs; physical paths are never exposed.</w:t>
      </w:r>
    </w:p>
    <w:p>
      <w:pPr>
        <w:pStyle w:val="Heading1"/>
        <w:keepNext/>
        <w:spacing w:before="180" w:after="80"/>
      </w:pPr>
      <w:r>
        <w:t>8. Data and audit requirements</w:t>
      </w:r>
    </w:p>
    <w:p>
      <w:pPr>
        <w:pStyle w:val="ListBullet"/>
        <w:spacing w:after="40"/>
      </w:pPr>
      <w:r>
        <w:t>Each service owns its DbContext, migrations, schema, repositories and local transactions.</w:t>
      </w:r>
    </w:p>
    <w:p>
      <w:pPr>
        <w:pStyle w:val="ListBullet"/>
        <w:spacing w:after="40"/>
      </w:pPr>
      <w:r>
        <w:t>No cross-database foreign keys, views, joins or direct SQL/repository access.</w:t>
      </w:r>
    </w:p>
    <w:p>
      <w:pPr>
        <w:pStyle w:val="ListBullet"/>
        <w:spacing w:after="40"/>
      </w:pPr>
      <w:r>
        <w:t>Public/business references use readable formats such as QTE, APP, POL, FNL, CLM, PAY and POT references where defined by the database baseline.</w:t>
      </w:r>
    </w:p>
    <w:p>
      <w:pPr>
        <w:pStyle w:val="ListBullet"/>
        <w:spacing w:after="40"/>
      </w:pPr>
      <w:r>
        <w:t>UTC is used for system timestamps; money uses decimal business precision.</w:t>
      </w:r>
    </w:p>
    <w:p>
      <w:pPr>
        <w:pStyle w:val="ListBullet"/>
        <w:spacing w:after="40"/>
      </w:pPr>
      <w:r>
        <w:t>Quotes, underwriting applications, policies, payments, FNOL and claims are retained by lifecycle state rather than physically deleted.</w:t>
      </w:r>
    </w:p>
    <w:p>
      <w:pPr>
        <w:pStyle w:val="Heading1"/>
        <w:keepNext/>
        <w:spacing w:before="180" w:after="80"/>
      </w:pPr>
      <w:r>
        <w:t>9. UI requirements alignment</w:t>
      </w:r>
    </w:p>
    <w:p>
      <w:pPr>
        <w:spacing w:after="100" w:line="259" w:lineRule="auto"/>
      </w:pPr>
      <w:r>
        <w:t>The supplied UI baseline covers 118 named screens and 32 transition/result states across shared/public, Customer, Agent, Underwriter, Claims Adjuster and Admin areas. The current Angular code snapshot represents a subset of that inventory; the SRS treats the complete UI specification as the target screen coverage and the code dump as the current implementation baseline.</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040"/>
        <w:gridCol w:w="5040"/>
      </w:tblGrid>
      <w:tr>
        <w:trPr>
          <w:tblHeader w:val="true"/>
        </w:trPr>
        <w:tc>
          <w:tcPr>
            <w:tcW w:type="dxa" w:w="5040"/>
            <w:vAlign w:val="center"/>
            <w:shd w:fill="1F2937"/>
          </w:tcPr>
          <w:p>
            <w:r/>
            <w:r>
              <w:rPr>
                <w:b/>
                <w:color w:val="FFFFFF"/>
                <w:sz w:val="17"/>
              </w:rPr>
              <w:t>Frontend architecture expectation</w:t>
            </w:r>
          </w:p>
        </w:tc>
        <w:tc>
          <w:tcPr>
            <w:tcW w:type="dxa" w:w="5040"/>
            <w:vAlign w:val="center"/>
            <w:shd w:fill="1F2937"/>
          </w:tcPr>
          <w:p>
            <w:r/>
            <w:r>
              <w:rPr>
                <w:b/>
                <w:color w:val="FFFFFF"/>
                <w:sz w:val="17"/>
              </w:rPr>
              <w:t>Requirement</w:t>
            </w:r>
          </w:p>
        </w:tc>
      </w:tr>
      <w:tr>
        <w:trPr>
          <w:cantSplit/>
        </w:trPr>
        <w:tc>
          <w:tcPr>
            <w:tcW w:type="dxa" w:w="5040"/>
            <w:vAlign w:val="center"/>
            <w:shd w:fill="F8FAFC"/>
          </w:tcPr>
          <w:p>
            <w:r/>
            <w:r>
              <w:rPr>
                <w:b w:val="0"/>
                <w:color w:val="1F2937"/>
                <w:sz w:val="17"/>
              </w:rPr>
              <w:t>State</w:t>
            </w:r>
          </w:p>
        </w:tc>
        <w:tc>
          <w:tcPr>
            <w:tcW w:type="dxa" w:w="5040"/>
            <w:vAlign w:val="center"/>
            <w:shd w:fill="F8FAFC"/>
          </w:tcPr>
          <w:p>
            <w:r/>
            <w:r>
              <w:rPr>
                <w:b w:val="0"/>
                <w:color w:val="1F2937"/>
                <w:sz w:val="17"/>
              </w:rPr>
              <w:t>Angular Signals/local state; no NgRx/global-state requirement in the baseline.</w:t>
            </w:r>
          </w:p>
        </w:tc>
      </w:tr>
      <w:tr>
        <w:trPr>
          <w:cantSplit/>
        </w:trPr>
        <w:tc>
          <w:tcPr>
            <w:tcW w:type="dxa" w:w="5040"/>
            <w:vAlign w:val="center"/>
          </w:tcPr>
          <w:p>
            <w:r/>
            <w:r>
              <w:rPr>
                <w:b w:val="0"/>
                <w:color w:val="1F2937"/>
                <w:sz w:val="17"/>
              </w:rPr>
              <w:t>Forms</w:t>
            </w:r>
          </w:p>
        </w:tc>
        <w:tc>
          <w:tcPr>
            <w:tcW w:type="dxa" w:w="5040"/>
            <w:vAlign w:val="center"/>
          </w:tcPr>
          <w:p>
            <w:r/>
            <w:r>
              <w:rPr>
                <w:b w:val="0"/>
                <w:color w:val="1F2937"/>
                <w:sz w:val="17"/>
              </w:rPr>
              <w:t>Reactive Forms for insurance/profile/quote/underwriting/payment/claim/admin configuration.</w:t>
            </w:r>
          </w:p>
        </w:tc>
      </w:tr>
      <w:tr>
        <w:trPr>
          <w:cantSplit/>
        </w:trPr>
        <w:tc>
          <w:tcPr>
            <w:tcW w:type="dxa" w:w="5040"/>
            <w:vAlign w:val="center"/>
            <w:shd w:fill="F8FAFC"/>
          </w:tcPr>
          <w:p>
            <w:r/>
            <w:r>
              <w:rPr>
                <w:b w:val="0"/>
                <w:color w:val="1F2937"/>
                <w:sz w:val="17"/>
              </w:rPr>
              <w:t>Guards</w:t>
            </w:r>
          </w:p>
        </w:tc>
        <w:tc>
          <w:tcPr>
            <w:tcW w:type="dxa" w:w="5040"/>
            <w:vAlign w:val="center"/>
            <w:shd w:fill="F8FAFC"/>
          </w:tcPr>
          <w:p>
            <w:r/>
            <w:r>
              <w:rPr>
                <w:b w:val="0"/>
                <w:color w:val="1F2937"/>
                <w:sz w:val="17"/>
              </w:rPr>
              <w:t>Auth and role guards guide navigation only; backend remains authoritative.</w:t>
            </w:r>
          </w:p>
        </w:tc>
      </w:tr>
      <w:tr>
        <w:trPr>
          <w:cantSplit/>
        </w:trPr>
        <w:tc>
          <w:tcPr>
            <w:tcW w:type="dxa" w:w="5040"/>
            <w:vAlign w:val="center"/>
          </w:tcPr>
          <w:p>
            <w:r/>
            <w:r>
              <w:rPr>
                <w:b w:val="0"/>
                <w:color w:val="1F2937"/>
                <w:sz w:val="17"/>
              </w:rPr>
              <w:t>API layer</w:t>
            </w:r>
          </w:p>
        </w:tc>
        <w:tc>
          <w:tcPr>
            <w:tcW w:type="dxa" w:w="5040"/>
            <w:vAlign w:val="center"/>
          </w:tcPr>
          <w:p>
            <w:r/>
            <w:r>
              <w:rPr>
                <w:b w:val="0"/>
                <w:color w:val="1F2937"/>
                <w:sz w:val="17"/>
              </w:rPr>
              <w:t>Feature service classes map backend contracts to frontend models.</w:t>
            </w:r>
          </w:p>
        </w:tc>
      </w:tr>
      <w:tr>
        <w:trPr>
          <w:cantSplit/>
        </w:trPr>
        <w:tc>
          <w:tcPr>
            <w:tcW w:type="dxa" w:w="5040"/>
            <w:vAlign w:val="center"/>
            <w:shd w:fill="F8FAFC"/>
          </w:tcPr>
          <w:p>
            <w:r/>
            <w:r>
              <w:rPr>
                <w:b w:val="0"/>
                <w:color w:val="1F2937"/>
                <w:sz w:val="17"/>
              </w:rPr>
              <w:t>Transition states</w:t>
            </w:r>
          </w:p>
        </w:tc>
        <w:tc>
          <w:tcPr>
            <w:tcW w:type="dxa" w:w="5040"/>
            <w:vAlign w:val="center"/>
            <w:shd w:fill="F8FAFC"/>
          </w:tcPr>
          <w:p>
            <w:r/>
            <w:r>
              <w:rPr>
                <w:b w:val="0"/>
                <w:color w:val="1F2937"/>
                <w:sz w:val="17"/>
              </w:rPr>
              <w:t>High-impact operations use confirmation/review; processing state prevents duplicates; terminal state shows outcome/reason/date.</w:t>
            </w:r>
          </w:p>
        </w:tc>
      </w:tr>
    </w:tbl>
    <w:p>
      <w:pPr>
        <w:spacing w:after="40"/>
      </w:pPr>
    </w:p>
    <w:p>
      <w:pPr>
        <w:pStyle w:val="Heading1"/>
        <w:keepNext/>
        <w:spacing w:before="180" w:after="80"/>
      </w:pPr>
      <w:r>
        <w:t>10. Error and state requirements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360"/>
        <w:gridCol w:w="3360"/>
        <w:gridCol w:w="3360"/>
      </w:tblGrid>
      <w:tr>
        <w:trPr>
          <w:tblHeader w:val="true"/>
        </w:trPr>
        <w:tc>
          <w:tcPr>
            <w:tcW w:type="dxa" w:w="3360"/>
            <w:vAlign w:val="center"/>
            <w:shd w:fill="1F2937"/>
          </w:tcPr>
          <w:p>
            <w:r/>
            <w:r>
              <w:rPr>
                <w:b/>
                <w:color w:val="FFFFFF"/>
                <w:sz w:val="17"/>
              </w:rPr>
              <w:t>HTTP</w:t>
            </w:r>
          </w:p>
        </w:tc>
        <w:tc>
          <w:tcPr>
            <w:tcW w:type="dxa" w:w="3360"/>
            <w:vAlign w:val="center"/>
            <w:shd w:fill="1F2937"/>
          </w:tcPr>
          <w:p>
            <w:r/>
            <w:r>
              <w:rPr>
                <w:b/>
                <w:color w:val="FFFFFF"/>
                <w:sz w:val="17"/>
              </w:rPr>
              <w:t>Meaning</w:t>
            </w:r>
          </w:p>
        </w:tc>
        <w:tc>
          <w:tcPr>
            <w:tcW w:type="dxa" w:w="3360"/>
            <w:vAlign w:val="center"/>
            <w:shd w:fill="1F2937"/>
          </w:tcPr>
          <w:p>
            <w:r/>
            <w:r>
              <w:rPr>
                <w:b/>
                <w:color w:val="FFFFFF"/>
                <w:sz w:val="17"/>
              </w:rPr>
              <w:t>Frontend behavior</w:t>
            </w:r>
          </w:p>
        </w:tc>
      </w:tr>
      <w:tr>
        <w:trPr>
          <w:cantSplit/>
        </w:trPr>
        <w:tc>
          <w:tcPr>
            <w:tcW w:type="dxa" w:w="3360"/>
            <w:vAlign w:val="center"/>
            <w:shd w:fill="F8FAFC"/>
          </w:tcPr>
          <w:p>
            <w:r/>
            <w:r>
              <w:rPr>
                <w:b w:val="0"/>
                <w:color w:val="1F2937"/>
                <w:sz w:val="17"/>
              </w:rPr>
              <w:t>400</w:t>
            </w:r>
          </w:p>
        </w:tc>
        <w:tc>
          <w:tcPr>
            <w:tcW w:type="dxa" w:w="3360"/>
            <w:vAlign w:val="center"/>
            <w:shd w:fill="F8FAFC"/>
          </w:tcPr>
          <w:p>
            <w:r/>
            <w:r>
              <w:rPr>
                <w:b w:val="0"/>
                <w:color w:val="1F2937"/>
                <w:sz w:val="17"/>
              </w:rPr>
              <w:t>Validation/business input error</w:t>
            </w:r>
          </w:p>
        </w:tc>
        <w:tc>
          <w:tcPr>
            <w:tcW w:type="dxa" w:w="3360"/>
            <w:vAlign w:val="center"/>
            <w:shd w:fill="F8FAFC"/>
          </w:tcPr>
          <w:p>
            <w:r/>
            <w:r>
              <w:rPr>
                <w:b w:val="0"/>
                <w:color w:val="1F2937"/>
                <w:sz w:val="17"/>
              </w:rPr>
              <w:t>Preserve safe form input; show field/general error</w:t>
            </w:r>
          </w:p>
        </w:tc>
      </w:tr>
      <w:tr>
        <w:trPr>
          <w:cantSplit/>
        </w:trPr>
        <w:tc>
          <w:tcPr>
            <w:tcW w:type="dxa" w:w="3360"/>
            <w:vAlign w:val="center"/>
          </w:tcPr>
          <w:p>
            <w:r/>
            <w:r>
              <w:rPr>
                <w:b w:val="0"/>
                <w:color w:val="1F2937"/>
                <w:sz w:val="17"/>
              </w:rPr>
              <w:t>401</w:t>
            </w:r>
          </w:p>
        </w:tc>
        <w:tc>
          <w:tcPr>
            <w:tcW w:type="dxa" w:w="3360"/>
            <w:vAlign w:val="center"/>
          </w:tcPr>
          <w:p>
            <w:r/>
            <w:r>
              <w:rPr>
                <w:b w:val="0"/>
                <w:color w:val="1F2937"/>
                <w:sz w:val="17"/>
              </w:rPr>
              <w:t>Unauthenticated/invalid session</w:t>
            </w:r>
          </w:p>
        </w:tc>
        <w:tc>
          <w:tcPr>
            <w:tcW w:type="dxa" w:w="3360"/>
            <w:vAlign w:val="center"/>
          </w:tcPr>
          <w:p>
            <w:r/>
            <w:r>
              <w:rPr>
                <w:b w:val="0"/>
                <w:color w:val="1F2937"/>
                <w:sz w:val="17"/>
              </w:rPr>
              <w:t>Attempt controlled refresh; otherwise route to sign-in</w:t>
            </w:r>
          </w:p>
        </w:tc>
      </w:tr>
      <w:tr>
        <w:trPr>
          <w:cantSplit/>
        </w:trPr>
        <w:tc>
          <w:tcPr>
            <w:tcW w:type="dxa" w:w="3360"/>
            <w:vAlign w:val="center"/>
            <w:shd w:fill="F8FAFC"/>
          </w:tcPr>
          <w:p>
            <w:r/>
            <w:r>
              <w:rPr>
                <w:b w:val="0"/>
                <w:color w:val="1F2937"/>
                <w:sz w:val="17"/>
              </w:rPr>
              <w:t>403</w:t>
            </w:r>
          </w:p>
        </w:tc>
        <w:tc>
          <w:tcPr>
            <w:tcW w:type="dxa" w:w="3360"/>
            <w:vAlign w:val="center"/>
            <w:shd w:fill="F8FAFC"/>
          </w:tcPr>
          <w:p>
            <w:r/>
            <w:r>
              <w:rPr>
                <w:b w:val="0"/>
                <w:color w:val="1F2937"/>
                <w:sz w:val="17"/>
              </w:rPr>
              <w:t>Authenticated but unauthorized</w:t>
            </w:r>
          </w:p>
        </w:tc>
        <w:tc>
          <w:tcPr>
            <w:tcW w:type="dxa" w:w="3360"/>
            <w:vAlign w:val="center"/>
            <w:shd w:fill="F8FAFC"/>
          </w:tcPr>
          <w:p>
            <w:r/>
            <w:r>
              <w:rPr>
                <w:b w:val="0"/>
                <w:color w:val="1F2937"/>
                <w:sz w:val="17"/>
              </w:rPr>
              <w:t>Show permission-denied treatment; do not expose hidden internals</w:t>
            </w:r>
          </w:p>
        </w:tc>
      </w:tr>
      <w:tr>
        <w:trPr>
          <w:cantSplit/>
        </w:trPr>
        <w:tc>
          <w:tcPr>
            <w:tcW w:type="dxa" w:w="3360"/>
            <w:vAlign w:val="center"/>
          </w:tcPr>
          <w:p>
            <w:r/>
            <w:r>
              <w:rPr>
                <w:b w:val="0"/>
                <w:color w:val="1F2937"/>
                <w:sz w:val="17"/>
              </w:rPr>
              <w:t>404</w:t>
            </w:r>
          </w:p>
        </w:tc>
        <w:tc>
          <w:tcPr>
            <w:tcW w:type="dxa" w:w="3360"/>
            <w:vAlign w:val="center"/>
          </w:tcPr>
          <w:p>
            <w:r/>
            <w:r>
              <w:rPr>
                <w:b w:val="0"/>
                <w:color w:val="1F2937"/>
                <w:sz w:val="17"/>
              </w:rPr>
              <w:t>Record not found</w:t>
            </w:r>
          </w:p>
        </w:tc>
        <w:tc>
          <w:tcPr>
            <w:tcW w:type="dxa" w:w="3360"/>
            <w:vAlign w:val="center"/>
          </w:tcPr>
          <w:p>
            <w:r/>
            <w:r>
              <w:rPr>
                <w:b w:val="0"/>
                <w:color w:val="1F2937"/>
                <w:sz w:val="17"/>
              </w:rPr>
              <w:t>Show context-safe not-found state</w:t>
            </w:r>
          </w:p>
        </w:tc>
      </w:tr>
      <w:tr>
        <w:trPr>
          <w:cantSplit/>
        </w:trPr>
        <w:tc>
          <w:tcPr>
            <w:tcW w:type="dxa" w:w="3360"/>
            <w:vAlign w:val="center"/>
            <w:shd w:fill="F8FAFC"/>
          </w:tcPr>
          <w:p>
            <w:r/>
            <w:r>
              <w:rPr>
                <w:b w:val="0"/>
                <w:color w:val="1F2937"/>
                <w:sz w:val="17"/>
              </w:rPr>
              <w:t>409</w:t>
            </w:r>
          </w:p>
        </w:tc>
        <w:tc>
          <w:tcPr>
            <w:tcW w:type="dxa" w:w="3360"/>
            <w:vAlign w:val="center"/>
            <w:shd w:fill="F8FAFC"/>
          </w:tcPr>
          <w:p>
            <w:r/>
            <w:r>
              <w:rPr>
                <w:b w:val="0"/>
                <w:color w:val="1F2937"/>
                <w:sz w:val="17"/>
              </w:rPr>
              <w:t>Conflict/concurrency/business state</w:t>
            </w:r>
          </w:p>
        </w:tc>
        <w:tc>
          <w:tcPr>
            <w:tcW w:type="dxa" w:w="3360"/>
            <w:vAlign w:val="center"/>
            <w:shd w:fill="F8FAFC"/>
          </w:tcPr>
          <w:p>
            <w:r/>
            <w:r>
              <w:rPr>
                <w:b w:val="0"/>
                <w:color w:val="1F2937"/>
                <w:sz w:val="17"/>
              </w:rPr>
              <w:t>Show authoritative conflict and allow safe refresh/retry where appropriate</w:t>
            </w:r>
          </w:p>
        </w:tc>
      </w:tr>
      <w:tr>
        <w:trPr>
          <w:cantSplit/>
        </w:trPr>
        <w:tc>
          <w:tcPr>
            <w:tcW w:type="dxa" w:w="3360"/>
            <w:vAlign w:val="center"/>
          </w:tcPr>
          <w:p>
            <w:r/>
            <w:r>
              <w:rPr>
                <w:b w:val="0"/>
                <w:color w:val="1F2937"/>
                <w:sz w:val="17"/>
              </w:rPr>
              <w:t>500</w:t>
            </w:r>
          </w:p>
        </w:tc>
        <w:tc>
          <w:tcPr>
            <w:tcW w:type="dxa" w:w="3360"/>
            <w:vAlign w:val="center"/>
          </w:tcPr>
          <w:p>
            <w:r/>
            <w:r>
              <w:rPr>
                <w:b w:val="0"/>
                <w:color w:val="1F2937"/>
                <w:sz w:val="17"/>
              </w:rPr>
              <w:t>Unexpected server error</w:t>
            </w:r>
          </w:p>
        </w:tc>
        <w:tc>
          <w:tcPr>
            <w:tcW w:type="dxa" w:w="3360"/>
            <w:vAlign w:val="center"/>
          </w:tcPr>
          <w:p>
            <w:r/>
            <w:r>
              <w:rPr>
                <w:b w:val="0"/>
                <w:color w:val="1F2937"/>
                <w:sz w:val="17"/>
              </w:rPr>
              <w:t>Show safe generic message; no stack trace</w:t>
            </w:r>
          </w:p>
        </w:tc>
      </w:tr>
      <w:tr>
        <w:trPr>
          <w:cantSplit/>
        </w:trPr>
        <w:tc>
          <w:tcPr>
            <w:tcW w:type="dxa" w:w="3360"/>
            <w:vAlign w:val="center"/>
            <w:shd w:fill="F8FAFC"/>
          </w:tcPr>
          <w:p>
            <w:r/>
            <w:r>
              <w:rPr>
                <w:b w:val="0"/>
                <w:color w:val="1F2937"/>
                <w:sz w:val="17"/>
              </w:rPr>
              <w:t>503</w:t>
            </w:r>
          </w:p>
        </w:tc>
        <w:tc>
          <w:tcPr>
            <w:tcW w:type="dxa" w:w="3360"/>
            <w:vAlign w:val="center"/>
            <w:shd w:fill="F8FAFC"/>
          </w:tcPr>
          <w:p>
            <w:r/>
            <w:r>
              <w:rPr>
                <w:b w:val="0"/>
                <w:color w:val="1F2937"/>
                <w:sz w:val="17"/>
              </w:rPr>
              <w:t>Mandatory dependency unavailable</w:t>
            </w:r>
          </w:p>
        </w:tc>
        <w:tc>
          <w:tcPr>
            <w:tcW w:type="dxa" w:w="3360"/>
            <w:vAlign w:val="center"/>
            <w:shd w:fill="F8FAFC"/>
          </w:tcPr>
          <w:p>
            <w:r/>
            <w:r>
              <w:rPr>
                <w:b w:val="0"/>
                <w:color w:val="1F2937"/>
                <w:sz w:val="17"/>
              </w:rPr>
              <w:t>Explain temporary unavailability and allow retry where safe</w:t>
            </w:r>
          </w:p>
        </w:tc>
      </w:tr>
    </w:tbl>
    <w:p>
      <w:pPr>
        <w:spacing w:after="40"/>
      </w:pPr>
    </w:p>
    <w:p>
      <w:pPr>
        <w:pStyle w:val="Heading1"/>
        <w:keepNext/>
        <w:spacing w:before="180" w:after="80"/>
      </w:pPr>
      <w:r>
        <w:t>11. Acceptance and traceability</w:t>
      </w:r>
    </w:p>
    <w:p>
      <w:pPr>
        <w:pStyle w:val="ListBullet"/>
        <w:spacing w:after="40"/>
      </w:pPr>
      <w:r>
        <w:t>Every major functional requirement maps to at least one backend use case/API and one relevant frontend screen/state.</w:t>
      </w:r>
    </w:p>
    <w:p>
      <w:pPr>
        <w:pStyle w:val="ListBullet"/>
        <w:spacing w:after="40"/>
      </w:pPr>
      <w:r>
        <w:t>Every protected screen is covered by authentication/role routing and backend authorization.</w:t>
      </w:r>
    </w:p>
    <w:p>
      <w:pPr>
        <w:pStyle w:val="ListBullet"/>
        <w:spacing w:after="40"/>
      </w:pPr>
      <w:r>
        <w:t>Every high-impact state change is represented by an explicit API action endpoint.</w:t>
      </w:r>
    </w:p>
    <w:p>
      <w:pPr>
        <w:pStyle w:val="ListBullet"/>
        <w:spacing w:after="40"/>
      </w:pPr>
      <w:r>
        <w:t>Every historical boundary has an immutable persistence mechanism and test.</w:t>
      </w:r>
    </w:p>
    <w:p>
      <w:pPr>
        <w:pStyle w:val="Heading1"/>
        <w:keepNext/>
        <w:spacing w:before="180" w:after="80"/>
      </w:pPr>
      <w:r>
        <w:t>Source references</w:t>
      </w:r>
    </w:p>
    <w:p>
      <w:pPr>
        <w:pStyle w:val="ListBullet"/>
        <w:spacing w:after="40"/>
      </w:pPr>
      <w:r>
        <w:t>01_Business_Requirements_Document_Final.docx (v2.0, 29 Sep 2026)</w:t>
      </w:r>
    </w:p>
    <w:p>
      <w:pPr>
        <w:pStyle w:val="ListBullet"/>
        <w:spacing w:after="40"/>
      </w:pPr>
      <w:r>
        <w:t>02_Technical_Requirements_Document_Final.docx (v2.0, 29 Sep 2026)</w:t>
      </w:r>
    </w:p>
    <w:p>
      <w:pPr>
        <w:pStyle w:val="ListBullet"/>
        <w:spacing w:after="40"/>
      </w:pPr>
      <w:r>
        <w:t>02_Master_Specification(1).docx (implementation baseline, 29 Sep 2026)</w:t>
      </w:r>
    </w:p>
    <w:p>
      <w:pPr>
        <w:pStyle w:val="ListBullet"/>
        <w:spacing w:after="40"/>
      </w:pPr>
      <w:r>
        <w:t>03_Final_Database_Reference.docx (final database baseline, 30 Sep 2026)</w:t>
      </w:r>
    </w:p>
    <w:p>
      <w:pPr>
        <w:pStyle w:val="ListBullet"/>
        <w:spacing w:after="40"/>
      </w:pPr>
      <w:r>
        <w:t>09_API_Contract_Final.docx (API contract, 29 Sep 2026)</w:t>
      </w:r>
    </w:p>
    <w:p>
      <w:pPr>
        <w:pStyle w:val="ListBullet"/>
        <w:spacing w:after="40"/>
      </w:pPr>
      <w:r>
        <w:t>API_Endpoints_Reference_Final.docx (final endpoint catalogue, 30 Sep 2026)</w:t>
      </w:r>
    </w:p>
    <w:p>
      <w:pPr>
        <w:pStyle w:val="ListBullet"/>
        <w:spacing w:after="40"/>
      </w:pPr>
      <w:r>
        <w:t>AutoInsurance_Complete_UI_Requirements_Specification.docx (complete UI baseline, 29 Sep 2026)</w:t>
      </w:r>
    </w:p>
    <w:p>
      <w:pPr>
        <w:pStyle w:val="ListBullet"/>
        <w:spacing w:after="40"/>
      </w:pPr>
      <w:r>
        <w:t>Current Angular frontend code dumps supplied in this conversation (8 Oct 2026 snapshot)</w:t>
      </w:r>
    </w:p>
    <w:p>
      <w:pPr>
        <w:pStyle w:val="ListBullet"/>
        <w:spacing w:after="40"/>
      </w:pPr>
      <w:r>
        <w:t>Six service-context documents and the supplied backend code dumps.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Implementation documentation baseline • 08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MileGuard Auto Insurance Capstone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563E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563E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02_SRS</dc:title>
  <dc:subject>MileGuard Auto Insurance project documentation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