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63EB"/>
          <w:sz w:val="22"/>
        </w:rPr>
        <w:t>MILEGUARD AUTO INSURANCE</w:t>
      </w:r>
    </w:p>
    <w:p>
      <w:pPr>
        <w:jc w:val="center"/>
      </w:pPr>
      <w:r>
        <w:rPr>
          <w:b/>
          <w:color w:val="1F2937"/>
          <w:sz w:val="56"/>
        </w:rPr>
        <w:t>API Design</w:t>
      </w:r>
    </w:p>
    <w:p>
      <w:pPr>
        <w:jc w:val="center"/>
      </w:pPr>
      <w:r>
        <w:rPr>
          <w:color w:val="4B5563"/>
          <w:sz w:val="22"/>
        </w:rPr>
        <w:t>Gateway-facing REST contract and inter-service API rules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DBFE"/>
          <w:left w:val="single" w:sz="4" w:space="0" w:color="BFDBFE"/>
          <w:bottom w:val="single" w:sz="4" w:space="0" w:color="BFDBFE"/>
          <w:right w:val="single" w:sz="4" w:space="0" w:color="BFDBFE"/>
          <w:insideH w:val="single" w:sz="4" w:space="0" w:color="BFDBFE"/>
          <w:insideV w:val="single" w:sz="4" w:space="0" w:color="BFDBFE"/>
        </w:tblBorders>
      </w:tblPr>
      <w:tblGrid>
        <w:gridCol w:w="10080"/>
      </w:tblGrid>
      <w:tr>
        <w:trPr>
          <w:tblHeader w:val="true"/>
        </w:trPr>
        <w:tc>
          <w:tcPr>
            <w:tcW w:type="dxa" w:w="10080"/>
            <w:shd w:fill="EEF4FF"/>
          </w:tcPr>
          <w:p>
            <w:r/>
            <w:r>
              <w:rPr>
                <w:b/>
                <w:color w:val="2563EB"/>
              </w:rPr>
              <w:t xml:space="preserve">Documentation basis: </w:t>
            </w:r>
            <w:r>
              <w:rPr>
                <w:sz w:val="18"/>
              </w:rPr>
              <w:t>This document consolidates the agreed business/technical baseline and the supplied Angular/backend implementation snapshot. Where source material is explicit, it is authoritative. Where a current code snapshot differs from the final planning contract, this document identifies the distinction rather than silently reconciling it.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180" w:after="80"/>
      </w:pPr>
      <w:r>
        <w:t>Contents</w:t>
      </w:r>
    </w:p>
    <w:p>
      <w:pPr>
        <w:spacing w:after="20"/>
      </w:pPr>
      <w:r>
        <w:rPr>
          <w:b/>
        </w:rPr>
        <w:t xml:space="preserve">01  </w:t>
      </w:r>
      <w:r>
        <w:t>API principles</w:t>
      </w:r>
    </w:p>
    <w:p>
      <w:pPr>
        <w:spacing w:after="20"/>
      </w:pPr>
      <w:r>
        <w:rPr>
          <w:b/>
        </w:rPr>
        <w:t xml:space="preserve">02  </w:t>
      </w:r>
      <w:r>
        <w:t>Gateway/base paths</w:t>
      </w:r>
    </w:p>
    <w:p>
      <w:pPr>
        <w:spacing w:after="20"/>
      </w:pPr>
      <w:r>
        <w:rPr>
          <w:b/>
        </w:rPr>
        <w:t xml:space="preserve">03  </w:t>
      </w:r>
      <w:r>
        <w:t>Common request/response rules</w:t>
      </w:r>
    </w:p>
    <w:p>
      <w:pPr>
        <w:spacing w:after="20"/>
      </w:pPr>
      <w:r>
        <w:rPr>
          <w:b/>
        </w:rPr>
        <w:t xml:space="preserve">04  </w:t>
      </w:r>
      <w:r>
        <w:t>IdentityService API</w:t>
      </w:r>
    </w:p>
    <w:p>
      <w:pPr>
        <w:spacing w:after="20"/>
      </w:pPr>
      <w:r>
        <w:rPr>
          <w:b/>
        </w:rPr>
        <w:t xml:space="preserve">05  </w:t>
      </w:r>
      <w:r>
        <w:t>CustomerVehicleService API</w:t>
      </w:r>
    </w:p>
    <w:p>
      <w:pPr>
        <w:spacing w:after="20"/>
      </w:pPr>
      <w:r>
        <w:rPr>
          <w:b/>
        </w:rPr>
        <w:t xml:space="preserve">06  </w:t>
      </w:r>
      <w:r>
        <w:t>QuoteRatingService API</w:t>
      </w:r>
    </w:p>
    <w:p>
      <w:pPr>
        <w:spacing w:after="20"/>
      </w:pPr>
      <w:r>
        <w:rPr>
          <w:b/>
        </w:rPr>
        <w:t xml:space="preserve">07  </w:t>
      </w:r>
      <w:r>
        <w:t>UnderwritingService API</w:t>
      </w:r>
    </w:p>
    <w:p>
      <w:pPr>
        <w:spacing w:after="20"/>
      </w:pPr>
      <w:r>
        <w:rPr>
          <w:b/>
        </w:rPr>
        <w:t xml:space="preserve">08  </w:t>
      </w:r>
      <w:r>
        <w:t>PolicyBillingService API</w:t>
      </w:r>
    </w:p>
    <w:p>
      <w:pPr>
        <w:spacing w:after="20"/>
      </w:pPr>
      <w:r>
        <w:rPr>
          <w:b/>
        </w:rPr>
        <w:t xml:space="preserve">09  </w:t>
      </w:r>
      <w:r>
        <w:t>ClaimsService API</w:t>
      </w:r>
    </w:p>
    <w:p>
      <w:pPr>
        <w:spacing w:after="20"/>
      </w:pPr>
      <w:r>
        <w:rPr>
          <w:b/>
        </w:rPr>
        <w:t xml:space="preserve">10  </w:t>
      </w:r>
      <w:r>
        <w:t>Internal contracts</w:t>
      </w:r>
    </w:p>
    <w:p>
      <w:pPr>
        <w:spacing w:after="20"/>
      </w:pPr>
      <w:r>
        <w:rPr>
          <w:b/>
        </w:rPr>
        <w:t xml:space="preserve">11  </w:t>
      </w:r>
      <w:r>
        <w:t>Idempotency and concurrency</w:t>
      </w:r>
    </w:p>
    <w:p>
      <w:pPr>
        <w:spacing w:after="20"/>
      </w:pPr>
      <w:r>
        <w:rPr>
          <w:b/>
        </w:rPr>
        <w:t xml:space="preserve">12  </w:t>
      </w:r>
      <w:r>
        <w:t>Frontend integration alignment</w:t>
      </w:r>
    </w:p>
    <w:p>
      <w:pPr>
        <w:spacing w:after="20"/>
      </w:pPr>
      <w:r>
        <w:rPr>
          <w:b/>
        </w:rPr>
        <w:t xml:space="preserve">13  </w:t>
      </w:r>
      <w:r>
        <w:t>Source references</w:t>
      </w:r>
    </w:p>
    <w:p>
      <w:r>
        <w:br w:type="page"/>
      </w:r>
    </w:p>
    <w:p>
      <w:pPr>
        <w:pStyle w:val="Heading1"/>
        <w:keepNext/>
        <w:spacing w:before="180" w:after="80"/>
      </w:pPr>
      <w:r>
        <w:t>1. API principles</w:t>
      </w:r>
    </w:p>
    <w:p>
      <w:pPr>
        <w:pStyle w:val="ListBullet"/>
        <w:spacing w:after="40"/>
      </w:pPr>
      <w:r>
        <w:t>All browser traffic flows through Ocelot; business logic remains in owning services.</w:t>
      </w:r>
    </w:p>
    <w:p>
      <w:pPr>
        <w:pStyle w:val="ListBullet"/>
        <w:spacing w:after="40"/>
      </w:pPr>
      <w:r>
        <w:t>Controllers are thin; application/domain services own business behavior.</w:t>
      </w:r>
    </w:p>
    <w:p>
      <w:pPr>
        <w:pStyle w:val="ListBullet"/>
        <w:spacing w:after="40"/>
      </w:pPr>
      <w:r>
        <w:t>Clients do not mutate arbitrary Status values; business state transitions use action endpoints.</w:t>
      </w:r>
    </w:p>
    <w:p>
      <w:pPr>
        <w:pStyle w:val="ListBullet"/>
        <w:spacing w:after="40"/>
      </w:pPr>
      <w:r>
        <w:t>Cross-service references are identifiers validated through REST contracts.</w:t>
      </w:r>
    </w:p>
    <w:p>
      <w:pPr>
        <w:pStyle w:val="ListBullet"/>
        <w:spacing w:after="40"/>
      </w:pPr>
      <w:r>
        <w:t>Use X-Correlation-Id across gateway and service calls.</w:t>
      </w:r>
    </w:p>
    <w:p>
      <w:pPr>
        <w:pStyle w:val="Heading1"/>
        <w:keepNext/>
        <w:spacing w:before="180" w:after="80"/>
      </w:pPr>
      <w:r>
        <w:t>2. Gateway/base paths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Service</w:t>
            </w:r>
          </w:p>
        </w:tc>
        <w:tc>
          <w:tcPr>
            <w:tcW w:type="dxa" w:w="3360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Logical gateway base</w:t>
            </w:r>
          </w:p>
        </w:tc>
        <w:tc>
          <w:tcPr>
            <w:tcW w:type="dxa" w:w="3360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Primary responsibility</w:t>
            </w:r>
          </w:p>
        </w:tc>
      </w:tr>
      <w:tr>
        <w:trPr>
          <w:cantSplit/>
        </w:trPr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IdentityService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/api/auth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Authentication, refresh, logout, roles and 2FA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CustomerVehicleService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/api/customer-vehicle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Customer profile, Driver, Vehicle and Agent assignment</w:t>
            </w:r>
          </w:p>
        </w:tc>
      </w:tr>
      <w:tr>
        <w:trPr>
          <w:cantSplit/>
        </w:trPr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QuoteRatingService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/api/quotes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Products, rating, quotes and Admin configuration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UnderwritingService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/api/underwriting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Underwriting applications, assignment, checklist and decision</w:t>
            </w:r>
          </w:p>
        </w:tc>
      </w:tr>
      <w:tr>
        <w:trPr>
          <w:cantSplit/>
        </w:trPr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PolicyBillingService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/api/policies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Policy lifecycle, billing, renewal/cancellation and PDF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ClaimsService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/api/claims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FNOL, claims, evidence, settlement and payout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DBFE"/>
          <w:left w:val="single" w:sz="4" w:space="0" w:color="BFDBFE"/>
          <w:bottom w:val="single" w:sz="4" w:space="0" w:color="BFDBFE"/>
          <w:right w:val="single" w:sz="4" w:space="0" w:color="BFDBFE"/>
          <w:insideH w:val="single" w:sz="4" w:space="0" w:color="BFDBFE"/>
          <w:insideV w:val="single" w:sz="4" w:space="0" w:color="BFDBFE"/>
        </w:tblBorders>
      </w:tblPr>
      <w:tblGrid>
        <w:gridCol w:w="10080"/>
      </w:tblGrid>
      <w:tr>
        <w:trPr>
          <w:tblHeader w:val="true"/>
        </w:trPr>
        <w:tc>
          <w:tcPr>
            <w:tcW w:type="dxa" w:w="10080"/>
            <w:shd w:fill="EEF4FF"/>
          </w:tcPr>
          <w:p>
            <w:r/>
            <w:r>
              <w:rPr>
                <w:b/>
                <w:color w:val="2563EB"/>
              </w:rPr>
              <w:t xml:space="preserve">Route alignment note: </w:t>
            </w:r>
            <w:r>
              <w:rPr>
                <w:sz w:val="18"/>
              </w:rPr>
              <w:t>The current Angular code snapshot uses service mount prefixes such as environment.apiGatewayBaseUrl + "/underwriting/api". The logical endpoints below remain the contract semantics; the final Ocelot mapping must keep Angular callers, gateway routes and downstream controller routes synchronized.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80" w:after="80"/>
      </w:pPr>
      <w:r>
        <w:t>3. Common request/response rules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Concern</w:t>
            </w:r>
          </w:p>
        </w:tc>
        <w:tc>
          <w:tcPr>
            <w:tcW w:type="dxa" w:w="5040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Contract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Content type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application/json for normal REST; multipart/form-data for evidence/file upload.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Authentication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Bearer access JWT on protected endpoints; refresh uses the protected refresh cookie flow.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Success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200 for successful reads/actions with body; 201 for creation; 204 when no body is returned.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Errors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400/401/403/404/409/500/503 with a safe standardized envelope.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Money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JSON numbers backed by decimal business precision; avoid floating point calculations in backend.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Dates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ISO-8601; system timestamps UTC; date-only business fields use date semantics.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Pagination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Where applied by the final contract: default 20, maximum 100.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Security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Never return passwords, refresh tokens, 2FA secrets, physical paths or sensitive payment credentials.</w:t>
            </w:r>
          </w:p>
        </w:tc>
      </w:tr>
    </w:tbl>
    <w:p>
      <w:pPr>
        <w:spacing w:after="40"/>
      </w:pPr>
    </w:p>
    <w:p>
      <w:pPr>
        <w:spacing w:after="100" w:line="259" w:lineRule="auto"/>
      </w:pPr>
      <w:r>
        <w:t>Standard error envelope: { correlationId, status, code, message, validationErrors, timestamp }. Validation items use { field, message }.</w:t>
      </w:r>
    </w:p>
    <w:p>
      <w:pPr>
        <w:pStyle w:val="Heading1"/>
        <w:keepNext/>
        <w:spacing w:before="180" w:after="80"/>
      </w:pPr>
      <w:r>
        <w:t>4. IdentityService API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2520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2520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Access</w:t>
            </w:r>
          </w:p>
        </w:tc>
        <w:tc>
          <w:tcPr>
            <w:tcW w:type="dxa" w:w="2520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POST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/api/auth/register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Anonymous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Register Customer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POST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/api/auth/internal/register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Anonymous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Submit internal-access registration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POST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/api/auth/login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Anonymous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Authenticate and return session/2FA state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POST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/api/auth/2fa/enroll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Internal pre-auth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Begin internal 2FA enrollment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POST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/api/auth/2fa/verify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Internal pre-auth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Verify authenticator step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POST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/api/auth/refresh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Refresh cookie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Rotate refresh state and issue access JWT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POST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/api/auth/logout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Authenticated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Revoke refresh session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GET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/api/auth/me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Authenticated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Return current identity/role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GET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/api/admin/internal-registrations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Admin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List pending registrations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GET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/api/admin/internal-registrations/{id}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Admin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Review registration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POST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/api/admin/internal-registrations/{id}/approve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Admin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Assign operational role and activate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POST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/api/admin/internal-registrations/{id}/reject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Admin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Reject registration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GET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/api/admin/users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Admin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List internal users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GET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/api/admin/users/{id}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Admin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User detail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POST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/api/admin/users/{id}/deactivate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Admin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Deactivate when assignment guards allow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180" w:after="80"/>
      </w:pPr>
      <w:r>
        <w:t>5. CustomerVehicleService API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2520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2520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Access</w:t>
            </w:r>
          </w:p>
        </w:tc>
        <w:tc>
          <w:tcPr>
            <w:tcW w:type="dxa" w:w="2520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POST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/api/customers/me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Customer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Create own insurance profile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GET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/api/customers/me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Customer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Read own profile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PUT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/api/customers/me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Customer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Update permitted profile fields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GET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/api/admin/customers/unassigned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Admin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List complete profiles awaiting Agent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GET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/api/admin/customers/{id}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Admin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Assignment review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GET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/api/admin/agents/eligible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Admin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Eligible Agent list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POST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/api/admin/customers/{id}/agent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Admin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Permanent Agent assignment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GET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/api/agent/customers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Agent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List assigned Customers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GET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/api/agent/customers/{id}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Assigned Agent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Customer workspace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GET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/api/customers/me/driver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Customer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Read-only primary Driver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GET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/api/customers/{id}/driver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Assigned Agent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Read assigned Driver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PUT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/api/customers/{id}/driver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Assigned Agent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Create/update primary Driver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GET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/api/customers/me/vehicles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Customer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Read-only garage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GET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/api/customers/{id}/vehicles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Assigned Agent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List assigned Vehicles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POST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/api/customers/{id}/vehicles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Assigned Agent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Create Vehicle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GET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/api/vehicles/{id}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Customer/Agent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Authorized Vehicle detail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PUT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/api/vehicles/{id}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Assigned Agent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Update Vehicle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POST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/api/vehicles/{id}/image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Assigned Agent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Upload/replace image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GET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/api/vehicles/{id}/image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Customer/Agent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Authorized image retrieval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180" w:after="80"/>
      </w:pPr>
      <w:r>
        <w:t>6. QuoteRatingService API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2520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2520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Access</w:t>
            </w:r>
          </w:p>
        </w:tc>
        <w:tc>
          <w:tcPr>
            <w:tcW w:type="dxa" w:w="2520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POST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/api/customers/{customerId}/quotes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Assigned Agent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Create/resume active Draft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GET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/api/quotes/{quoteId}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Assigned Agent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Read Quote and effective status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GET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/api/customers/{customerId}/quotes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Assigned Agent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Read Quote history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POST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/api/quotes/{quoteId}/select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Assigned Agent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Select Basic/Standard/Premium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PUT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/api/quotes/{quoteId}/configuration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Assigned Agent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Save plan/coverage/deductible/add-on configuration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POST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/api/quotes/{quoteId}/recalculate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Assigned Agent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Refresh risk/history/pricing and calculate premium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POST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/api/quotes/{quoteId}/finalize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Assigned Agent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Freeze immutable Quote snapshot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POST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/api/quotes/{quoteId}/submit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Assigned Agent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Idempotently submit to Underwriting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GET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/api/admin/pricing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Admin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Read pricing configuration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PUT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/api/admin/pricing/base-premiums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Admin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Update fixed plan base premiums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PUT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/api/admin/pricing/rating-adjustments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Admin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Update rating-band surcharges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PUT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/api/admin/pricing/coverage-options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Admin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Update coverage option charges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PUT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/api/admin/pricing/add-ons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Admin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Update add-on annual prices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GET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/internal/quotes/{quoteId}/underwriting-context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Internal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Immutable finalized/submitted Quote context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180" w:after="80"/>
      </w:pPr>
      <w:r>
        <w:t>7. UnderwritingService API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2520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2520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Access</w:t>
            </w:r>
          </w:p>
        </w:tc>
        <w:tc>
          <w:tcPr>
            <w:tcW w:type="dxa" w:w="2520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POST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/internal/underwriting/applications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Internal QuoteRating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Idempotently create/return Application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GET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/api/admin/underwriting/unassigned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Admin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List unassigned applications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GET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/api/admin/underwriting/{id}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Admin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Assignment review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GET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/api/admin/underwriting/eligible-underwriters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Admin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Eligible Underwriters + workload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POST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/api/admin/underwriting/{id}/assign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Admin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Permanent Underwriter assignment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GET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/api/underwriting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Underwriter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List assigned applications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GET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/api/underwriting/{id}/review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Assigned Underwriter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Open/resume review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PUT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/api/underwriting/{id}/review/{section}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Assigned Underwriter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Save one review section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POST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/api/underwriting/{id}/approve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Assigned Underwriter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Approve completed application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POST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/api/underwriting/{id}/reject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Assigned Underwriter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Reject with reason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GET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/api/customer/underwriting/{id}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Customer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Read own business-facing status/outcome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POST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/api/customer/underwriting/{id}/decline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Customer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Irreversibly decline approved offer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GET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/api/agent/underwriting/{id}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Assigned Agent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Read permitted state/outcome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GET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/internal/underwriting/{id}/attempt-state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Internal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Return effective status/BlocksNewQuote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GET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/internal/underwriting/{id}/approval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Internal PolicyBilling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Validate current usable approved offer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180" w:after="80"/>
      </w:pPr>
      <w:r>
        <w:t>8. PolicyBillingService API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2520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2520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Access</w:t>
            </w:r>
          </w:p>
        </w:tc>
        <w:tc>
          <w:tcPr>
            <w:tcW w:type="dxa" w:w="2520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POST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/api/purchases/{underwritingApplicationId}/configure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Customer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Validate offer and return schedule preview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POST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/api/purchases/{underwritingApplicationId}/accept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Customer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Accept purchase configuration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POST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/api/purchases/{purchaseId}/payments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Customer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First simulated payment / policy issuance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POST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/api/installments/{installmentId}/payments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Customer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Pay earliest due/overdue installment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POST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/api/payments/{paymentId}/retry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Customer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Retry failed payment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GET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/api/policies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Customer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List own policies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GET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/api/policies/{policyId}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Customer/Agent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Authorized policy detail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GET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/api/policies/{policyId}/document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Customer/Agent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Retrieve immutable PDF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GET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/api/policies/{policyId}/payments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Customer/Agent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Billing view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POST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/api/policies/{policyId}/cancel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Customer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Request permitted cancellation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POST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/api/policies/{policyId}/renew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Customer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Create eligible renewal request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GET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/api/renewals/{renewalId}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Customer/Agent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Renewal progress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POST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/api/renewals/{renewalId}/start-quote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Assigned Agent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Start normal renewal quote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GET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/internal/policy-term-coverage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Internal Claims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Resolve historical policy/coverage for Date of Loss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180" w:after="80"/>
      </w:pPr>
      <w:r>
        <w:t>9. ClaimsService API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2520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2520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Access</w:t>
            </w:r>
          </w:p>
        </w:tc>
        <w:tc>
          <w:tcPr>
            <w:tcW w:type="dxa" w:w="2520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POST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/api/fnols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Assigned Agent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Create FNOL draft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PUT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/api/fnols/{fnolId}/complete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Assigned Agent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Complete FNOL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POST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/api/claims/from-fnol/{fnolId}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Assigned Agent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Create Draft formal Claim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PUT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/api/claims/{claimId}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Assigned Agent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Edit Draft Claim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POST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/api/claims/{claimId}/documents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Assigned Agent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Upload evidence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DELETE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/api/claims/{claimId}/documents/{documentId}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Assigned Agent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Remove Draft evidence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POST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/api/claims/{claimId}/submit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Assigned Agent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Submit/freeze Claim and consume slot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GET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/api/admin/claims/unassigned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Admin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List claims awaiting assignment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POST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/api/admin/claims/{claimId}/assign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Admin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Permanent Adjuster assignment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GET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/api/admin/claims/authority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Admin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List above-authority settlements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POST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/api/admin/claims/{claimId}/settlement/approve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Admin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Approve calculated settlement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POST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/api/admin/claims/{claimId}/settlement/reject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Admin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Reject escalated settlement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GET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/api/adjuster/claims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Claims Adjuster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Assigned queue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GET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/api/adjuster/claims/{claimId}/review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Assigned Adjuster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Open/resume review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PUT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/api/adjuster/claims/{claimId}/review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Assigned Adjuster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Save review/assessment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POST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/api/adjuster/claims/{claimId}/decision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Assigned Adjuster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Submit decision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GET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/api/customer/claims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Customer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List own claims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GET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/api/customer/claims/{claimId}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Customer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Read claim/settlement/payout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POST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/api/customer/claims/{claimId}/settlement/accept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Customer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Accept payable settlement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POST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/api/customer/claims/{claimId}/payout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Customer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Select Bank Transfer or UPI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POST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/api/customer/claims/{claimId}/payout/retry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Customer</w:t>
            </w:r>
          </w:p>
        </w:tc>
        <w:tc>
          <w:tcPr>
            <w:tcW w:type="dxa" w:w="252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Retry failed payout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GET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/internal/claims/history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Internal QuoteRating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Return prior-three-year qualifying claim count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180" w:after="80"/>
      </w:pPr>
      <w:r>
        <w:t>10. Internal service contracts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Caller</w:t>
            </w:r>
          </w:p>
        </w:tc>
        <w:tc>
          <w:tcPr>
            <w:tcW w:type="dxa" w:w="3360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Provider</w:t>
            </w:r>
          </w:p>
        </w:tc>
        <w:tc>
          <w:tcPr>
            <w:tcW w:type="dxa" w:w="3360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Contract purpose</w:t>
            </w:r>
          </w:p>
        </w:tc>
      </w:tr>
      <w:tr>
        <w:trPr>
          <w:cantSplit/>
        </w:trPr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QuoteRating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CustomerVehicle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Current customer/driver/vehicle risk and readiness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QuoteRating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Claims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Prior-three-year qualifying approved/partial claim count</w:t>
            </w:r>
          </w:p>
        </w:tc>
      </w:tr>
      <w:tr>
        <w:trPr>
          <w:cantSplit/>
        </w:trPr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QuoteRating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Underwriting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Idempotent application creation + attempt-state blocking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Underwriting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QuoteRating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Immutable finalized/submitted Quote context</w:t>
            </w:r>
          </w:p>
        </w:tc>
      </w:tr>
      <w:tr>
        <w:trPr>
          <w:cantSplit/>
        </w:trPr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Underwriting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CustomerVehicle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Customer/Driver/Vehicle context when needed beyond snapshot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PolicyBilling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Underwriting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Approved non-lapsed offer context</w:t>
            </w:r>
          </w:p>
        </w:tc>
      </w:tr>
      <w:tr>
        <w:trPr>
          <w:cantSplit/>
        </w:trPr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Claims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PolicyBilling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Historical policy term + coverage/limit/deductible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Identity consumers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Identity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Eligible internal-user lookup/role/2FA status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180" w:after="80"/>
      </w:pPr>
      <w:r>
        <w:t>11. Idempotency and concurrency</w:t>
      </w:r>
    </w:p>
    <w:p>
      <w:pPr>
        <w:pStyle w:val="ListBullet"/>
        <w:spacing w:after="40"/>
      </w:pPr>
      <w:r>
        <w:t>Quote start: at most one active Draft per Vehicle; repeat start resumes the existing Draft.</w:t>
      </w:r>
    </w:p>
    <w:p>
      <w:pPr>
        <w:pStyle w:val="ListBullet"/>
        <w:spacing w:after="40"/>
      </w:pPr>
      <w:r>
        <w:t>UnderwritingApplication: unique OriginatingQuoteId; repeated submission returns the same application context.</w:t>
      </w:r>
    </w:p>
    <w:p>
      <w:pPr>
        <w:pStyle w:val="ListBullet"/>
        <w:spacing w:after="40"/>
      </w:pPr>
      <w:r>
        <w:t>Policy issuance: unique originating underwriting application; duplicate issuance converges on the existing Policy.</w:t>
      </w:r>
    </w:p>
    <w:p>
      <w:pPr>
        <w:pStyle w:val="ListBullet"/>
        <w:spacing w:after="40"/>
      </w:pPr>
      <w:r>
        <w:t>Assignments: Agent, Underwriter and Claims Adjuster assignment is assign-once and race-safe.</w:t>
      </w:r>
    </w:p>
    <w:p>
      <w:pPr>
        <w:pStyle w:val="ListBullet"/>
        <w:spacing w:after="40"/>
      </w:pPr>
      <w:r>
        <w:t>Claims: duplicate loss key is blocked and maximum five submitted claims per term is enforced atomically.</w:t>
      </w:r>
    </w:p>
    <w:p>
      <w:pPr>
        <w:pStyle w:val="ListBullet"/>
        <w:spacing w:after="40"/>
      </w:pPr>
      <w:r>
        <w:t>Settlement acceptance and successful payout/closure guard against duplicate client actions.</w:t>
      </w:r>
    </w:p>
    <w:p>
      <w:pPr>
        <w:pStyle w:val="Heading1"/>
        <w:keepNext/>
        <w:spacing w:before="180" w:after="80"/>
      </w:pPr>
      <w:r>
        <w:t>12. Frontend integration alignment</w:t>
      </w:r>
    </w:p>
    <w:p>
      <w:pPr>
        <w:spacing w:after="100" w:line="259" w:lineRule="auto"/>
      </w:pPr>
      <w:r>
        <w:t>The supplied Angular code already follows the intended pattern: feature API services build URLs from environment.apiGatewayBaseUrl, domain models live in core/models, and authInterceptor attaches credentials/access tokens and handles controlled 401 recovery. The API Design should therefore be consumed by Angular through typed feature services rather than direct HttpClient calls from page components.</w:t>
      </w:r>
    </w:p>
    <w:p>
      <w:pPr>
        <w:pStyle w:val="Heading1"/>
        <w:keepNext/>
        <w:spacing w:before="180" w:after="80"/>
      </w:pPr>
      <w:r>
        <w:t>Source references</w:t>
      </w:r>
    </w:p>
    <w:p>
      <w:pPr>
        <w:pStyle w:val="ListBullet"/>
        <w:spacing w:after="40"/>
      </w:pPr>
      <w:r>
        <w:t>01_Business_Requirements_Document_Final.docx (v2.0, 29 Sep 2026)</w:t>
      </w:r>
    </w:p>
    <w:p>
      <w:pPr>
        <w:pStyle w:val="ListBullet"/>
        <w:spacing w:after="40"/>
      </w:pPr>
      <w:r>
        <w:t>02_Technical_Requirements_Document_Final.docx (v2.0, 29 Sep 2026)</w:t>
      </w:r>
    </w:p>
    <w:p>
      <w:pPr>
        <w:pStyle w:val="ListBullet"/>
        <w:spacing w:after="40"/>
      </w:pPr>
      <w:r>
        <w:t>02_Master_Specification(1).docx (implementation baseline, 29 Sep 2026)</w:t>
      </w:r>
    </w:p>
    <w:p>
      <w:pPr>
        <w:pStyle w:val="ListBullet"/>
        <w:spacing w:after="40"/>
      </w:pPr>
      <w:r>
        <w:t>03_Final_Database_Reference.docx (final database baseline, 30 Sep 2026)</w:t>
      </w:r>
    </w:p>
    <w:p>
      <w:pPr>
        <w:pStyle w:val="ListBullet"/>
        <w:spacing w:after="40"/>
      </w:pPr>
      <w:r>
        <w:t>09_API_Contract_Final.docx (API contract, 29 Sep 2026)</w:t>
      </w:r>
    </w:p>
    <w:p>
      <w:pPr>
        <w:pStyle w:val="ListBullet"/>
        <w:spacing w:after="40"/>
      </w:pPr>
      <w:r>
        <w:t>API_Endpoints_Reference_Final.docx (final endpoint catalogue, 30 Sep 2026)</w:t>
      </w:r>
    </w:p>
    <w:p>
      <w:pPr>
        <w:pStyle w:val="ListBullet"/>
        <w:spacing w:after="40"/>
      </w:pPr>
      <w:r>
        <w:t>AutoInsurance_Complete_UI_Requirements_Specification.docx (complete UI baseline, 29 Sep 2026)</w:t>
      </w:r>
    </w:p>
    <w:p>
      <w:pPr>
        <w:pStyle w:val="ListBullet"/>
        <w:spacing w:after="40"/>
      </w:pPr>
      <w:r>
        <w:t>Current Angular frontend code dumps supplied in this conversation (8 Oct 2026 snapshot)</w:t>
      </w:r>
    </w:p>
    <w:p>
      <w:pPr>
        <w:pStyle w:val="ListBullet"/>
        <w:spacing w:after="40"/>
      </w:pPr>
      <w:r>
        <w:t>Six service-context documents and the supplied backend code dumps.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Implementation documentation baseline • 08 October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7280"/>
        <w:sz w:val="16"/>
      </w:rPr>
      <w:t>MileGuard Auto Insurance Capstone  |  Project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29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563E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293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2563E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03_API_Design</dc:title>
  <dc:subject>MileGuard Auto Insurance project documentation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