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2"/>
        </w:rPr>
        <w:t>MILEGUARD AUTO INSURANCE</w:t>
      </w:r>
    </w:p>
    <w:p>
      <w:pPr>
        <w:jc w:val="center"/>
      </w:pPr>
      <w:r>
        <w:rPr>
          <w:b/>
          <w:color w:val="1F2937"/>
          <w:sz w:val="56"/>
        </w:rPr>
        <w:t>Database Design</w:t>
      </w:r>
    </w:p>
    <w:p>
      <w:pPr>
        <w:jc w:val="center"/>
      </w:pPr>
      <w:r>
        <w:rPr>
          <w:color w:val="4B5563"/>
          <w:sz w:val="22"/>
        </w:rPr>
        <w:t>Database-per-service ownership, entities, constraints and integrity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Documentation basis: </w:t>
            </w:r>
            <w:r>
              <w:rPr>
                <w:sz w:val="18"/>
              </w:rPr>
              <w:t>This document consolidates the agreed business/technical baseline and the supplied Angular/backend implementation snapshot. Where source material is explicit, it is authoritative. Where a current code snapshot differs from the final planning contract, this document identifies the distinction rather than silently reconciling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Contents</w:t>
      </w:r>
    </w:p>
    <w:p>
      <w:pPr>
        <w:spacing w:after="20"/>
      </w:pPr>
      <w:r>
        <w:rPr>
          <w:b/>
        </w:rPr>
        <w:t xml:space="preserve">01  </w:t>
      </w:r>
      <w:r>
        <w:t>Database architecture</w:t>
      </w:r>
    </w:p>
    <w:p>
      <w:pPr>
        <w:spacing w:after="20"/>
      </w:pPr>
      <w:r>
        <w:rPr>
          <w:b/>
        </w:rPr>
        <w:t xml:space="preserve">02  </w:t>
      </w:r>
      <w:r>
        <w:t>Common database conventions</w:t>
      </w:r>
    </w:p>
    <w:p>
      <w:pPr>
        <w:spacing w:after="20"/>
      </w:pPr>
      <w:r>
        <w:rPr>
          <w:b/>
        </w:rPr>
        <w:t xml:space="preserve">03  </w:t>
      </w:r>
      <w:r>
        <w:t>IdentityDb</w:t>
      </w:r>
    </w:p>
    <w:p>
      <w:pPr>
        <w:spacing w:after="20"/>
      </w:pPr>
      <w:r>
        <w:rPr>
          <w:b/>
        </w:rPr>
        <w:t xml:space="preserve">04  </w:t>
      </w:r>
      <w:r>
        <w:t>CustomerVehicleDb</w:t>
      </w:r>
    </w:p>
    <w:p>
      <w:pPr>
        <w:spacing w:after="20"/>
      </w:pPr>
      <w:r>
        <w:rPr>
          <w:b/>
        </w:rPr>
        <w:t xml:space="preserve">05  </w:t>
      </w:r>
      <w:r>
        <w:t>QuoteRatingDb</w:t>
      </w:r>
    </w:p>
    <w:p>
      <w:pPr>
        <w:spacing w:after="20"/>
      </w:pPr>
      <w:r>
        <w:rPr>
          <w:b/>
        </w:rPr>
        <w:t xml:space="preserve">06  </w:t>
      </w:r>
      <w:r>
        <w:t>UnderwritingDb</w:t>
      </w:r>
    </w:p>
    <w:p>
      <w:pPr>
        <w:spacing w:after="20"/>
      </w:pPr>
      <w:r>
        <w:rPr>
          <w:b/>
        </w:rPr>
        <w:t xml:space="preserve">07  </w:t>
      </w:r>
      <w:r>
        <w:t>PolicyBillingDb</w:t>
      </w:r>
    </w:p>
    <w:p>
      <w:pPr>
        <w:spacing w:after="20"/>
      </w:pPr>
      <w:r>
        <w:rPr>
          <w:b/>
        </w:rPr>
        <w:t xml:space="preserve">08  </w:t>
      </w:r>
      <w:r>
        <w:t>ClaimsDb</w:t>
      </w:r>
    </w:p>
    <w:p>
      <w:pPr>
        <w:spacing w:after="20"/>
      </w:pPr>
      <w:r>
        <w:rPr>
          <w:b/>
        </w:rPr>
        <w:t xml:space="preserve">09  </w:t>
      </w:r>
      <w:r>
        <w:t>LoggingDb</w:t>
      </w:r>
    </w:p>
    <w:p>
      <w:pPr>
        <w:spacing w:after="20"/>
      </w:pPr>
      <w:r>
        <w:rPr>
          <w:b/>
        </w:rPr>
        <w:t xml:space="preserve">10  </w:t>
      </w:r>
      <w:r>
        <w:t>Cross-service references</w:t>
      </w:r>
    </w:p>
    <w:p>
      <w:pPr>
        <w:spacing w:after="20"/>
      </w:pPr>
      <w:r>
        <w:rPr>
          <w:b/>
        </w:rPr>
        <w:t xml:space="preserve">11  </w:t>
      </w:r>
      <w:r>
        <w:t>Constraints and concurrency</w:t>
      </w:r>
    </w:p>
    <w:p>
      <w:pPr>
        <w:spacing w:after="20"/>
      </w:pPr>
      <w:r>
        <w:rPr>
          <w:b/>
        </w:rPr>
        <w:t xml:space="preserve">12  </w:t>
      </w:r>
      <w:r>
        <w:t>Immutable data and files</w:t>
      </w:r>
    </w:p>
    <w:p>
      <w:pPr>
        <w:spacing w:after="20"/>
      </w:pPr>
      <w:r>
        <w:rPr>
          <w:b/>
        </w:rPr>
        <w:t xml:space="preserve">13  </w:t>
      </w:r>
      <w:r>
        <w:t>Source references</w:t>
      </w:r>
    </w:p>
    <w:p>
      <w:r>
        <w:br w:type="page"/>
      </w:r>
    </w:p>
    <w:p>
      <w:pPr>
        <w:pStyle w:val="Heading1"/>
        <w:keepNext/>
        <w:spacing w:before="180" w:after="80"/>
      </w:pPr>
      <w:r>
        <w:t>1. Database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Database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Core aggregates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Credentials, roles, JWT/refresh sessions, internal-user administration, 2FA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Customer, Driver, Vehicle, permanent Agent assignment and readiness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Plans, coverages, rating configuration, Draft Quote and finalized snapshot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Application, assignment, checklist, decision and approved-offer validity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PolicyBillingService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Purchase, Policy contract, billing, PDF, cancellation and renewal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FNOL, Claim, evidence, review, settlement, authority and payout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LoggingDb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Serilog infrastructure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Technical logs only; not a business source of truth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Isolation rule: </w:t>
            </w:r>
            <w:r>
              <w:rPr>
                <w:sz w:val="18"/>
              </w:rPr>
              <w:t>All six business databases may run on one SQL Server LocalDB instance in development, but remain logically separate. No cross-database foreign keys, joins, views, synonyms or direct reads.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2. Common database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Standard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Primary keys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Guid/ULID-style internal identifiers generated by owning 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Business references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Readable unique references such as QTE/APP/POL/FNL/CLM/PAY/POT where defined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Money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Decimal with 2-decimal business precision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Timestamps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UTC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Audit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CreatedAt/CreatedBy and UpdatedAt/UpdatedBy where applicable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Deletion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Soft delete only for appropriate mutable records; historical insurance transactions are retained by lifecycle state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Transactions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EF Core/local SQL transaction for multi-write atomic operations within one database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Indexing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Business refs, external refs, assignments, statuses, dates, queue fields and lookup keys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3. IdentityDb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Entity/aggregate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User/ASP.NET Identity tables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Credential/account data; normalized email unique; roles through Identity role tables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RefreshTokens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IdentityUserId, token hash/secure representation, expiry, created/revoked/replaced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2FA configuration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Built-in Identity configuration; internal users require 2FA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Admin/security metadata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Internal-user administration and audit/security records as required by implementation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4. CustomerVehicleDb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Entity/aggregate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CustomerProfiles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IdentityUserId, personal/profile/address data, AreaType, Status, audit fields; one-to-one with Identity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AgentAssignments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CustomerId, AgentIdentityUserId, AssignedAt, AssignedBy; CustomerId unique for assign-once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DriverProfiles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CustomerId and primary-driver/license/experience fields; one primary Driver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Vehicles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ownership, VIN, make/model/year/type/fuel/value/odometer/mileage/ownership and status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VehicleImage metadata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Image reference/filename/content type/size/created metadata for service-owned local files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5. QuoteRatingDb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Entity/aggregate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Plan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Fixed Basic/Standard/Premium plan identity/configuration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Coverage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Five core coverages; mandatory plan membership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CoverageLimitOption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Predefined limit tier, amount or vehicle-value semantics, annual charge/default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DeductibleOption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Coverage-level deductible amount, annual charge/default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AddOn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Fixed annual price and eligible-plan mapping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RatingRule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Seven fixed factor identities and non-overlapping/gap-free bands with surcharge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Draft/finalized/submitted/expired lifecycle and vehicle/customer refs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QuoteSnapshot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Immutable risk/product/rating/premium data at finalization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QuoteCoverageSnapshot / QuoteAddOnSnapshot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Historical selected coverage and add-on values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PricingAudit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Admin actor, old/new value and timestamp for pricing changes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6. UnderwritingDb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Entity/aggregate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UnderwritingApplication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Quote/customer/vehicle refs, Agent/Underwriter refs, status, timestamps and deadlines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ApplicationSnapshot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Frozen customer/driver/vehicle/plan/rating context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ApplicationReviewSection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One row per application + review section; reviewed actor/time/notes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UnderwritingDecision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Approve/Reject, decision actor/time and rejection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CustomerOfferOutcome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Approved-offer customer decline outcome when applicable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ApplicationStatusHistory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Immutable transition timeline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7. PolicyBillingDb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Entity/aggregate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Purchase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Approved-offer purchase workflow and acceptance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 ref, customer/vehicle refs, lifecycle, term dates, cancellation and renewal lineage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PolicySnapshot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Named insured, Driver, Vehicle, plan, coverages, limits/deductibles, add-ons, premium/frequency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PolicyCoverageSnapshot / PolicyAddOnSnapshot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Historical term-specific contract values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PaymentSchedule / Installment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Frequency, annual premium, installment number/amount/due date/state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PaymentTransaction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PAY ref, amount, method/result/failure/mock transaction ref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PolicyDocument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Immutable PDF metadata/storage reference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Renewal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Current policy to next-term workflow and lineage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PolicyStatusHistory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Immutable lifecycle timeline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8. ClaimsDb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Entity/aggregate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FNOL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FNL ref, policy/vehicle/date/time/location/description, Draft/Completed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CLM ref, claimed amount, potential coverage, status, assigned Adjuster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ClaimDocument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Evidence metadata/path; immutable after submission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Investigation notes/outcome, assessed amount/notes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ClaimDecision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Fully/Partially Approved/Rejected +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Settlement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Coverage limit, deductible, calculated amount, authority and acceptance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AuthorityReview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Above-authority settlement decision state/history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Payout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POT ref, Bank Transfer/UPI, Pending/Processing/Paid/Failed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ClaimStatusHistory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Auditable claim lifecycle timeline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9. LoggingDb</w:t>
      </w:r>
    </w:p>
    <w:p>
      <w:pPr>
        <w:spacing w:after="100" w:line="259" w:lineRule="auto"/>
      </w:pPr>
      <w:r>
        <w:t>LoggingDb is technical observability infrastructure. Typical LogEvent fields include Timestamp, Level, Message/Template, Exception, ServiceName, Endpoint, HttpMethod, StatusCode, DurationMs, CorrelationId, UserId, Role and structured Properties. Full request/response bodies and sensitive PII are not stored.</w:t>
      </w:r>
    </w:p>
    <w:p>
      <w:pPr>
        <w:pStyle w:val="Heading1"/>
        <w:keepNext/>
        <w:spacing w:before="180" w:after="80"/>
      </w:pPr>
      <w:r>
        <w:t>10. Cross-service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Owning DB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External identifier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Authoritative source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CustomerVehicleDb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IdentityUserId / AgentIdentityUserId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IdentityService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QuoteRatingDb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CustomerId / VehicleId / AgentIdentityUserId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CustomerVehicleService / IdentityService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QuoteId / CustomerId / VehicleId / UnderwriterIdentityUserId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 / CustomerVehicle / Identity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PolicyBillingDb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UnderwritingApplicationId / CustomerId / VehicleId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 / CustomerVehicle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ClaimsDb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PolicyId / CustomerId / VehicleId / Agent/Adjuster Identity IDs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 / CustomerVehicle / Identity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11. Constraints and concurrency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Constraint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CustomerVehicle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Unique IdentityUserId, licence number and VIN; permanent Agent assignment guard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QuoteRating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At most one active Draft per Vehicle; unique Quote reference; one active finalized Quote per Vehicle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Unique OriginatingQuoteId; unique decision/application relationships; assign-once Underwriter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PolicyBilling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Unique originating underwriting application; no overlapping effective Policy term per Vehicle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Claims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Unique Policy + Vehicle + DateOfLoss; atomic max-five submitted Claims per Policy term; assign-once Adjuster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12. Immutable data and file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Immutable records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 Finalization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QuoteSnapshot, QuoteCoverageSnapshot, QuoteAddOnSnapshot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 final decision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ApplicationSnapshot, final review data, UnderwritingDecision and outcome/history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 issuance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PolicySnapshot, PolicyCoverageSnapshot, PolicyAddOnSnapshot, locked PaymentSchedule, original PolicyDocument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 submission/decision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Submitted Claim package/evidence and final Review/Decision/Settlement/Authority/Payout history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Files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Vehicle images, claim evidence and policy PDF are service-owned; DB stores metadata/reference, not exposed physical paths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13. Deletion and lifecycle policy</w:t>
      </w:r>
    </w:p>
    <w:p>
      <w:pPr>
        <w:pStyle w:val="ListBullet"/>
        <w:spacing w:after="40"/>
      </w:pPr>
      <w:r>
        <w:t>Internal users are deactivated rather than physically deleted when historical references remain.</w:t>
      </w:r>
    </w:p>
    <w:p>
      <w:pPr>
        <w:pStyle w:val="ListBullet"/>
        <w:spacing w:after="40"/>
      </w:pPr>
      <w:r>
        <w:t>Customer/Driver/Vehicle master records are retained while related insurance history exists.</w:t>
      </w:r>
    </w:p>
    <w:p>
      <w:pPr>
        <w:pStyle w:val="ListBullet"/>
        <w:spacing w:after="40"/>
      </w:pPr>
      <w:r>
        <w:t>Quotes, applications, policies, payments, FNOLs, claims and payouts are lifecycle-retained.</w:t>
      </w:r>
    </w:p>
    <w:p>
      <w:pPr>
        <w:pStyle w:val="ListBullet"/>
        <w:spacing w:after="40"/>
      </w:pPr>
      <w:r>
        <w:t>Historical submitted documents and issued PDFs are immutable; no replacement/removal in MVP.</w:t>
      </w:r>
    </w:p>
    <w:p>
      <w:pPr>
        <w:pStyle w:val="Heading1"/>
        <w:keepNext/>
        <w:spacing w:before="180" w:after="80"/>
      </w:pPr>
      <w:r>
        <w:t>Source references</w:t>
      </w:r>
    </w:p>
    <w:p>
      <w:pPr>
        <w:pStyle w:val="ListBullet"/>
        <w:spacing w:after="40"/>
      </w:pPr>
      <w:r>
        <w:t>01_Business_Requirements_Document_Final.docx (v2.0, 29 Sep 2026)</w:t>
      </w:r>
    </w:p>
    <w:p>
      <w:pPr>
        <w:pStyle w:val="ListBullet"/>
        <w:spacing w:after="40"/>
      </w:pPr>
      <w:r>
        <w:t>02_Technical_Requirements_Document_Final.docx (v2.0, 29 Sep 2026)</w:t>
      </w:r>
    </w:p>
    <w:p>
      <w:pPr>
        <w:pStyle w:val="ListBullet"/>
        <w:spacing w:after="40"/>
      </w:pPr>
      <w:r>
        <w:t>02_Master_Specification(1).docx (implementation baseline, 29 Sep 2026)</w:t>
      </w:r>
    </w:p>
    <w:p>
      <w:pPr>
        <w:pStyle w:val="ListBullet"/>
        <w:spacing w:after="40"/>
      </w:pPr>
      <w:r>
        <w:t>03_Final_Database_Reference.docx (final database baseline, 30 Sep 2026)</w:t>
      </w:r>
    </w:p>
    <w:p>
      <w:pPr>
        <w:pStyle w:val="ListBullet"/>
        <w:spacing w:after="40"/>
      </w:pPr>
      <w:r>
        <w:t>09_API_Contract_Final.docx (API contract, 29 Sep 2026)</w:t>
      </w:r>
    </w:p>
    <w:p>
      <w:pPr>
        <w:pStyle w:val="ListBullet"/>
        <w:spacing w:after="40"/>
      </w:pPr>
      <w:r>
        <w:t>API_Endpoints_Reference_Final.docx (final endpoint catalogue, 30 Sep 2026)</w:t>
      </w:r>
    </w:p>
    <w:p>
      <w:pPr>
        <w:pStyle w:val="ListBullet"/>
        <w:spacing w:after="40"/>
      </w:pPr>
      <w:r>
        <w:t>AutoInsurance_Complete_UI_Requirements_Specification.docx (complete UI baseline, 29 Sep 2026)</w:t>
      </w:r>
    </w:p>
    <w:p>
      <w:pPr>
        <w:pStyle w:val="ListBullet"/>
        <w:spacing w:after="40"/>
      </w:pPr>
      <w:r>
        <w:t>Current Angular frontend code dumps supplied in this conversation (8 Oct 2026 snapshot)</w:t>
      </w:r>
    </w:p>
    <w:p>
      <w:pPr>
        <w:pStyle w:val="ListBullet"/>
        <w:spacing w:after="40"/>
      </w:pPr>
      <w:r>
        <w:t>Six service-context documents and the supplied backend code dumps.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Implementation documentation baseline • 08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MileGuard Auto Insurance Capstone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04_Database_Design</dc:title>
  <dc:subject>MileGuard Auto Insurance project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