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b w:val="1"/>
          <w:sz w:val="24"/>
          <w:szCs w:val="24"/>
        </w:rPr>
      </w:pPr>
      <w:bookmarkStart w:colFirst="0" w:colLast="0" w:name="_s4x8dwybvx5m" w:id="0"/>
      <w:bookmarkEnd w:id="0"/>
      <w:r w:rsidDel="00000000" w:rsidR="00000000" w:rsidRPr="00000000">
        <w:rPr>
          <w:b w:val="1"/>
          <w:sz w:val="24"/>
          <w:szCs w:val="24"/>
          <w:rtl w:val="0"/>
        </w:rPr>
        <w:t xml:space="preserve">Project Overview &amp; Instruction</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pStyle w:val="Heading2"/>
        <w:numPr>
          <w:ilvl w:val="0"/>
          <w:numId w:val="4"/>
        </w:numPr>
        <w:ind w:left="720" w:hanging="360"/>
        <w:rPr>
          <w:b w:val="1"/>
          <w:sz w:val="22"/>
          <w:szCs w:val="22"/>
        </w:rPr>
      </w:pPr>
      <w:bookmarkStart w:colFirst="0" w:colLast="0" w:name="_uwtaw95ribv4" w:id="1"/>
      <w:bookmarkEnd w:id="1"/>
      <w:r w:rsidDel="00000000" w:rsidR="00000000" w:rsidRPr="00000000">
        <w:rPr>
          <w:b w:val="1"/>
          <w:sz w:val="22"/>
          <w:szCs w:val="22"/>
          <w:rtl w:val="0"/>
        </w:rPr>
        <w:t xml:space="preserve">Project Overview</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color w:val="222222"/>
          <w:sz w:val="20"/>
          <w:szCs w:val="20"/>
          <w:highlight w:val="white"/>
        </w:rPr>
      </w:pPr>
      <w:r w:rsidDel="00000000" w:rsidR="00000000" w:rsidRPr="00000000">
        <w:rPr>
          <w:sz w:val="20"/>
          <w:szCs w:val="20"/>
          <w:rtl w:val="0"/>
        </w:rPr>
        <w:t xml:space="preserve">Project Name: </w:t>
      </w:r>
      <w:r w:rsidDel="00000000" w:rsidR="00000000" w:rsidRPr="00000000">
        <w:rPr>
          <w:color w:val="222222"/>
          <w:sz w:val="20"/>
          <w:szCs w:val="20"/>
          <w:highlight w:val="white"/>
          <w:rtl w:val="0"/>
        </w:rPr>
        <w:t xml:space="preserve">Increasing Public Data Transparency for Immigration Law in Canada</w:t>
      </w:r>
    </w:p>
    <w:p w:rsidR="00000000" w:rsidDel="00000000" w:rsidP="00000000" w:rsidRDefault="00000000" w:rsidRPr="00000000" w14:paraId="00000006">
      <w:pPr>
        <w:rPr>
          <w:b w:val="1"/>
          <w:color w:val="222222"/>
          <w:sz w:val="20"/>
          <w:szCs w:val="20"/>
          <w:highlight w:val="white"/>
        </w:rPr>
      </w:pPr>
      <w:r w:rsidDel="00000000" w:rsidR="00000000" w:rsidRPr="00000000">
        <w:rPr>
          <w:rtl w:val="0"/>
        </w:rPr>
      </w:r>
    </w:p>
    <w:p w:rsidR="00000000" w:rsidDel="00000000" w:rsidP="00000000" w:rsidRDefault="00000000" w:rsidRPr="00000000" w14:paraId="00000007">
      <w:pPr>
        <w:pStyle w:val="Heading4"/>
        <w:rPr>
          <w:b w:val="1"/>
          <w:sz w:val="20"/>
          <w:szCs w:val="20"/>
          <w:u w:val="single"/>
        </w:rPr>
      </w:pPr>
      <w:bookmarkStart w:colFirst="0" w:colLast="0" w:name="_yp2icnh240az" w:id="2"/>
      <w:bookmarkEnd w:id="2"/>
      <w:r w:rsidDel="00000000" w:rsidR="00000000" w:rsidRPr="00000000">
        <w:rPr>
          <w:b w:val="1"/>
          <w:sz w:val="20"/>
          <w:szCs w:val="20"/>
          <w:u w:val="single"/>
          <w:rtl w:val="0"/>
        </w:rPr>
        <w:t xml:space="preserve">Description of the problem/question:</w:t>
      </w:r>
    </w:p>
    <w:p w:rsidR="00000000" w:rsidDel="00000000" w:rsidP="00000000" w:rsidRDefault="00000000" w:rsidRPr="00000000" w14:paraId="00000008">
      <w:pPr>
        <w:rPr>
          <w:color w:val="393939"/>
          <w:sz w:val="20"/>
          <w:szCs w:val="20"/>
          <w:highlight w:val="white"/>
        </w:rPr>
      </w:pPr>
      <w:r w:rsidDel="00000000" w:rsidR="00000000" w:rsidRPr="00000000">
        <w:rPr>
          <w:b w:val="1"/>
          <w:color w:val="393939"/>
          <w:sz w:val="20"/>
          <w:szCs w:val="20"/>
          <w:highlight w:val="white"/>
          <w:rtl w:val="0"/>
        </w:rPr>
        <w:t xml:space="preserve">Part 1</w:t>
      </w:r>
      <w:r w:rsidDel="00000000" w:rsidR="00000000" w:rsidRPr="00000000">
        <w:rPr>
          <w:color w:val="393939"/>
          <w:sz w:val="20"/>
          <w:szCs w:val="20"/>
          <w:highlight w:val="white"/>
          <w:rtl w:val="0"/>
        </w:rPr>
        <w:t xml:space="preserve">: IRCC has provided us with data about inadmissibility refusal applications, which need to be examined for trends, patterns, and other information that are best understood from a data science lens, rather than an immigration-focused lens. </w:t>
      </w:r>
    </w:p>
    <w:p w:rsidR="00000000" w:rsidDel="00000000" w:rsidP="00000000" w:rsidRDefault="00000000" w:rsidRPr="00000000" w14:paraId="00000009">
      <w:pPr>
        <w:rPr>
          <w:color w:val="393939"/>
          <w:sz w:val="20"/>
          <w:szCs w:val="20"/>
          <w:highlight w:val="white"/>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b w:val="1"/>
          <w:color w:val="393939"/>
          <w:sz w:val="20"/>
          <w:szCs w:val="20"/>
          <w:highlight w:val="white"/>
          <w:rtl w:val="0"/>
        </w:rPr>
        <w:t xml:space="preserve">Part 2</w:t>
      </w:r>
      <w:r w:rsidDel="00000000" w:rsidR="00000000" w:rsidRPr="00000000">
        <w:rPr>
          <w:color w:val="393939"/>
          <w:sz w:val="20"/>
          <w:szCs w:val="20"/>
          <w:highlight w:val="white"/>
          <w:rtl w:val="0"/>
        </w:rPr>
        <w:t xml:space="preserve">: In parallel, we’d like to replicate the study done by Professor Sean Rehaag in </w:t>
      </w:r>
      <w:hyperlink r:id="rId6">
        <w:r w:rsidDel="00000000" w:rsidR="00000000" w:rsidRPr="00000000">
          <w:rPr>
            <w:color w:val="1155cc"/>
            <w:sz w:val="20"/>
            <w:szCs w:val="20"/>
            <w:highlight w:val="white"/>
            <w:u w:val="single"/>
            <w:rtl w:val="0"/>
          </w:rPr>
          <w:t xml:space="preserve">Luck of the Draw III: Using AI to Extract Data About Decision-Making in Federal Court Stays of Removal</w:t>
        </w:r>
      </w:hyperlink>
      <w:r w:rsidDel="00000000" w:rsidR="00000000" w:rsidRPr="00000000">
        <w:rPr>
          <w:color w:val="393939"/>
          <w:sz w:val="20"/>
          <w:szCs w:val="20"/>
          <w:highlight w:val="white"/>
          <w:rtl w:val="0"/>
        </w:rPr>
        <w:t xml:space="preserve"> to supplement part 1</w:t>
      </w:r>
      <w:r w:rsidDel="00000000" w:rsidR="00000000" w:rsidRPr="00000000">
        <w:rPr>
          <w:color w:val="393939"/>
          <w:sz w:val="20"/>
          <w:szCs w:val="20"/>
          <w:highlight w:val="white"/>
          <w:rtl w:val="0"/>
        </w:rPr>
        <w:t xml:space="preserve">. This will allow us to extract additional and complementary insights on the data provided by IRCC, by exploring the appeal cases and judicial reviews. </w:t>
      </w:r>
      <w:r w:rsidDel="00000000" w:rsidR="00000000" w:rsidRPr="00000000">
        <w:rPr>
          <w:rtl w:val="0"/>
        </w:rPr>
      </w:r>
    </w:p>
    <w:p w:rsidR="00000000" w:rsidDel="00000000" w:rsidP="00000000" w:rsidRDefault="00000000" w:rsidRPr="00000000" w14:paraId="0000000B">
      <w:pPr>
        <w:rPr>
          <w:color w:val="393939"/>
          <w:sz w:val="20"/>
          <w:szCs w:val="20"/>
          <w:highlight w:val="white"/>
        </w:rPr>
      </w:pPr>
      <w:r w:rsidDel="00000000" w:rsidR="00000000" w:rsidRPr="00000000">
        <w:rPr>
          <w:sz w:val="20"/>
          <w:szCs w:val="20"/>
          <w:rtl w:val="0"/>
        </w:rPr>
        <w:t xml:space="preserve">The professor encourages law professionals and academia to use this data for non-profit purposes with proper citation. </w:t>
      </w:r>
      <w:r w:rsidDel="00000000" w:rsidR="00000000" w:rsidRPr="00000000">
        <w:rPr>
          <w:color w:val="393939"/>
          <w:sz w:val="20"/>
          <w:szCs w:val="20"/>
          <w:highlight w:val="white"/>
          <w:rtl w:val="0"/>
        </w:rPr>
        <w:t xml:space="preserve">The detail of customization is noted in the instruction below.</w:t>
      </w:r>
    </w:p>
    <w:p w:rsidR="00000000" w:rsidDel="00000000" w:rsidP="00000000" w:rsidRDefault="00000000" w:rsidRPr="00000000" w14:paraId="0000000C">
      <w:pPr>
        <w:spacing w:after="240" w:before="240" w:lineRule="auto"/>
        <w:rPr>
          <w:color w:val="393939"/>
          <w:sz w:val="20"/>
          <w:szCs w:val="20"/>
          <w:highlight w:val="white"/>
        </w:rPr>
      </w:pPr>
      <w:r w:rsidDel="00000000" w:rsidR="00000000" w:rsidRPr="00000000">
        <w:rPr>
          <w:color w:val="393939"/>
          <w:sz w:val="20"/>
          <w:szCs w:val="20"/>
          <w:highlight w:val="white"/>
          <w:rtl w:val="0"/>
        </w:rPr>
        <w:t xml:space="preserve">We intend to conduct an exploratory data analysis to gain relevant summary statistics as well as insights into associations between numerous variables in the dataset, which could result in relevant hypotheses for further exploration.</w:t>
      </w:r>
    </w:p>
    <w:p w:rsidR="00000000" w:rsidDel="00000000" w:rsidP="00000000" w:rsidRDefault="00000000" w:rsidRPr="00000000" w14:paraId="0000000D">
      <w:pPr>
        <w:spacing w:after="240" w:before="240" w:lineRule="auto"/>
        <w:rPr>
          <w:color w:val="393939"/>
          <w:sz w:val="20"/>
          <w:szCs w:val="20"/>
          <w:highlight w:val="white"/>
        </w:rPr>
      </w:pPr>
      <w:r w:rsidDel="00000000" w:rsidR="00000000" w:rsidRPr="00000000">
        <w:rPr>
          <w:color w:val="393939"/>
          <w:sz w:val="20"/>
          <w:szCs w:val="20"/>
          <w:highlight w:val="white"/>
          <w:rtl w:val="0"/>
        </w:rPr>
        <w:t xml:space="preserve">Finally, the results of these models should be presented in a dashboard or PPT format for non-technical readers.</w:t>
      </w:r>
    </w:p>
    <w:p w:rsidR="00000000" w:rsidDel="00000000" w:rsidP="00000000" w:rsidRDefault="00000000" w:rsidRPr="00000000" w14:paraId="0000000E">
      <w:pPr>
        <w:rPr>
          <w:color w:val="393939"/>
          <w:sz w:val="20"/>
          <w:szCs w:val="20"/>
          <w:highlight w:val="white"/>
        </w:rPr>
      </w:pPr>
      <w:r w:rsidDel="00000000" w:rsidR="00000000" w:rsidRPr="00000000">
        <w:rPr>
          <w:color w:val="393939"/>
          <w:sz w:val="20"/>
          <w:szCs w:val="20"/>
          <w:highlight w:val="white"/>
          <w:rtl w:val="0"/>
        </w:rPr>
        <w:t xml:space="preserve">We are also leading advocates around data transparency. IRCC has been gatekeeping data, releasing it selectively to those who request it and have not set out clear perimeters. Meanwhile, applicants who are seeking to litigate their cases and show statistical trends are unable to provide this data. By publishing a dashboard with Government data, we are pushing for more data transparency and clarity in line with IRCC’s own openness, transparency, and accountability commitments: www.canada.ca/en/immigration-refugees-citizenship/corporate/transparency.html</w:t>
      </w:r>
    </w:p>
    <w:p w:rsidR="00000000" w:rsidDel="00000000" w:rsidP="00000000" w:rsidRDefault="00000000" w:rsidRPr="00000000" w14:paraId="0000000F">
      <w:pPr>
        <w:rPr>
          <w:color w:val="393939"/>
          <w:sz w:val="20"/>
          <w:szCs w:val="20"/>
          <w:highlight w:val="white"/>
        </w:rPr>
      </w:pPr>
      <w:r w:rsidDel="00000000" w:rsidR="00000000" w:rsidRPr="00000000">
        <w:rPr>
          <w:rtl w:val="0"/>
        </w:rPr>
      </w:r>
    </w:p>
    <w:p w:rsidR="00000000" w:rsidDel="00000000" w:rsidP="00000000" w:rsidRDefault="00000000" w:rsidRPr="00000000" w14:paraId="00000010">
      <w:pPr>
        <w:rPr>
          <w:color w:val="393939"/>
          <w:sz w:val="20"/>
          <w:szCs w:val="20"/>
          <w:highlight w:val="white"/>
        </w:rPr>
      </w:pPr>
      <w:r w:rsidDel="00000000" w:rsidR="00000000" w:rsidRPr="00000000">
        <w:rPr>
          <w:rtl w:val="0"/>
        </w:rPr>
      </w:r>
    </w:p>
    <w:p w:rsidR="00000000" w:rsidDel="00000000" w:rsidP="00000000" w:rsidRDefault="00000000" w:rsidRPr="00000000" w14:paraId="00000011">
      <w:pPr>
        <w:pStyle w:val="Heading4"/>
        <w:rPr>
          <w:b w:val="1"/>
          <w:sz w:val="20"/>
          <w:szCs w:val="20"/>
          <w:u w:val="single"/>
        </w:rPr>
      </w:pPr>
      <w:bookmarkStart w:colFirst="0" w:colLast="0" w:name="_a3z0vwhjod1t" w:id="3"/>
      <w:bookmarkEnd w:id="3"/>
      <w:r w:rsidDel="00000000" w:rsidR="00000000" w:rsidRPr="00000000">
        <w:rPr>
          <w:b w:val="1"/>
          <w:sz w:val="20"/>
          <w:szCs w:val="20"/>
          <w:u w:val="single"/>
          <w:rtl w:val="0"/>
        </w:rPr>
        <w:t xml:space="preserve">Problem/question impact:</w:t>
      </w:r>
    </w:p>
    <w:p w:rsidR="00000000" w:rsidDel="00000000" w:rsidP="00000000" w:rsidRDefault="00000000" w:rsidRPr="00000000" w14:paraId="00000012">
      <w:pPr>
        <w:rPr>
          <w:color w:val="393939"/>
          <w:sz w:val="20"/>
          <w:szCs w:val="20"/>
          <w:highlight w:val="white"/>
        </w:rPr>
      </w:pPr>
      <w:r w:rsidDel="00000000" w:rsidR="00000000" w:rsidRPr="00000000">
        <w:rPr>
          <w:color w:val="393939"/>
          <w:sz w:val="20"/>
          <w:szCs w:val="20"/>
          <w:highlight w:val="white"/>
          <w:rtl w:val="0"/>
        </w:rPr>
        <w:t xml:space="preserve">As immigration professionals, our day-to-day work is focused on serving client needs by answering legal questions, filing applications, and litigating unreasonable decisions. We are also stakeholders in IRCC’s work as their internal processing rules and policy and program changes directly impact our clients; however, the data is often not publicly available and when it is disclosed, the data received is unprocessed. We require assistance to process datasets obtained from IRCC and analyze federal court cases to help us understand how we should navigate future files and help similarly situated practitioners to better serve their clients.</w:t>
      </w:r>
    </w:p>
    <w:p w:rsidR="00000000" w:rsidDel="00000000" w:rsidP="00000000" w:rsidRDefault="00000000" w:rsidRPr="00000000" w14:paraId="00000013">
      <w:pPr>
        <w:rPr>
          <w:color w:val="393939"/>
          <w:sz w:val="20"/>
          <w:szCs w:val="20"/>
          <w:highlight w:val="white"/>
        </w:rPr>
      </w:pPr>
      <w:r w:rsidDel="00000000" w:rsidR="00000000" w:rsidRPr="00000000">
        <w:rPr>
          <w:rtl w:val="0"/>
        </w:rPr>
      </w:r>
    </w:p>
    <w:p w:rsidR="00000000" w:rsidDel="00000000" w:rsidP="00000000" w:rsidRDefault="00000000" w:rsidRPr="00000000" w14:paraId="00000014">
      <w:pPr>
        <w:rPr>
          <w:color w:val="393939"/>
          <w:sz w:val="20"/>
          <w:szCs w:val="20"/>
          <w:highlight w:val="white"/>
        </w:rPr>
      </w:pPr>
      <w:r w:rsidDel="00000000" w:rsidR="00000000" w:rsidRPr="00000000">
        <w:rPr>
          <w:color w:val="393939"/>
          <w:sz w:val="20"/>
          <w:szCs w:val="20"/>
          <w:highlight w:val="white"/>
          <w:rtl w:val="0"/>
        </w:rPr>
        <w:t xml:space="preserve">This is also occurring as IRCC is moving to Advanced Analytics-based decision-making that is transforming the process of immigration and requires a better understanding of the data challenges.</w:t>
      </w:r>
    </w:p>
    <w:p w:rsidR="00000000" w:rsidDel="00000000" w:rsidP="00000000" w:rsidRDefault="00000000" w:rsidRPr="00000000" w14:paraId="00000015">
      <w:pPr>
        <w:rPr>
          <w:color w:val="393939"/>
          <w:sz w:val="20"/>
          <w:szCs w:val="20"/>
          <w:highlight w:val="white"/>
        </w:rPr>
      </w:pPr>
      <w:r w:rsidDel="00000000" w:rsidR="00000000" w:rsidRPr="00000000">
        <w:rPr>
          <w:rtl w:val="0"/>
        </w:rPr>
      </w:r>
    </w:p>
    <w:p w:rsidR="00000000" w:rsidDel="00000000" w:rsidP="00000000" w:rsidRDefault="00000000" w:rsidRPr="00000000" w14:paraId="00000016">
      <w:pPr>
        <w:rPr>
          <w:color w:val="393939"/>
          <w:sz w:val="20"/>
          <w:szCs w:val="20"/>
          <w:highlight w:val="white"/>
        </w:rPr>
      </w:pPr>
      <w:r w:rsidDel="00000000" w:rsidR="00000000" w:rsidRPr="00000000">
        <w:rPr>
          <w:color w:val="393939"/>
          <w:sz w:val="20"/>
          <w:szCs w:val="20"/>
          <w:highlight w:val="white"/>
          <w:rtl w:val="0"/>
        </w:rPr>
        <w:t xml:space="preserve">Our non-profit advocacy work through AIMICI, would benefit from being able to draft/write reports based on this data dashboard and to share with stakeholders (other lawyers, Government, judges) to transform the work in this space. </w:t>
      </w:r>
    </w:p>
    <w:p w:rsidR="00000000" w:rsidDel="00000000" w:rsidP="00000000" w:rsidRDefault="00000000" w:rsidRPr="00000000" w14:paraId="00000017">
      <w:pPr>
        <w:rPr>
          <w:b w:val="1"/>
          <w:color w:val="222222"/>
          <w:sz w:val="20"/>
          <w:szCs w:val="20"/>
          <w:highlight w:val="white"/>
        </w:rPr>
      </w:pPr>
      <w:r w:rsidDel="00000000" w:rsidR="00000000" w:rsidRPr="00000000">
        <w:rPr>
          <w:rtl w:val="0"/>
        </w:rPr>
      </w:r>
    </w:p>
    <w:p w:rsidR="00000000" w:rsidDel="00000000" w:rsidP="00000000" w:rsidRDefault="00000000" w:rsidRPr="00000000" w14:paraId="00000018">
      <w:pPr>
        <w:pStyle w:val="Heading2"/>
        <w:numPr>
          <w:ilvl w:val="0"/>
          <w:numId w:val="4"/>
        </w:numPr>
        <w:ind w:left="720" w:hanging="360"/>
        <w:rPr>
          <w:b w:val="1"/>
          <w:sz w:val="22"/>
          <w:szCs w:val="22"/>
        </w:rPr>
      </w:pPr>
      <w:bookmarkStart w:colFirst="0" w:colLast="0" w:name="_nu5vezuirrfg" w:id="4"/>
      <w:bookmarkEnd w:id="4"/>
      <w:r w:rsidDel="00000000" w:rsidR="00000000" w:rsidRPr="00000000">
        <w:rPr>
          <w:b w:val="1"/>
          <w:sz w:val="22"/>
          <w:szCs w:val="22"/>
          <w:rtl w:val="0"/>
        </w:rPr>
        <w:t xml:space="preserve">Legal Instruction</w:t>
      </w:r>
    </w:p>
    <w:p w:rsidR="00000000" w:rsidDel="00000000" w:rsidP="00000000" w:rsidRDefault="00000000" w:rsidRPr="00000000" w14:paraId="00000019">
      <w:pPr>
        <w:rPr>
          <w:sz w:val="20"/>
          <w:szCs w:val="20"/>
        </w:rPr>
      </w:pPr>
      <w:r w:rsidDel="00000000" w:rsidR="00000000" w:rsidRPr="00000000">
        <w:rPr>
          <w:sz w:val="20"/>
          <w:szCs w:val="20"/>
          <w:rtl w:val="0"/>
        </w:rPr>
        <w:t xml:space="preserve">This project will focus on the legal topic of “inadmissibility”. Here is the introduction of the topic for you to familiarize yourself with terms.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What is Inadmissibility?</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Inadmissibility refers to a legal finding that a foreign national or permanent resident is not allowed to enter or remain in Canada under the Immigration and Refugee Protection Act (IRPA).</w:t>
      </w:r>
    </w:p>
    <w:p w:rsidR="00000000" w:rsidDel="00000000" w:rsidP="00000000" w:rsidRDefault="00000000" w:rsidRPr="00000000" w14:paraId="0000001E">
      <w:pPr>
        <w:spacing w:after="240" w:before="240" w:lineRule="auto"/>
        <w:rPr>
          <w:b w:val="1"/>
          <w:sz w:val="20"/>
          <w:szCs w:val="20"/>
        </w:rPr>
      </w:pPr>
      <w:r w:rsidDel="00000000" w:rsidR="00000000" w:rsidRPr="00000000">
        <w:rPr>
          <w:b w:val="1"/>
          <w:sz w:val="20"/>
          <w:szCs w:val="20"/>
          <w:rtl w:val="0"/>
        </w:rPr>
        <w:t xml:space="preserve">Key Points:</w:t>
      </w:r>
    </w:p>
    <w:p w:rsidR="00000000" w:rsidDel="00000000" w:rsidP="00000000" w:rsidRDefault="00000000" w:rsidRPr="00000000" w14:paraId="0000001F">
      <w:pPr>
        <w:numPr>
          <w:ilvl w:val="0"/>
          <w:numId w:val="3"/>
        </w:numPr>
        <w:spacing w:after="0" w:afterAutospacing="0" w:before="240" w:line="360" w:lineRule="auto"/>
        <w:ind w:left="720" w:hanging="360"/>
        <w:rPr>
          <w:sz w:val="20"/>
          <w:szCs w:val="20"/>
        </w:rPr>
      </w:pPr>
      <w:r w:rsidDel="00000000" w:rsidR="00000000" w:rsidRPr="00000000">
        <w:rPr>
          <w:sz w:val="20"/>
          <w:szCs w:val="20"/>
          <w:rtl w:val="0"/>
        </w:rPr>
        <w:t xml:space="preserve">Individuals found inadmissible may be denied entry, refused a visa, or subject to removal from Canada.</w:t>
      </w:r>
    </w:p>
    <w:p w:rsidR="00000000" w:rsidDel="00000000" w:rsidP="00000000" w:rsidRDefault="00000000" w:rsidRPr="00000000" w14:paraId="00000020">
      <w:pPr>
        <w:numPr>
          <w:ilvl w:val="0"/>
          <w:numId w:val="3"/>
        </w:numPr>
        <w:spacing w:after="0" w:afterAutospacing="0" w:before="0" w:beforeAutospacing="0" w:line="360" w:lineRule="auto"/>
        <w:ind w:left="720" w:hanging="360"/>
        <w:rPr>
          <w:sz w:val="20"/>
          <w:szCs w:val="20"/>
        </w:rPr>
      </w:pPr>
      <w:r w:rsidDel="00000000" w:rsidR="00000000" w:rsidRPr="00000000">
        <w:rPr>
          <w:sz w:val="20"/>
          <w:szCs w:val="20"/>
          <w:rtl w:val="0"/>
        </w:rPr>
        <w:t xml:space="preserve">Inadmissibility can apply at various stages: application for a visa, at the border, or during a review of status in Canada.</w:t>
      </w:r>
    </w:p>
    <w:p w:rsidR="00000000" w:rsidDel="00000000" w:rsidP="00000000" w:rsidRDefault="00000000" w:rsidRPr="00000000" w14:paraId="00000021">
      <w:pPr>
        <w:numPr>
          <w:ilvl w:val="0"/>
          <w:numId w:val="3"/>
        </w:numPr>
        <w:spacing w:after="0" w:afterAutospacing="0" w:before="0" w:beforeAutospacing="0" w:line="360" w:lineRule="auto"/>
        <w:ind w:left="720" w:hanging="360"/>
        <w:rPr>
          <w:sz w:val="20"/>
          <w:szCs w:val="20"/>
        </w:rPr>
      </w:pPr>
      <w:r w:rsidDel="00000000" w:rsidR="00000000" w:rsidRPr="00000000">
        <w:rPr>
          <w:sz w:val="20"/>
          <w:szCs w:val="20"/>
          <w:rtl w:val="0"/>
        </w:rPr>
        <w:t xml:space="preserve">It is assessed by immigration officers or the Immigration Division (ID) of the Immigration and Refugee Board (IRB), depending on the case.</w:t>
      </w:r>
    </w:p>
    <w:p w:rsidR="00000000" w:rsidDel="00000000" w:rsidP="00000000" w:rsidRDefault="00000000" w:rsidRPr="00000000" w14:paraId="00000022">
      <w:pPr>
        <w:numPr>
          <w:ilvl w:val="0"/>
          <w:numId w:val="3"/>
        </w:numPr>
        <w:spacing w:after="240" w:before="0" w:beforeAutospacing="0" w:line="360" w:lineRule="auto"/>
        <w:ind w:left="720" w:hanging="360"/>
        <w:rPr>
          <w:sz w:val="20"/>
          <w:szCs w:val="20"/>
        </w:rPr>
      </w:pPr>
      <w:r w:rsidDel="00000000" w:rsidR="00000000" w:rsidRPr="00000000">
        <w:rPr>
          <w:sz w:val="20"/>
          <w:szCs w:val="20"/>
          <w:rtl w:val="0"/>
        </w:rPr>
        <w:t xml:space="preserve">May lead to refusal of entry, removal orders, or loss of immigration status.</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Inadmissibility Type</w:t>
      </w:r>
    </w:p>
    <w:p w:rsidR="00000000" w:rsidDel="00000000" w:rsidP="00000000" w:rsidRDefault="00000000" w:rsidRPr="00000000" w14:paraId="00000024">
      <w:pPr>
        <w:rPr>
          <w:b w:val="1"/>
          <w:sz w:val="20"/>
          <w:szCs w:val="20"/>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3.4653465346535"/>
        <w:gridCol w:w="926.7326732673267"/>
        <w:gridCol w:w="4133.227722772277"/>
        <w:gridCol w:w="2446.5742574257424"/>
        <w:tblGridChange w:id="0">
          <w:tblGrid>
            <w:gridCol w:w="1853.4653465346535"/>
            <w:gridCol w:w="926.7326732673267"/>
            <w:gridCol w:w="4133.227722772277"/>
            <w:gridCol w:w="2446.5742574257424"/>
          </w:tblGrid>
        </w:tblGridChange>
      </w:tblGrid>
      <w:tr>
        <w:trPr>
          <w:cantSplit w:val="0"/>
          <w:trHeight w:val="585" w:hRule="atLeast"/>
          <w:tblHeader w:val="0"/>
        </w:trPr>
        <w:tc>
          <w:tcPr>
            <w:tcBorders>
              <w:top w:color="284e3f" w:space="0" w:sz="4" w:val="single"/>
              <w:left w:color="284e3f"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b w:val="1"/>
                <w:color w:val="ffffff"/>
                <w:sz w:val="20"/>
                <w:szCs w:val="20"/>
                <w:rtl w:val="0"/>
              </w:rPr>
              <w:t xml:space="preserve">Ground of Inadmissibility</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b w:val="1"/>
                <w:color w:val="ffffff"/>
                <w:sz w:val="20"/>
                <w:szCs w:val="20"/>
                <w:rtl w:val="0"/>
              </w:rPr>
              <w:t xml:space="preserve">IRPA Section</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b w:val="1"/>
                <w:color w:val="ffffff"/>
                <w:sz w:val="20"/>
                <w:szCs w:val="20"/>
                <w:rtl w:val="0"/>
              </w:rPr>
              <w:t xml:space="preserve">Explanation</w:t>
            </w:r>
            <w:r w:rsidDel="00000000" w:rsidR="00000000" w:rsidRPr="00000000">
              <w:rPr>
                <w:rtl w:val="0"/>
              </w:rPr>
            </w:r>
          </w:p>
        </w:tc>
        <w:tc>
          <w:tcPr>
            <w:tcBorders>
              <w:top w:color="284e3f" w:space="0" w:sz="4" w:val="single"/>
              <w:left w:color="cccccc" w:space="0" w:sz="4" w:val="single"/>
              <w:bottom w:color="284e3f" w:space="0" w:sz="4" w:val="single"/>
              <w:right w:color="284e3f"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b w:val="1"/>
                <w:color w:val="ffffff"/>
                <w:sz w:val="20"/>
                <w:szCs w:val="20"/>
                <w:rtl w:val="0"/>
              </w:rPr>
              <w:t xml:space="preserve">Leading Cases</w:t>
            </w:r>
            <w:r w:rsidDel="00000000" w:rsidR="00000000" w:rsidRPr="00000000">
              <w:rPr>
                <w:rtl w:val="0"/>
              </w:rPr>
            </w:r>
          </w:p>
        </w:tc>
      </w:tr>
      <w:tr>
        <w:trPr>
          <w:cantSplit w:val="0"/>
          <w:trHeight w:val="585" w:hRule="atLeast"/>
          <w:tblHeader w:val="0"/>
        </w:trPr>
        <w:tc>
          <w:tcPr>
            <w:tcBorders>
              <w:top w:color="cccccc" w:space="0" w:sz="4" w:val="single"/>
              <w:left w:color="284e3f"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Security</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s.34</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Involvement in espionage, terrorism, subversion (attempts to overthrow a government, etc.), or threat to Canada's security.</w:t>
            </w:r>
          </w:p>
        </w:tc>
        <w:tc>
          <w:tcPr>
            <w:tcBorders>
              <w:top w:color="cccccc" w:space="0" w:sz="4" w:val="single"/>
              <w:left w:color="cccccc" w:space="0" w:sz="4" w:val="single"/>
              <w:bottom w:color="f6f8f9"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C">
            <w:pPr>
              <w:widowControl w:val="0"/>
              <w:rPr>
                <w:sz w:val="20"/>
                <w:szCs w:val="20"/>
              </w:rPr>
            </w:pPr>
            <w:r w:rsidDel="00000000" w:rsidR="00000000" w:rsidRPr="00000000">
              <w:rPr>
                <w:i w:val="1"/>
                <w:sz w:val="20"/>
                <w:szCs w:val="20"/>
                <w:rtl w:val="0"/>
              </w:rPr>
              <w:t xml:space="preserve">Agraira v. Canada, Suresh v. Canada</w:t>
            </w:r>
            <w:r w:rsidDel="00000000" w:rsidR="00000000" w:rsidRPr="00000000">
              <w:rPr>
                <w:rtl w:val="0"/>
              </w:rPr>
            </w:r>
          </w:p>
        </w:tc>
      </w:tr>
      <w:tr>
        <w:trPr>
          <w:cantSplit w:val="0"/>
          <w:trHeight w:val="585" w:hRule="atLeast"/>
          <w:tblHeader w:val="0"/>
        </w:trPr>
        <w:tc>
          <w:tcPr>
            <w:tcBorders>
              <w:top w:color="cccccc" w:space="0" w:sz="4" w:val="single"/>
              <w:left w:color="284e3f"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Human/International Rights Violations</w:t>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s.35</w:t>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Participation in war crimes, crimes against humanity, or being a senior official in a regime engaged in such violations.</w:t>
            </w:r>
          </w:p>
        </w:tc>
        <w:tc>
          <w:tcPr>
            <w:tcBorders>
              <w:top w:color="cccccc" w:space="0" w:sz="4" w:val="single"/>
              <w:left w:color="cccccc" w:space="0" w:sz="4" w:val="single"/>
              <w:bottom w:color="f6f8f9" w:space="0" w:sz="4" w:val="single"/>
              <w:right w:color="284e3f"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0">
            <w:pPr>
              <w:widowControl w:val="0"/>
              <w:rPr>
                <w:sz w:val="20"/>
                <w:szCs w:val="20"/>
              </w:rPr>
            </w:pPr>
            <w:r w:rsidDel="00000000" w:rsidR="00000000" w:rsidRPr="00000000">
              <w:rPr>
                <w:i w:val="1"/>
                <w:sz w:val="20"/>
                <w:szCs w:val="20"/>
                <w:rtl w:val="0"/>
              </w:rPr>
              <w:t xml:space="preserve">Ezokola v. Canada, Mugesera v. Canada</w:t>
            </w:r>
            <w:r w:rsidDel="00000000" w:rsidR="00000000" w:rsidRPr="00000000">
              <w:rPr>
                <w:rtl w:val="0"/>
              </w:rPr>
            </w:r>
          </w:p>
        </w:tc>
      </w:tr>
      <w:tr>
        <w:trPr>
          <w:cantSplit w:val="0"/>
          <w:trHeight w:val="585" w:hRule="atLeast"/>
          <w:tblHeader w:val="0"/>
        </w:trPr>
        <w:tc>
          <w:tcPr>
            <w:tcBorders>
              <w:top w:color="cccccc" w:space="0" w:sz="4" w:val="single"/>
              <w:left w:color="284e3f"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Serious Criminality</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s.36(1)</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Conviction with a sentence of ≥6 months in Canada or an equivalent foreign offense.</w:t>
            </w:r>
          </w:p>
        </w:tc>
        <w:tc>
          <w:tcPr>
            <w:tcBorders>
              <w:top w:color="cccccc" w:space="0" w:sz="4" w:val="single"/>
              <w:left w:color="cccccc" w:space="0" w:sz="4" w:val="single"/>
              <w:bottom w:color="f6f8f9"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4">
            <w:pPr>
              <w:widowControl w:val="0"/>
              <w:rPr>
                <w:sz w:val="20"/>
                <w:szCs w:val="20"/>
              </w:rPr>
            </w:pPr>
            <w:r w:rsidDel="00000000" w:rsidR="00000000" w:rsidRPr="00000000">
              <w:rPr>
                <w:i w:val="1"/>
                <w:sz w:val="20"/>
                <w:szCs w:val="20"/>
                <w:rtl w:val="0"/>
              </w:rPr>
              <w:t xml:space="preserve">Tran v. Canada, Medovarski v. Canada</w:t>
            </w:r>
            <w:r w:rsidDel="00000000" w:rsidR="00000000" w:rsidRPr="00000000">
              <w:rPr>
                <w:rtl w:val="0"/>
              </w:rPr>
            </w:r>
          </w:p>
        </w:tc>
      </w:tr>
      <w:tr>
        <w:trPr>
          <w:cantSplit w:val="0"/>
          <w:trHeight w:val="585" w:hRule="atLeast"/>
          <w:tblHeader w:val="0"/>
        </w:trPr>
        <w:tc>
          <w:tcPr>
            <w:tcBorders>
              <w:top w:color="cccccc" w:space="0" w:sz="4" w:val="single"/>
              <w:left w:color="284e3f"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Criminality (less serious)</w:t>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s.36(2)</w:t>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Less serious crimes or summary convictions in Canada or abroad.</w:t>
            </w:r>
          </w:p>
        </w:tc>
        <w:tc>
          <w:tcPr>
            <w:tcBorders>
              <w:top w:color="cccccc" w:space="0" w:sz="4" w:val="single"/>
              <w:left w:color="cccccc" w:space="0" w:sz="4" w:val="single"/>
              <w:bottom w:color="f6f8f9" w:space="0" w:sz="4" w:val="single"/>
              <w:right w:color="284e3f"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8">
            <w:pPr>
              <w:widowControl w:val="0"/>
              <w:rPr>
                <w:sz w:val="20"/>
                <w:szCs w:val="20"/>
              </w:rPr>
            </w:pPr>
            <w:r w:rsidDel="00000000" w:rsidR="00000000" w:rsidRPr="00000000">
              <w:rPr>
                <w:i w:val="1"/>
                <w:sz w:val="20"/>
                <w:szCs w:val="20"/>
                <w:rtl w:val="0"/>
              </w:rPr>
              <w:t xml:space="preserve">Williams v. Canada, Hill v. Canada</w:t>
            </w:r>
            <w:r w:rsidDel="00000000" w:rsidR="00000000" w:rsidRPr="00000000">
              <w:rPr>
                <w:rtl w:val="0"/>
              </w:rPr>
            </w:r>
          </w:p>
        </w:tc>
      </w:tr>
      <w:tr>
        <w:trPr>
          <w:cantSplit w:val="0"/>
          <w:trHeight w:val="585" w:hRule="atLeast"/>
          <w:tblHeader w:val="0"/>
        </w:trPr>
        <w:tc>
          <w:tcPr>
            <w:tcBorders>
              <w:top w:color="cccccc" w:space="0" w:sz="4" w:val="single"/>
              <w:left w:color="284e3f"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Organized Criminality</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s.37</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Membership or involvement in criminal organizations or transnational crime.</w:t>
            </w:r>
          </w:p>
        </w:tc>
        <w:tc>
          <w:tcPr>
            <w:tcBorders>
              <w:top w:color="cccccc" w:space="0" w:sz="4" w:val="single"/>
              <w:left w:color="cccccc" w:space="0" w:sz="4" w:val="single"/>
              <w:bottom w:color="f6f8f9"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C">
            <w:pPr>
              <w:widowControl w:val="0"/>
              <w:rPr>
                <w:sz w:val="20"/>
                <w:szCs w:val="20"/>
              </w:rPr>
            </w:pPr>
            <w:r w:rsidDel="00000000" w:rsidR="00000000" w:rsidRPr="00000000">
              <w:rPr>
                <w:i w:val="1"/>
                <w:sz w:val="20"/>
                <w:szCs w:val="20"/>
                <w:rtl w:val="0"/>
              </w:rPr>
              <w:t xml:space="preserve">Medovarski v. Canada, Agraira v. Canada</w:t>
            </w:r>
            <w:r w:rsidDel="00000000" w:rsidR="00000000" w:rsidRPr="00000000">
              <w:rPr>
                <w:rtl w:val="0"/>
              </w:rPr>
            </w:r>
          </w:p>
        </w:tc>
      </w:tr>
      <w:tr>
        <w:trPr>
          <w:cantSplit w:val="0"/>
          <w:trHeight w:val="585" w:hRule="atLeast"/>
          <w:tblHeader w:val="0"/>
        </w:trPr>
        <w:tc>
          <w:tcPr>
            <w:tcBorders>
              <w:top w:color="cccccc" w:space="0" w:sz="4" w:val="single"/>
              <w:left w:color="284e3f"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Health Grounds</w:t>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s.38</w:t>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Medical conditions that may endanger public health/safety or cause excessive demand on health or social services.</w:t>
            </w:r>
          </w:p>
        </w:tc>
        <w:tc>
          <w:tcPr>
            <w:tcBorders>
              <w:top w:color="cccccc" w:space="0" w:sz="4" w:val="single"/>
              <w:left w:color="cccccc" w:space="0" w:sz="4" w:val="single"/>
              <w:bottom w:color="f6f8f9" w:space="0" w:sz="4" w:val="single"/>
              <w:right w:color="284e3f"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0">
            <w:pPr>
              <w:widowControl w:val="0"/>
              <w:rPr>
                <w:sz w:val="20"/>
                <w:szCs w:val="20"/>
              </w:rPr>
            </w:pPr>
            <w:r w:rsidDel="00000000" w:rsidR="00000000" w:rsidRPr="00000000">
              <w:rPr>
                <w:i w:val="1"/>
                <w:sz w:val="20"/>
                <w:szCs w:val="20"/>
                <w:rtl w:val="0"/>
              </w:rPr>
              <w:t xml:space="preserve">Hilewitz v. Canada, De Jong v. Canada</w:t>
            </w:r>
            <w:r w:rsidDel="00000000" w:rsidR="00000000" w:rsidRPr="00000000">
              <w:rPr>
                <w:rtl w:val="0"/>
              </w:rPr>
            </w:r>
          </w:p>
        </w:tc>
      </w:tr>
      <w:tr>
        <w:trPr>
          <w:cantSplit w:val="0"/>
          <w:trHeight w:val="585" w:hRule="atLeast"/>
          <w:tblHeader w:val="0"/>
        </w:trPr>
        <w:tc>
          <w:tcPr>
            <w:tcBorders>
              <w:top w:color="cccccc" w:space="0" w:sz="4" w:val="single"/>
              <w:left w:color="284e3f"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Financial Reasons</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s.39</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Inability to financially support oneself, potentially relying on social assistance.</w:t>
            </w:r>
          </w:p>
        </w:tc>
        <w:tc>
          <w:tcPr>
            <w:tcBorders>
              <w:top w:color="cccccc" w:space="0" w:sz="4" w:val="single"/>
              <w:left w:color="cccccc" w:space="0" w:sz="4" w:val="single"/>
              <w:bottom w:color="f6f8f9"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N/A</w:t>
            </w:r>
          </w:p>
        </w:tc>
      </w:tr>
      <w:tr>
        <w:trPr>
          <w:cantSplit w:val="0"/>
          <w:trHeight w:val="585" w:hRule="atLeast"/>
          <w:tblHeader w:val="0"/>
        </w:trPr>
        <w:tc>
          <w:tcPr>
            <w:tcBorders>
              <w:top w:color="cccccc" w:space="0" w:sz="4" w:val="single"/>
              <w:left w:color="284e3f"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Misrepresentation</w:t>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s.40</w:t>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Providing false information, withholding facts, or misrepresentation in an immigration process.</w:t>
            </w:r>
          </w:p>
        </w:tc>
        <w:tc>
          <w:tcPr>
            <w:tcBorders>
              <w:top w:color="cccccc" w:space="0" w:sz="4" w:val="single"/>
              <w:left w:color="cccccc" w:space="0" w:sz="4" w:val="single"/>
              <w:bottom w:color="f6f8f9" w:space="0" w:sz="4" w:val="single"/>
              <w:right w:color="284e3f"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8">
            <w:pPr>
              <w:widowControl w:val="0"/>
              <w:rPr>
                <w:sz w:val="20"/>
                <w:szCs w:val="20"/>
              </w:rPr>
            </w:pPr>
            <w:r w:rsidDel="00000000" w:rsidR="00000000" w:rsidRPr="00000000">
              <w:rPr>
                <w:i w:val="1"/>
                <w:sz w:val="20"/>
                <w:szCs w:val="20"/>
                <w:rtl w:val="0"/>
              </w:rPr>
              <w:t xml:space="preserve">Sayedi v. Canada, Baro v. Canada</w:t>
            </w:r>
            <w:r w:rsidDel="00000000" w:rsidR="00000000" w:rsidRPr="00000000">
              <w:rPr>
                <w:rtl w:val="0"/>
              </w:rPr>
            </w:r>
          </w:p>
        </w:tc>
      </w:tr>
      <w:tr>
        <w:trPr>
          <w:cantSplit w:val="0"/>
          <w:trHeight w:val="585" w:hRule="atLeast"/>
          <w:tblHeader w:val="0"/>
        </w:trPr>
        <w:tc>
          <w:tcPr>
            <w:tcBorders>
              <w:top w:color="cccccc" w:space="0" w:sz="4" w:val="single"/>
              <w:left w:color="284e3f"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Non-Compliance with IRPA</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s.41</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Breach of immigration requirements (e.g., overstaying, working without authorization).</w:t>
            </w:r>
          </w:p>
        </w:tc>
        <w:tc>
          <w:tcPr>
            <w:tcBorders>
              <w:top w:color="cccccc" w:space="0" w:sz="4" w:val="single"/>
              <w:left w:color="cccccc" w:space="0" w:sz="4" w:val="single"/>
              <w:bottom w:color="f6f8f9"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N/A</w:t>
            </w:r>
          </w:p>
        </w:tc>
      </w:tr>
      <w:tr>
        <w:trPr>
          <w:cantSplit w:val="0"/>
          <w:trHeight w:val="585" w:hRule="atLeast"/>
          <w:tblHeader w:val="0"/>
        </w:trPr>
        <w:tc>
          <w:tcPr>
            <w:tcBorders>
              <w:top w:color="cccccc" w:space="0" w:sz="4" w:val="single"/>
              <w:left w:color="284e3f" w:space="0" w:sz="4" w:val="single"/>
              <w:bottom w:color="284e3f"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Inadmissible Family Member</w:t>
            </w:r>
          </w:p>
        </w:tc>
        <w:tc>
          <w:tcPr>
            <w:tcBorders>
              <w:top w:color="cccccc" w:space="0" w:sz="4" w:val="single"/>
              <w:left w:color="cccccc" w:space="0" w:sz="4" w:val="single"/>
              <w:bottom w:color="284e3f"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s.42</w:t>
            </w:r>
          </w:p>
        </w:tc>
        <w:tc>
          <w:tcPr>
            <w:tcBorders>
              <w:top w:color="cccccc" w:space="0" w:sz="4" w:val="single"/>
              <w:left w:color="cccccc" w:space="0" w:sz="4" w:val="single"/>
              <w:bottom w:color="284e3f"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Family member is inadmissible under any other ground; affects applicant’s admissibility.</w:t>
            </w:r>
          </w:p>
        </w:tc>
        <w:tc>
          <w:tcPr>
            <w:tcBorders>
              <w:top w:color="cccccc" w:space="0" w:sz="4" w:val="single"/>
              <w:left w:color="cccccc" w:space="0" w:sz="4" w:val="single"/>
              <w:bottom w:color="284e3f" w:space="0" w:sz="4" w:val="single"/>
              <w:right w:color="284e3f"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Other keywords:</w:t>
      </w:r>
    </w:p>
    <w:p w:rsidR="00000000" w:rsidDel="00000000" w:rsidP="00000000" w:rsidRDefault="00000000" w:rsidRPr="00000000" w14:paraId="00000053">
      <w:pPr>
        <w:jc w:val="center"/>
        <w:rPr>
          <w:b w:val="1"/>
          <w:sz w:val="20"/>
          <w:szCs w:val="20"/>
        </w:rPr>
      </w:pPr>
      <w:r w:rsidDel="00000000" w:rsidR="00000000" w:rsidRPr="00000000">
        <w:rPr>
          <w:b w:val="1"/>
          <w:sz w:val="20"/>
          <w:szCs w:val="20"/>
          <w:rtl w:val="0"/>
        </w:rPr>
        <w:t xml:space="preserve">Keywords </w:t>
      </w:r>
    </w:p>
    <w:p w:rsidR="00000000" w:rsidDel="00000000" w:rsidP="00000000" w:rsidRDefault="00000000" w:rsidRPr="00000000" w14:paraId="00000054">
      <w:pPr>
        <w:jc w:val="center"/>
        <w:rPr>
          <w:b w:val="1"/>
          <w:sz w:val="20"/>
          <w:szCs w:val="20"/>
        </w:rPr>
      </w:pPr>
      <w:r w:rsidDel="00000000" w:rsidR="00000000" w:rsidRPr="00000000">
        <w:rPr>
          <w:rtl w:val="0"/>
        </w:rPr>
      </w:r>
    </w:p>
    <w:tbl>
      <w:tblPr>
        <w:tblStyle w:val="Table2"/>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035"/>
        <w:gridCol w:w="6510"/>
        <w:tblGridChange w:id="0">
          <w:tblGrid>
            <w:gridCol w:w="2160"/>
            <w:gridCol w:w="1035"/>
            <w:gridCol w:w="6510"/>
          </w:tblGrid>
        </w:tblGridChange>
      </w:tblGrid>
      <w:tr>
        <w:trPr>
          <w:cantSplit w:val="0"/>
          <w:trHeight w:val="585" w:hRule="atLeast"/>
          <w:tblHeader w:val="0"/>
        </w:trPr>
        <w:tc>
          <w:tcPr>
            <w:tcBorders>
              <w:top w:color="284e3f" w:space="0" w:sz="4" w:val="single"/>
              <w:left w:color="284e3f"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5">
            <w:pPr>
              <w:widowControl w:val="0"/>
              <w:rPr>
                <w:sz w:val="20"/>
                <w:szCs w:val="20"/>
              </w:rPr>
            </w:pPr>
            <w:r w:rsidDel="00000000" w:rsidR="00000000" w:rsidRPr="00000000">
              <w:rPr>
                <w:b w:val="1"/>
                <w:color w:val="ffffff"/>
                <w:sz w:val="20"/>
                <w:szCs w:val="20"/>
                <w:rtl w:val="0"/>
              </w:rPr>
              <w:t xml:space="preserve">Ground of Inadmissibility</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6">
            <w:pPr>
              <w:widowControl w:val="0"/>
              <w:rPr>
                <w:sz w:val="20"/>
                <w:szCs w:val="20"/>
              </w:rPr>
            </w:pPr>
            <w:r w:rsidDel="00000000" w:rsidR="00000000" w:rsidRPr="00000000">
              <w:rPr>
                <w:b w:val="1"/>
                <w:color w:val="ffffff"/>
                <w:sz w:val="20"/>
                <w:szCs w:val="20"/>
                <w:rtl w:val="0"/>
              </w:rPr>
              <w:t xml:space="preserve">IRPA  Section</w:t>
            </w:r>
            <w:r w:rsidDel="00000000" w:rsidR="00000000" w:rsidRPr="00000000">
              <w:rPr>
                <w:rtl w:val="0"/>
              </w:rPr>
            </w:r>
          </w:p>
        </w:tc>
        <w:tc>
          <w:tcPr>
            <w:tcBorders>
              <w:top w:color="284e3f" w:space="0" w:sz="4" w:val="single"/>
              <w:left w:color="cccccc" w:space="0" w:sz="4" w:val="single"/>
              <w:bottom w:color="284e3f" w:space="0" w:sz="4" w:val="single"/>
              <w:right w:color="000000"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7">
            <w:pPr>
              <w:widowControl w:val="0"/>
              <w:rPr>
                <w:sz w:val="20"/>
                <w:szCs w:val="20"/>
              </w:rPr>
            </w:pPr>
            <w:r w:rsidDel="00000000" w:rsidR="00000000" w:rsidRPr="00000000">
              <w:rPr>
                <w:b w:val="1"/>
                <w:color w:val="ffffff"/>
                <w:sz w:val="20"/>
                <w:szCs w:val="20"/>
                <w:rtl w:val="0"/>
              </w:rPr>
              <w:t xml:space="preserve">Keywords</w:t>
            </w:r>
            <w:r w:rsidDel="00000000" w:rsidR="00000000" w:rsidRPr="00000000">
              <w:rPr>
                <w:rtl w:val="0"/>
              </w:rPr>
            </w:r>
          </w:p>
        </w:tc>
      </w:tr>
      <w:tr>
        <w:trPr>
          <w:cantSplit w:val="0"/>
          <w:trHeight w:val="585" w:hRule="atLeast"/>
          <w:tblHeader w:val="0"/>
        </w:trPr>
        <w:tc>
          <w:tcPr>
            <w:tcBorders>
              <w:top w:color="cccccc" w:space="0" w:sz="4" w:val="single"/>
              <w:left w:color="284e3f"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Security</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s.34</w:t>
            </w:r>
          </w:p>
        </w:tc>
        <w:tc>
          <w:tcPr>
            <w:tcBorders>
              <w:top w:color="cccccc" w:space="0" w:sz="4" w:val="single"/>
              <w:left w:color="cccccc" w:space="0" w:sz="4" w:val="single"/>
              <w:bottom w:color="f6f8f9" w:space="0" w:sz="4" w:val="single"/>
              <w:right w:color="000000"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Espionage</w:t>
            </w:r>
          </w:p>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Against Canada</w:t>
            </w:r>
          </w:p>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Canada’s Interests </w:t>
            </w:r>
          </w:p>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Subversion</w:t>
            </w:r>
          </w:p>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Democratic Government </w:t>
            </w:r>
          </w:p>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Terrorism</w:t>
            </w:r>
          </w:p>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Danger to Security </w:t>
            </w:r>
          </w:p>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Violence</w:t>
            </w:r>
          </w:p>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Endangerment </w:t>
            </w:r>
          </w:p>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Membership </w:t>
            </w:r>
          </w:p>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Complicity </w:t>
            </w:r>
          </w:p>
        </w:tc>
      </w:tr>
      <w:tr>
        <w:trPr>
          <w:cantSplit w:val="0"/>
          <w:trHeight w:val="585" w:hRule="atLeast"/>
          <w:tblHeader w:val="0"/>
        </w:trPr>
        <w:tc>
          <w:tcPr>
            <w:tcBorders>
              <w:top w:color="cccccc" w:space="0" w:sz="4" w:val="single"/>
              <w:left w:color="284e3f"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Human/International Rights Violations</w:t>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s.35</w:t>
            </w:r>
          </w:p>
        </w:tc>
        <w:tc>
          <w:tcPr>
            <w:tcBorders>
              <w:top w:color="cccccc" w:space="0" w:sz="4" w:val="single"/>
              <w:left w:color="cccccc" w:space="0" w:sz="4" w:val="single"/>
              <w:bottom w:color="f6f8f9" w:space="0" w:sz="4" w:val="single"/>
              <w:right w:color="000000"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Human Rights</w:t>
            </w:r>
          </w:p>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International Rights </w:t>
            </w:r>
          </w:p>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Violations</w:t>
            </w:r>
          </w:p>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Senior Official </w:t>
            </w:r>
          </w:p>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Government </w:t>
            </w:r>
          </w:p>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Regime</w:t>
            </w:r>
          </w:p>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Terrorism </w:t>
            </w:r>
          </w:p>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Genocide </w:t>
            </w:r>
          </w:p>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War Crimes</w:t>
            </w:r>
          </w:p>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Crimes Against Humanity </w:t>
            </w:r>
          </w:p>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Participation</w:t>
            </w:r>
          </w:p>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Contribution</w:t>
            </w:r>
          </w:p>
        </w:tc>
      </w:tr>
      <w:tr>
        <w:trPr>
          <w:cantSplit w:val="0"/>
          <w:trHeight w:val="585" w:hRule="atLeast"/>
          <w:tblHeader w:val="0"/>
        </w:trPr>
        <w:tc>
          <w:tcPr>
            <w:tcBorders>
              <w:top w:color="cccccc" w:space="0" w:sz="4" w:val="single"/>
              <w:left w:color="284e3f"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Serious Criminality</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s.36(1)</w:t>
            </w:r>
          </w:p>
        </w:tc>
        <w:tc>
          <w:tcPr>
            <w:tcBorders>
              <w:top w:color="cccccc" w:space="0" w:sz="4" w:val="single"/>
              <w:left w:color="cccccc" w:space="0" w:sz="4" w:val="single"/>
              <w:bottom w:color="f6f8f9" w:space="0" w:sz="4" w:val="single"/>
              <w:right w:color="000000"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Criminal Conviction</w:t>
            </w:r>
          </w:p>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Foreign Conviction</w:t>
            </w:r>
          </w:p>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Imprisonment </w:t>
            </w:r>
          </w:p>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10 Years/Ten Years</w:t>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Sentence </w:t>
            </w:r>
          </w:p>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Over 6 months/six months </w:t>
            </w:r>
          </w:p>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Serious Indictable Offence</w:t>
            </w:r>
          </w:p>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Commission</w:t>
            </w:r>
          </w:p>
        </w:tc>
      </w:tr>
      <w:tr>
        <w:trPr>
          <w:cantSplit w:val="0"/>
          <w:trHeight w:val="585" w:hRule="atLeast"/>
          <w:tblHeader w:val="0"/>
        </w:trPr>
        <w:tc>
          <w:tcPr>
            <w:tcBorders>
              <w:top w:color="cccccc" w:space="0" w:sz="4" w:val="single"/>
              <w:left w:color="284e3f"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Criminality (less serious)</w:t>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s.36(2)</w:t>
            </w:r>
          </w:p>
        </w:tc>
        <w:tc>
          <w:tcPr>
            <w:tcBorders>
              <w:top w:color="cccccc" w:space="0" w:sz="4" w:val="single"/>
              <w:left w:color="cccccc" w:space="0" w:sz="4" w:val="single"/>
              <w:bottom w:color="f6f8f9" w:space="0" w:sz="4" w:val="single"/>
              <w:right w:color="000000"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Criminal Conviction</w:t>
            </w:r>
          </w:p>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Foreign Conviction</w:t>
            </w:r>
          </w:p>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Indictment</w:t>
            </w:r>
          </w:p>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Indictable Offence </w:t>
            </w:r>
          </w:p>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Summary Offences</w:t>
            </w:r>
          </w:p>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Commission</w:t>
            </w:r>
          </w:p>
        </w:tc>
      </w:tr>
      <w:tr>
        <w:trPr>
          <w:cantSplit w:val="0"/>
          <w:trHeight w:val="585" w:hRule="atLeast"/>
          <w:tblHeader w:val="0"/>
        </w:trPr>
        <w:tc>
          <w:tcPr>
            <w:tcBorders>
              <w:top w:color="cccccc" w:space="0" w:sz="4" w:val="single"/>
              <w:left w:color="284e3f"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Organized Criminality</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s.37</w:t>
            </w:r>
          </w:p>
        </w:tc>
        <w:tc>
          <w:tcPr>
            <w:tcBorders>
              <w:top w:color="cccccc" w:space="0" w:sz="4" w:val="single"/>
              <w:left w:color="cccccc" w:space="0" w:sz="4" w:val="single"/>
              <w:bottom w:color="f6f8f9" w:space="0" w:sz="4" w:val="single"/>
              <w:right w:color="000000"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Membership</w:t>
            </w:r>
          </w:p>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Criminal Activity </w:t>
            </w:r>
          </w:p>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Organized Crime</w:t>
            </w:r>
          </w:p>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Acting in Concert</w:t>
            </w:r>
          </w:p>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People Smuggling</w:t>
            </w:r>
          </w:p>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Trafficking </w:t>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Money Laundering </w:t>
            </w:r>
          </w:p>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Proceeds of Crime</w:t>
            </w:r>
          </w:p>
        </w:tc>
      </w:tr>
      <w:tr>
        <w:trPr>
          <w:cantSplit w:val="0"/>
          <w:trHeight w:val="585" w:hRule="atLeast"/>
          <w:tblHeader w:val="0"/>
        </w:trPr>
        <w:tc>
          <w:tcPr>
            <w:tcBorders>
              <w:top w:color="cccccc" w:space="0" w:sz="4" w:val="single"/>
              <w:left w:color="284e3f"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Health Grounds</w:t>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s.38</w:t>
            </w:r>
          </w:p>
        </w:tc>
        <w:tc>
          <w:tcPr>
            <w:tcBorders>
              <w:top w:color="cccccc" w:space="0" w:sz="4" w:val="single"/>
              <w:left w:color="cccccc" w:space="0" w:sz="4" w:val="single"/>
              <w:bottom w:color="f6f8f9" w:space="0" w:sz="4" w:val="single"/>
              <w:right w:color="000000"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Danger to Public Health</w:t>
            </w:r>
          </w:p>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Danger to Public Safety</w:t>
            </w:r>
          </w:p>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Excessive Demand on Health Services</w:t>
            </w:r>
          </w:p>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Excessive Demand on Social Services</w:t>
            </w:r>
          </w:p>
        </w:tc>
      </w:tr>
      <w:tr>
        <w:trPr>
          <w:cantSplit w:val="0"/>
          <w:trHeight w:val="585" w:hRule="atLeast"/>
          <w:tblHeader w:val="0"/>
        </w:trPr>
        <w:tc>
          <w:tcPr>
            <w:tcBorders>
              <w:top w:color="cccccc" w:space="0" w:sz="4" w:val="single"/>
              <w:left w:color="284e3f"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Financial Reasons</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s.39</w:t>
            </w:r>
          </w:p>
        </w:tc>
        <w:tc>
          <w:tcPr>
            <w:tcBorders>
              <w:top w:color="cccccc" w:space="0" w:sz="4" w:val="single"/>
              <w:left w:color="cccccc" w:space="0" w:sz="4" w:val="single"/>
              <w:bottom w:color="f6f8f9" w:space="0" w:sz="4" w:val="single"/>
              <w:right w:color="000000"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Unable or unwilling to support oneself</w:t>
            </w:r>
          </w:p>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Unable or unwilling to support dependents </w:t>
            </w:r>
          </w:p>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Arrangements for care and support </w:t>
            </w:r>
          </w:p>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Social Assistance </w:t>
            </w:r>
          </w:p>
        </w:tc>
      </w:tr>
      <w:tr>
        <w:trPr>
          <w:cantSplit w:val="0"/>
          <w:trHeight w:val="585" w:hRule="atLeast"/>
          <w:tblHeader w:val="0"/>
        </w:trPr>
        <w:tc>
          <w:tcPr>
            <w:tcBorders>
              <w:top w:color="cccccc" w:space="0" w:sz="4" w:val="single"/>
              <w:left w:color="284e3f"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Misrepresentation</w:t>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s.40</w:t>
            </w:r>
          </w:p>
        </w:tc>
        <w:tc>
          <w:tcPr>
            <w:tcBorders>
              <w:top w:color="cccccc" w:space="0" w:sz="4" w:val="single"/>
              <w:left w:color="cccccc" w:space="0" w:sz="4" w:val="single"/>
              <w:bottom w:color="f6f8f9" w:space="0" w:sz="4" w:val="single"/>
              <w:right w:color="000000"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Misrepresenting </w:t>
            </w:r>
          </w:p>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Withholding </w:t>
            </w:r>
          </w:p>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Material Facts</w:t>
            </w:r>
          </w:p>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Error in Administration </w:t>
            </w:r>
          </w:p>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Non-disclosure </w:t>
            </w:r>
          </w:p>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Omission </w:t>
            </w:r>
          </w:p>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False Statement</w:t>
            </w:r>
          </w:p>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False Information</w:t>
            </w:r>
          </w:p>
        </w:tc>
      </w:tr>
      <w:tr>
        <w:trPr>
          <w:cantSplit w:val="0"/>
          <w:trHeight w:val="585" w:hRule="atLeast"/>
          <w:tblHeader w:val="0"/>
        </w:trPr>
        <w:tc>
          <w:tcPr>
            <w:tcBorders>
              <w:top w:color="cccccc" w:space="0" w:sz="4" w:val="single"/>
              <w:left w:color="284e3f"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Non-Compliance with IRPA</w:t>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s.41</w:t>
            </w:r>
          </w:p>
        </w:tc>
        <w:tc>
          <w:tcPr>
            <w:tcBorders>
              <w:top w:color="cccccc" w:space="0" w:sz="4" w:val="single"/>
              <w:left w:color="cccccc" w:space="0" w:sz="4" w:val="single"/>
              <w:bottom w:color="f6f8f9" w:space="0" w:sz="4" w:val="single"/>
              <w:right w:color="000000"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Contravention</w:t>
            </w:r>
          </w:p>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Non-Compliance </w:t>
            </w:r>
          </w:p>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Failure to Comply </w:t>
            </w:r>
          </w:p>
        </w:tc>
      </w:tr>
      <w:tr>
        <w:trPr>
          <w:cantSplit w:val="0"/>
          <w:trHeight w:val="585" w:hRule="atLeast"/>
          <w:tblHeader w:val="0"/>
        </w:trPr>
        <w:tc>
          <w:tcPr>
            <w:tcBorders>
              <w:top w:color="cccccc" w:space="0" w:sz="4" w:val="single"/>
              <w:left w:color="284e3f" w:space="0" w:sz="4" w:val="single"/>
              <w:bottom w:color="284e3f"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Inadmissible Family Member</w:t>
            </w:r>
          </w:p>
        </w:tc>
        <w:tc>
          <w:tcPr>
            <w:tcBorders>
              <w:top w:color="cccccc" w:space="0" w:sz="4" w:val="single"/>
              <w:left w:color="cccccc" w:space="0" w:sz="4" w:val="single"/>
              <w:bottom w:color="284e3f"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s.42</w:t>
            </w:r>
          </w:p>
        </w:tc>
        <w:tc>
          <w:tcPr>
            <w:tcBorders>
              <w:top w:color="cccccc" w:space="0" w:sz="4" w:val="single"/>
              <w:left w:color="cccccc" w:space="0" w:sz="4" w:val="single"/>
              <w:bottom w:color="284e3f" w:space="0" w:sz="4" w:val="single"/>
              <w:right w:color="000000"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Inadmissible Family Member </w:t>
            </w:r>
          </w:p>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Accompanying Family Member </w:t>
            </w:r>
          </w:p>
        </w:tc>
      </w:tr>
    </w:tbl>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rPr>
          <w:sz w:val="20"/>
          <w:szCs w:val="20"/>
          <w:highlight w:val="yellow"/>
        </w:rPr>
      </w:pPr>
      <w:r w:rsidDel="00000000" w:rsidR="00000000" w:rsidRPr="00000000">
        <w:rPr>
          <w:sz w:val="20"/>
          <w:szCs w:val="20"/>
          <w:highlight w:val="yellow"/>
          <w:rtl w:val="0"/>
        </w:rPr>
        <w:t xml:space="preserve">*“Reasonable grounds to believe” is a keyword for ss. 34 to 37. </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b w:val="1"/>
          <w:sz w:val="20"/>
          <w:szCs w:val="20"/>
          <w:rtl w:val="0"/>
        </w:rPr>
        <w:t xml:space="preserve">Exclusion keywords: </w:t>
      </w:r>
    </w:p>
    <w:p w:rsidR="00000000" w:rsidDel="00000000" w:rsidP="00000000" w:rsidRDefault="00000000" w:rsidRPr="00000000" w14:paraId="000000B2">
      <w:pPr>
        <w:rPr>
          <w:b w:val="1"/>
          <w:sz w:val="20"/>
          <w:szCs w:val="20"/>
        </w:rPr>
      </w:pPr>
      <w:r w:rsidDel="00000000" w:rsidR="00000000" w:rsidRPr="00000000">
        <w:rPr>
          <w:rtl w:val="0"/>
        </w:rPr>
      </w:r>
    </w:p>
    <w:p w:rsidR="00000000" w:rsidDel="00000000" w:rsidP="00000000" w:rsidRDefault="00000000" w:rsidRPr="00000000" w14:paraId="000000B3">
      <w:pPr>
        <w:ind w:left="0" w:firstLine="0"/>
        <w:rPr>
          <w:sz w:val="20"/>
          <w:szCs w:val="20"/>
        </w:rPr>
      </w:pPr>
      <w:r w:rsidDel="00000000" w:rsidR="00000000" w:rsidRPr="00000000">
        <w:rPr>
          <w:sz w:val="20"/>
          <w:szCs w:val="20"/>
          <w:rtl w:val="0"/>
        </w:rPr>
        <w:t xml:space="preserve">For this research, we would like to exclude refugee claims. Please use the keywords below. </w:t>
      </w:r>
    </w:p>
    <w:p w:rsidR="00000000" w:rsidDel="00000000" w:rsidP="00000000" w:rsidRDefault="00000000" w:rsidRPr="00000000" w14:paraId="000000B4">
      <w:pPr>
        <w:ind w:left="0" w:firstLine="0"/>
        <w:rPr>
          <w:sz w:val="20"/>
          <w:szCs w:val="20"/>
        </w:rPr>
      </w:pPr>
      <w:r w:rsidDel="00000000" w:rsidR="00000000" w:rsidRPr="00000000">
        <w:rPr>
          <w:rtl w:val="0"/>
        </w:rPr>
      </w:r>
    </w:p>
    <w:p w:rsidR="00000000" w:rsidDel="00000000" w:rsidP="00000000" w:rsidRDefault="00000000" w:rsidRPr="00000000" w14:paraId="000000B5">
      <w:pPr>
        <w:numPr>
          <w:ilvl w:val="0"/>
          <w:numId w:val="1"/>
        </w:numPr>
        <w:ind w:left="720" w:hanging="360"/>
        <w:rPr>
          <w:sz w:val="20"/>
          <w:szCs w:val="20"/>
        </w:rPr>
      </w:pPr>
      <w:r w:rsidDel="00000000" w:rsidR="00000000" w:rsidRPr="00000000">
        <w:rPr>
          <w:sz w:val="20"/>
          <w:szCs w:val="20"/>
          <w:rtl w:val="0"/>
        </w:rPr>
        <w:t xml:space="preserve">Convention refugee</w:t>
      </w:r>
    </w:p>
    <w:p w:rsidR="00000000" w:rsidDel="00000000" w:rsidP="00000000" w:rsidRDefault="00000000" w:rsidRPr="00000000" w14:paraId="000000B6">
      <w:pPr>
        <w:numPr>
          <w:ilvl w:val="0"/>
          <w:numId w:val="1"/>
        </w:numPr>
        <w:ind w:left="720" w:hanging="360"/>
        <w:rPr>
          <w:sz w:val="20"/>
          <w:szCs w:val="20"/>
        </w:rPr>
      </w:pPr>
      <w:r w:rsidDel="00000000" w:rsidR="00000000" w:rsidRPr="00000000">
        <w:rPr>
          <w:sz w:val="20"/>
          <w:szCs w:val="20"/>
          <w:rtl w:val="0"/>
        </w:rPr>
        <w:t xml:space="preserve">Person in need of protection</w:t>
      </w:r>
    </w:p>
    <w:p w:rsidR="00000000" w:rsidDel="00000000" w:rsidP="00000000" w:rsidRDefault="00000000" w:rsidRPr="00000000" w14:paraId="000000B7">
      <w:pPr>
        <w:numPr>
          <w:ilvl w:val="0"/>
          <w:numId w:val="1"/>
        </w:numPr>
        <w:ind w:left="720" w:hanging="360"/>
        <w:rPr>
          <w:sz w:val="20"/>
          <w:szCs w:val="20"/>
        </w:rPr>
      </w:pPr>
      <w:r w:rsidDel="00000000" w:rsidR="00000000" w:rsidRPr="00000000">
        <w:rPr>
          <w:sz w:val="20"/>
          <w:szCs w:val="20"/>
          <w:rtl w:val="0"/>
        </w:rPr>
        <w:t xml:space="preserve">Refugee claimant </w:t>
      </w:r>
    </w:p>
    <w:p w:rsidR="00000000" w:rsidDel="00000000" w:rsidP="00000000" w:rsidRDefault="00000000" w:rsidRPr="00000000" w14:paraId="000000B8">
      <w:pPr>
        <w:numPr>
          <w:ilvl w:val="0"/>
          <w:numId w:val="1"/>
        </w:numPr>
        <w:ind w:left="720" w:hanging="360"/>
        <w:rPr>
          <w:sz w:val="20"/>
          <w:szCs w:val="20"/>
        </w:rPr>
      </w:pPr>
      <w:r w:rsidDel="00000000" w:rsidR="00000000" w:rsidRPr="00000000">
        <w:rPr>
          <w:sz w:val="20"/>
          <w:szCs w:val="20"/>
          <w:rtl w:val="0"/>
        </w:rPr>
        <w:t xml:space="preserve">Protected person </w:t>
      </w: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b w:val="1"/>
          <w:sz w:val="20"/>
          <w:szCs w:val="20"/>
        </w:rPr>
      </w:pPr>
      <w:r w:rsidDel="00000000" w:rsidR="00000000" w:rsidRPr="00000000">
        <w:rPr>
          <w:rtl w:val="0"/>
        </w:rPr>
      </w:r>
    </w:p>
    <w:p w:rsidR="00000000" w:rsidDel="00000000" w:rsidP="00000000" w:rsidRDefault="00000000" w:rsidRPr="00000000" w14:paraId="000000BB">
      <w:pPr>
        <w:rPr>
          <w:b w:val="1"/>
          <w:sz w:val="20"/>
          <w:szCs w:val="20"/>
        </w:rPr>
      </w:pPr>
      <w:r w:rsidDel="00000000" w:rsidR="00000000" w:rsidRPr="00000000">
        <w:rPr>
          <w:b w:val="1"/>
          <w:sz w:val="20"/>
          <w:szCs w:val="20"/>
          <w:rtl w:val="0"/>
        </w:rPr>
        <w:t xml:space="preserve">Keywords for decisions:</w:t>
      </w:r>
    </w:p>
    <w:p w:rsidR="00000000" w:rsidDel="00000000" w:rsidP="00000000" w:rsidRDefault="00000000" w:rsidRPr="00000000" w14:paraId="000000BC">
      <w:pPr>
        <w:rPr>
          <w:b w:val="1"/>
          <w:sz w:val="20"/>
          <w:szCs w:val="20"/>
        </w:rPr>
      </w:pPr>
      <w:r w:rsidDel="00000000" w:rsidR="00000000" w:rsidRPr="00000000">
        <w:rPr>
          <w:rtl w:val="0"/>
        </w:rPr>
      </w:r>
    </w:p>
    <w:p w:rsidR="00000000" w:rsidDel="00000000" w:rsidP="00000000" w:rsidRDefault="00000000" w:rsidRPr="00000000" w14:paraId="000000BD">
      <w:pPr>
        <w:rPr>
          <w:b w:val="1"/>
          <w:sz w:val="20"/>
          <w:szCs w:val="20"/>
        </w:rPr>
      </w:pPr>
      <w:r w:rsidDel="00000000" w:rsidR="00000000" w:rsidRPr="00000000">
        <w:rPr>
          <w:rtl w:val="0"/>
        </w:rPr>
      </w:r>
    </w:p>
    <w:p w:rsidR="00000000" w:rsidDel="00000000" w:rsidP="00000000" w:rsidRDefault="00000000" w:rsidRPr="00000000" w14:paraId="000000BE">
      <w:pPr>
        <w:rPr>
          <w:b w:val="1"/>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b w:val="1"/>
          <w:sz w:val="20"/>
          <w:szCs w:val="20"/>
          <w:rtl w:val="0"/>
        </w:rPr>
        <w:t xml:space="preserve">Orders of Appeal after Inadmissibility Findings</w:t>
      </w: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sz w:val="20"/>
          <w:szCs w:val="20"/>
          <w:rtl w:val="0"/>
        </w:rPr>
        <w:t xml:space="preserve">When an individual is found inadmissible to Canada, they may have access to various avenues of recourse depending on their immigration status and the grounds of inadmissibility. The process typically begins with a hearing before the Immigration Division (ID) to assess the validity of the inadmissibility finding. If applicable, certain applicants may appeal to the Immigration Appeal Division (IAD). Others may seek judicial review at the Federal Court. In rare cases, further appeals may proceed to the Federal Court of Appeal and the Supreme Court of Canada if leave is granted.</w:t>
      </w: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5.0359712230216"/>
        <w:gridCol w:w="2772.0863309352517"/>
        <w:gridCol w:w="1122.3021582733813"/>
        <w:gridCol w:w="4960.575539568345"/>
        <w:tblGridChange w:id="0">
          <w:tblGrid>
            <w:gridCol w:w="505.0359712230216"/>
            <w:gridCol w:w="2772.0863309352517"/>
            <w:gridCol w:w="1122.3021582733813"/>
            <w:gridCol w:w="4960.57553956834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56854"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356854"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color w:val="ffffff"/>
                <w:sz w:val="20"/>
                <w:szCs w:val="20"/>
                <w:rtl w:val="0"/>
              </w:rPr>
              <w:t xml:space="preserve">Where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356854"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color w:val="ffffff"/>
                <w:sz w:val="20"/>
                <w:szCs w:val="20"/>
                <w:rtl w:val="0"/>
              </w:rPr>
              <w:t xml:space="preserve">Data Source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356854"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color w:val="ffffff"/>
                <w:sz w:val="20"/>
                <w:szCs w:val="20"/>
                <w:rtl w:val="0"/>
              </w:rPr>
              <w:t xml:space="preserve">Note</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Immigration Division (ID)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Excel Data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Immigration Appeal Division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Not Available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Not all applications / applicants are allowed to appeal at IAD.</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Judicial Review at Federal Court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FC</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Federal Court of Appeal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FCA</w:t>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Only if the Federal Court certifies a serious question of general importance.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Supreme Court of Canada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SCC</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Discretionary and rarely granted.</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**Data source name is corresponding to </w:t>
      </w:r>
      <w:r w:rsidDel="00000000" w:rsidR="00000000" w:rsidRPr="00000000">
        <w:rPr>
          <w:b w:val="1"/>
          <w:color w:val="222222"/>
          <w:sz w:val="20"/>
          <w:szCs w:val="20"/>
          <w:rtl w:val="0"/>
        </w:rPr>
        <w:t xml:space="preserve"> </w:t>
      </w:r>
      <w:hyperlink r:id="rId7">
        <w:r w:rsidDel="00000000" w:rsidR="00000000" w:rsidRPr="00000000">
          <w:rPr>
            <w:color w:val="1155cc"/>
            <w:sz w:val="20"/>
            <w:szCs w:val="20"/>
            <w:u w:val="single"/>
            <w:rtl w:val="0"/>
          </w:rPr>
          <w:t xml:space="preserve">https://huggingface.co/datasets/refugee-law-lab/canadian-legal-data</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numPr>
          <w:ilvl w:val="0"/>
          <w:numId w:val="4"/>
        </w:numPr>
        <w:ind w:left="720" w:hanging="360"/>
        <w:rPr/>
      </w:pPr>
      <w:bookmarkStart w:colFirst="0" w:colLast="0" w:name="_392kj1j9a14a" w:id="5"/>
      <w:bookmarkEnd w:id="5"/>
      <w:r w:rsidDel="00000000" w:rsidR="00000000" w:rsidRPr="00000000">
        <w:rPr>
          <w:b w:val="1"/>
          <w:sz w:val="22"/>
          <w:szCs w:val="22"/>
          <w:rtl w:val="0"/>
        </w:rPr>
        <w:t xml:space="preserve">Technical Instructions</w:t>
      </w: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This project with the </w:t>
      </w:r>
      <w:r w:rsidDel="00000000" w:rsidR="00000000" w:rsidRPr="00000000">
        <w:rPr>
          <w:sz w:val="20"/>
          <w:szCs w:val="20"/>
          <w:rtl w:val="0"/>
        </w:rPr>
        <w:t xml:space="preserve">Heron Law Office (AIMICI) has two parts and first we will explain the legal terms for students to be familiar with this topic. </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b w:val="1"/>
          <w:sz w:val="20"/>
          <w:szCs w:val="20"/>
          <w:u w:val="single"/>
        </w:rPr>
      </w:pPr>
      <w:r w:rsidDel="00000000" w:rsidR="00000000" w:rsidRPr="00000000">
        <w:rPr>
          <w:b w:val="1"/>
          <w:sz w:val="20"/>
          <w:szCs w:val="20"/>
          <w:u w:val="single"/>
          <w:rtl w:val="0"/>
        </w:rPr>
        <w:t xml:space="preserve">Part 1: Exploratory Analysis</w:t>
      </w:r>
    </w:p>
    <w:p w:rsidR="00000000" w:rsidDel="00000000" w:rsidP="00000000" w:rsidRDefault="00000000" w:rsidRPr="00000000" w14:paraId="000000E2">
      <w:pPr>
        <w:rPr>
          <w:sz w:val="20"/>
          <w:szCs w:val="20"/>
        </w:rPr>
      </w:pPr>
      <w:r w:rsidDel="00000000" w:rsidR="00000000" w:rsidRPr="00000000">
        <w:rPr>
          <w:sz w:val="20"/>
          <w:szCs w:val="20"/>
          <w:rtl w:val="0"/>
        </w:rPr>
        <w:t xml:space="preserve">W</w:t>
      </w:r>
      <w:r w:rsidDel="00000000" w:rsidR="00000000" w:rsidRPr="00000000">
        <w:rPr>
          <w:sz w:val="20"/>
          <w:szCs w:val="20"/>
          <w:rtl w:val="0"/>
        </w:rPr>
        <w:t xml:space="preserve">e have excel files of the Immigration application data related to inadmissibility from the IRCC (Immigration, Refugee and Citizenship Canada). </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Data source (example): </w:t>
      </w:r>
      <w:hyperlink r:id="rId8">
        <w:r w:rsidDel="00000000" w:rsidR="00000000" w:rsidRPr="00000000">
          <w:rPr>
            <w:color w:val="1155cc"/>
            <w:sz w:val="20"/>
            <w:szCs w:val="20"/>
            <w:u w:val="single"/>
            <w:rtl w:val="0"/>
          </w:rPr>
          <w:t xml:space="preserve">https://docs.google.com/spreadsheets/d/136rLvjSNkfuELQDQtwqYvxLUHYtrQoy2/edit?gid=1753241632#gid=1753241632</w:t>
        </w:r>
      </w:hyperlink>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We’re currently requesting the same data in a tabular format from the IRCC on  all inadmissibility grounds. </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b w:val="1"/>
          <w:sz w:val="20"/>
          <w:szCs w:val="20"/>
        </w:rPr>
      </w:pPr>
      <w:r w:rsidDel="00000000" w:rsidR="00000000" w:rsidRPr="00000000">
        <w:rPr>
          <w:rtl w:val="0"/>
        </w:rPr>
      </w:r>
    </w:p>
    <w:p w:rsidR="00000000" w:rsidDel="00000000" w:rsidP="00000000" w:rsidRDefault="00000000" w:rsidRPr="00000000" w14:paraId="000000E8">
      <w:pPr>
        <w:rPr>
          <w:b w:val="1"/>
          <w:sz w:val="20"/>
          <w:szCs w:val="20"/>
          <w:u w:val="single"/>
        </w:rPr>
      </w:pPr>
      <w:r w:rsidDel="00000000" w:rsidR="00000000" w:rsidRPr="00000000">
        <w:rPr>
          <w:b w:val="1"/>
          <w:sz w:val="20"/>
          <w:szCs w:val="20"/>
          <w:u w:val="single"/>
          <w:rtl w:val="0"/>
        </w:rPr>
        <w:t xml:space="preserve">Part 2: Case Law</w:t>
      </w:r>
    </w:p>
    <w:p w:rsidR="00000000" w:rsidDel="00000000" w:rsidP="00000000" w:rsidRDefault="00000000" w:rsidRPr="00000000" w14:paraId="000000E9">
      <w:pPr>
        <w:rPr>
          <w:sz w:val="20"/>
          <w:szCs w:val="20"/>
        </w:rPr>
      </w:pPr>
      <w:r w:rsidDel="00000000" w:rsidR="00000000" w:rsidRPr="00000000">
        <w:rPr>
          <w:sz w:val="20"/>
          <w:szCs w:val="20"/>
          <w:rtl w:val="0"/>
        </w:rPr>
        <w:t xml:space="preserve">This part of the exercise leverages the research conducted by the York University’s </w:t>
      </w:r>
      <w:r w:rsidDel="00000000" w:rsidR="00000000" w:rsidRPr="00000000">
        <w:rPr>
          <w:sz w:val="20"/>
          <w:szCs w:val="20"/>
          <w:rtl w:val="0"/>
        </w:rPr>
        <w:t xml:space="preserve">Professor Sean Rehaag’s code. </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u w:val="single"/>
        </w:rPr>
      </w:pPr>
      <w:r w:rsidDel="00000000" w:rsidR="00000000" w:rsidRPr="00000000">
        <w:rPr>
          <w:sz w:val="20"/>
          <w:szCs w:val="20"/>
          <w:rtl w:val="0"/>
        </w:rPr>
        <w:t xml:space="preserve">Github: </w:t>
      </w:r>
      <w:hyperlink r:id="rId9">
        <w:r w:rsidDel="00000000" w:rsidR="00000000" w:rsidRPr="00000000">
          <w:rPr>
            <w:sz w:val="20"/>
            <w:szCs w:val="20"/>
            <w:u w:val="single"/>
            <w:rtl w:val="0"/>
          </w:rPr>
          <w:t xml:space="preserve">Luck of the Draw Code</w:t>
        </w:r>
      </w:hyperlink>
      <w:r w:rsidDel="00000000" w:rsidR="00000000" w:rsidRPr="00000000">
        <w:rPr>
          <w:rtl w:val="0"/>
        </w:rPr>
      </w:r>
    </w:p>
    <w:p w:rsidR="00000000" w:rsidDel="00000000" w:rsidP="00000000" w:rsidRDefault="00000000" w:rsidRPr="00000000" w14:paraId="000000EC">
      <w:pPr>
        <w:rPr>
          <w:sz w:val="20"/>
          <w:szCs w:val="20"/>
          <w:u w:val="single"/>
        </w:rPr>
      </w:pPr>
      <w:r w:rsidDel="00000000" w:rsidR="00000000" w:rsidRPr="00000000">
        <w:rPr>
          <w:sz w:val="20"/>
          <w:szCs w:val="20"/>
          <w:rtl w:val="0"/>
        </w:rPr>
        <w:t xml:space="preserve">Dataset: </w:t>
      </w:r>
      <w:hyperlink r:id="rId10">
        <w:r w:rsidDel="00000000" w:rsidR="00000000" w:rsidRPr="00000000">
          <w:rPr>
            <w:sz w:val="20"/>
            <w:szCs w:val="20"/>
            <w:u w:val="single"/>
            <w:rtl w:val="0"/>
          </w:rPr>
          <w:t xml:space="preserve">Supreme Court of Canada Bulk Decisions</w:t>
        </w:r>
      </w:hyperlink>
      <w:r w:rsidDel="00000000" w:rsidR="00000000" w:rsidRPr="00000000">
        <w:rPr>
          <w:sz w:val="20"/>
          <w:szCs w:val="20"/>
          <w:rtl w:val="0"/>
        </w:rPr>
        <w:t xml:space="preserve">- data is scraped from </w:t>
      </w:r>
      <w:hyperlink r:id="rId11">
        <w:r w:rsidDel="00000000" w:rsidR="00000000" w:rsidRPr="00000000">
          <w:rPr>
            <w:sz w:val="20"/>
            <w:szCs w:val="20"/>
            <w:u w:val="single"/>
            <w:rtl w:val="0"/>
          </w:rPr>
          <w:t xml:space="preserve">Federal Court site</w:t>
        </w:r>
      </w:hyperlink>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sz w:val="20"/>
          <w:szCs w:val="20"/>
          <w:rtl w:val="0"/>
        </w:rPr>
        <w:t xml:space="preserve">In the original research, the topic focused on understanding the decision making in the “stay of removal” cases. </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tl w:val="0"/>
        </w:rPr>
        <w:t xml:space="preserve">For our research, we’d like to focus on “Inadmissibility” cases explained in the Legal Introduction section.</w:t>
      </w:r>
    </w:p>
    <w:p w:rsidR="00000000" w:rsidDel="00000000" w:rsidP="00000000" w:rsidRDefault="00000000" w:rsidRPr="00000000" w14:paraId="000000F2">
      <w:pPr>
        <w:rPr>
          <w:sz w:val="20"/>
          <w:szCs w:val="20"/>
        </w:rPr>
      </w:pPr>
      <w:r w:rsidDel="00000000" w:rsidR="00000000" w:rsidRPr="00000000">
        <w:rPr>
          <w:sz w:val="20"/>
          <w:szCs w:val="20"/>
          <w:rtl w:val="0"/>
        </w:rPr>
        <w:t xml:space="preserve">We’re interested in the analysis and findings by inadmissibility type in the table above and you can use keywords listed in the table above.  </w:t>
      </w: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shd w:fill="ffffff" w:val="clear"/>
        <w:rPr>
          <w:color w:val="222222"/>
          <w:sz w:val="20"/>
          <w:szCs w:val="20"/>
        </w:rPr>
      </w:pPr>
      <w:r w:rsidDel="00000000" w:rsidR="00000000" w:rsidRPr="00000000">
        <w:rPr>
          <w:color w:val="222222"/>
          <w:sz w:val="20"/>
          <w:szCs w:val="20"/>
          <w:rtl w:val="0"/>
        </w:rPr>
        <w:t xml:space="preserve">Datasource</w:t>
      </w:r>
      <w:r w:rsidDel="00000000" w:rsidR="00000000" w:rsidRPr="00000000">
        <w:rPr>
          <w:b w:val="1"/>
          <w:color w:val="222222"/>
          <w:sz w:val="20"/>
          <w:szCs w:val="20"/>
          <w:rtl w:val="0"/>
        </w:rPr>
        <w:t xml:space="preserve">: </w:t>
      </w:r>
      <w:hyperlink r:id="rId12">
        <w:r w:rsidDel="00000000" w:rsidR="00000000" w:rsidRPr="00000000">
          <w:rPr>
            <w:color w:val="1155cc"/>
            <w:sz w:val="20"/>
            <w:szCs w:val="20"/>
            <w:u w:val="single"/>
            <w:rtl w:val="0"/>
          </w:rPr>
          <w:t xml:space="preserve">https://huggingface.co/datasets/refugee-law-lab/canadian-legal-data</w:t>
        </w:r>
      </w:hyperlink>
      <w:r w:rsidDel="00000000" w:rsidR="00000000" w:rsidRPr="00000000">
        <w:rPr>
          <w:rtl w:val="0"/>
        </w:rPr>
      </w:r>
    </w:p>
    <w:p w:rsidR="00000000" w:rsidDel="00000000" w:rsidP="00000000" w:rsidRDefault="00000000" w:rsidRPr="00000000" w14:paraId="000000F5">
      <w:pPr>
        <w:shd w:fill="ffffff" w:val="clear"/>
        <w:rPr>
          <w:color w:val="222222"/>
          <w:sz w:val="20"/>
          <w:szCs w:val="20"/>
        </w:rPr>
      </w:pPr>
      <w:hyperlink r:id="rId13">
        <w:r w:rsidDel="00000000" w:rsidR="00000000" w:rsidRPr="00000000">
          <w:rPr>
            <w:color w:val="1155cc"/>
            <w:sz w:val="20"/>
            <w:szCs w:val="20"/>
            <w:u w:val="single"/>
            <w:rtl w:val="0"/>
          </w:rPr>
          <w:t xml:space="preserve">https://refugeelab.ca/bulk-data/scc/</w:t>
        </w:r>
      </w:hyperlink>
      <w:r w:rsidDel="00000000" w:rsidR="00000000" w:rsidRPr="00000000">
        <w:rPr>
          <w:rtl w:val="0"/>
        </w:rPr>
      </w:r>
    </w:p>
    <w:p w:rsidR="00000000" w:rsidDel="00000000" w:rsidP="00000000" w:rsidRDefault="00000000" w:rsidRPr="00000000" w14:paraId="000000F6">
      <w:pPr>
        <w:shd w:fill="ffffff" w:val="clear"/>
        <w:rPr>
          <w:color w:val="222222"/>
          <w:sz w:val="20"/>
          <w:szCs w:val="20"/>
        </w:rPr>
      </w:pPr>
      <w:r w:rsidDel="00000000" w:rsidR="00000000" w:rsidRPr="00000000">
        <w:rPr>
          <w:rtl w:val="0"/>
        </w:rPr>
      </w:r>
    </w:p>
    <w:p w:rsidR="00000000" w:rsidDel="00000000" w:rsidP="00000000" w:rsidRDefault="00000000" w:rsidRPr="00000000" w14:paraId="000000F7">
      <w:pPr>
        <w:shd w:fill="ffffff" w:val="clear"/>
        <w:rPr>
          <w:color w:val="1155cc"/>
          <w:sz w:val="20"/>
          <w:szCs w:val="20"/>
          <w:u w:val="single"/>
        </w:rPr>
      </w:pPr>
      <w:r w:rsidDel="00000000" w:rsidR="00000000" w:rsidRPr="00000000">
        <w:rPr>
          <w:rtl w:val="0"/>
        </w:rPr>
      </w:r>
    </w:p>
    <w:p w:rsidR="00000000" w:rsidDel="00000000" w:rsidP="00000000" w:rsidRDefault="00000000" w:rsidRPr="00000000" w14:paraId="000000F8">
      <w:pPr>
        <w:shd w:fill="ffffff" w:val="clear"/>
        <w:rPr>
          <w:color w:val="222222"/>
          <w:sz w:val="20"/>
          <w:szCs w:val="20"/>
        </w:rPr>
      </w:pPr>
      <w:r w:rsidDel="00000000" w:rsidR="00000000" w:rsidRPr="00000000">
        <w:rPr>
          <w:rtl w:val="0"/>
        </w:rPr>
      </w:r>
    </w:p>
    <w:p w:rsidR="00000000" w:rsidDel="00000000" w:rsidP="00000000" w:rsidRDefault="00000000" w:rsidRPr="00000000" w14:paraId="000000F9">
      <w:pPr>
        <w:shd w:fill="ffffff" w:val="clear"/>
        <w:rPr>
          <w:color w:val="222222"/>
          <w:sz w:val="20"/>
          <w:szCs w:val="20"/>
        </w:rPr>
      </w:pPr>
      <w:r w:rsidDel="00000000" w:rsidR="00000000" w:rsidRPr="00000000">
        <w:rPr>
          <w:color w:val="222222"/>
          <w:sz w:val="20"/>
          <w:szCs w:val="20"/>
          <w:rtl w:val="0"/>
        </w:rPr>
        <w:t xml:space="preserve">Questions to explore:</w:t>
      </w:r>
    </w:p>
    <w:p w:rsidR="00000000" w:rsidDel="00000000" w:rsidP="00000000" w:rsidRDefault="00000000" w:rsidRPr="00000000" w14:paraId="000000FA">
      <w:pPr>
        <w:numPr>
          <w:ilvl w:val="0"/>
          <w:numId w:val="5"/>
        </w:numPr>
        <w:shd w:fill="ffffff" w:val="clear"/>
        <w:ind w:left="720" w:hanging="360"/>
        <w:rPr>
          <w:color w:val="222222"/>
          <w:sz w:val="20"/>
          <w:szCs w:val="20"/>
        </w:rPr>
      </w:pPr>
      <w:r w:rsidDel="00000000" w:rsidR="00000000" w:rsidRPr="00000000">
        <w:rPr>
          <w:color w:val="222222"/>
          <w:sz w:val="20"/>
          <w:szCs w:val="20"/>
          <w:rtl w:val="0"/>
        </w:rPr>
        <w:t xml:space="preserve">Are there biases in the decisions? judge, citizenship, location or certain attributes</w:t>
      </w:r>
    </w:p>
    <w:p w:rsidR="00000000" w:rsidDel="00000000" w:rsidP="00000000" w:rsidRDefault="00000000" w:rsidRPr="00000000" w14:paraId="000000FB">
      <w:pPr>
        <w:numPr>
          <w:ilvl w:val="0"/>
          <w:numId w:val="5"/>
        </w:numPr>
        <w:shd w:fill="ffffff" w:val="clear"/>
        <w:ind w:left="720" w:hanging="360"/>
        <w:rPr>
          <w:color w:val="222222"/>
          <w:sz w:val="20"/>
          <w:szCs w:val="20"/>
        </w:rPr>
      </w:pPr>
      <w:r w:rsidDel="00000000" w:rsidR="00000000" w:rsidRPr="00000000">
        <w:rPr>
          <w:color w:val="222222"/>
          <w:sz w:val="20"/>
          <w:szCs w:val="20"/>
          <w:rtl w:val="0"/>
        </w:rPr>
        <w:t xml:space="preserve">Any trends in the time series? recent trends vs. past trends</w:t>
      </w:r>
    </w:p>
    <w:p w:rsidR="00000000" w:rsidDel="00000000" w:rsidP="00000000" w:rsidRDefault="00000000" w:rsidRPr="00000000" w14:paraId="000000FC">
      <w:pPr>
        <w:numPr>
          <w:ilvl w:val="0"/>
          <w:numId w:val="5"/>
        </w:numPr>
        <w:shd w:fill="ffffff" w:val="clear"/>
        <w:ind w:left="720" w:hanging="360"/>
        <w:rPr>
          <w:color w:val="222222"/>
          <w:sz w:val="20"/>
          <w:szCs w:val="20"/>
        </w:rPr>
      </w:pPr>
      <w:r w:rsidDel="00000000" w:rsidR="00000000" w:rsidRPr="00000000">
        <w:rPr>
          <w:color w:val="222222"/>
          <w:sz w:val="20"/>
          <w:szCs w:val="20"/>
          <w:rtl w:val="0"/>
        </w:rPr>
        <w:t xml:space="preserve">What are other insights found in the data?</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u w:val="single"/>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b w:val="1"/>
          <w:sz w:val="20"/>
          <w:szCs w:val="20"/>
          <w:rtl w:val="0"/>
        </w:rPr>
        <w:t xml:space="preserve">Caution: Deviation from the original Code</w:t>
      </w: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sz w:val="20"/>
          <w:szCs w:val="20"/>
          <w:rtl w:val="0"/>
        </w:rPr>
        <w:t xml:space="preserve">A few things to note when you’re running the professor’s original codes.</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numPr>
          <w:ilvl w:val="0"/>
          <w:numId w:val="2"/>
        </w:numPr>
        <w:ind w:left="720" w:hanging="360"/>
        <w:rPr>
          <w:sz w:val="20"/>
          <w:szCs w:val="20"/>
          <w:u w:val="none"/>
        </w:rPr>
      </w:pPr>
      <w:r w:rsidDel="00000000" w:rsidR="00000000" w:rsidRPr="00000000">
        <w:rPr>
          <w:sz w:val="20"/>
          <w:szCs w:val="20"/>
          <w:rtl w:val="0"/>
        </w:rPr>
        <w:t xml:space="preserve">Error in the code</w:t>
      </w:r>
    </w:p>
    <w:p w:rsidR="00000000" w:rsidDel="00000000" w:rsidP="00000000" w:rsidRDefault="00000000" w:rsidRPr="00000000" w14:paraId="00000105">
      <w:pPr>
        <w:rPr>
          <w:sz w:val="20"/>
          <w:szCs w:val="20"/>
        </w:rPr>
      </w:pPr>
      <w:r w:rsidDel="00000000" w:rsidR="00000000" w:rsidRPr="00000000">
        <w:rPr>
          <w:sz w:val="20"/>
          <w:szCs w:val="20"/>
          <w:rtl w:val="0"/>
        </w:rPr>
        <w:t xml:space="preserve">             When you run the professor’s  codes (1~6) in JupyterNotebook, you’ll encounter a few errors. </w:t>
      </w:r>
    </w:p>
    <w:p w:rsidR="00000000" w:rsidDel="00000000" w:rsidP="00000000" w:rsidRDefault="00000000" w:rsidRPr="00000000" w14:paraId="00000106">
      <w:pPr>
        <w:ind w:left="0" w:firstLine="720"/>
        <w:rPr>
          <w:sz w:val="20"/>
          <w:szCs w:val="20"/>
        </w:rPr>
      </w:pPr>
      <w:r w:rsidDel="00000000" w:rsidR="00000000" w:rsidRPr="00000000">
        <w:rPr>
          <w:sz w:val="20"/>
          <w:szCs w:val="20"/>
          <w:rtl w:val="0"/>
        </w:rPr>
        <w:t xml:space="preserve">Example: you’ll need to run “Read Me” code first before running #1-6. You will need to specify the location of saving the parquet file in code 1. You’ll need to replace OpenAI API keys and model names. I will share the list of these in the coming weeks as much as possible. </w:t>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numPr>
          <w:ilvl w:val="0"/>
          <w:numId w:val="2"/>
        </w:numPr>
        <w:ind w:left="720" w:hanging="360"/>
        <w:rPr>
          <w:sz w:val="20"/>
          <w:szCs w:val="20"/>
          <w:u w:val="none"/>
        </w:rPr>
      </w:pPr>
      <w:r w:rsidDel="00000000" w:rsidR="00000000" w:rsidRPr="00000000">
        <w:rPr>
          <w:sz w:val="20"/>
          <w:szCs w:val="20"/>
          <w:rtl w:val="0"/>
        </w:rPr>
        <w:t xml:space="preserve">Version of Open AI Model</w:t>
      </w:r>
    </w:p>
    <w:p w:rsidR="00000000" w:rsidDel="00000000" w:rsidP="00000000" w:rsidRDefault="00000000" w:rsidRPr="00000000" w14:paraId="00000109">
      <w:pPr>
        <w:rPr>
          <w:sz w:val="20"/>
          <w:szCs w:val="20"/>
        </w:rPr>
      </w:pPr>
      <w:r w:rsidDel="00000000" w:rsidR="00000000" w:rsidRPr="00000000">
        <w:rPr>
          <w:sz w:val="20"/>
          <w:szCs w:val="20"/>
          <w:rtl w:val="0"/>
        </w:rPr>
        <w:t xml:space="preserve">The original code uses the “gpt-3.5-turbo”. It is ideal to switch with the “gpt-4o-mini” for cost performance. </w: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numPr>
          <w:ilvl w:val="0"/>
          <w:numId w:val="2"/>
        </w:numPr>
        <w:ind w:left="720" w:hanging="360"/>
        <w:rPr>
          <w:sz w:val="20"/>
          <w:szCs w:val="20"/>
          <w:u w:val="none"/>
        </w:rPr>
      </w:pPr>
      <w:r w:rsidDel="00000000" w:rsidR="00000000" w:rsidRPr="00000000">
        <w:rPr>
          <w:sz w:val="20"/>
          <w:szCs w:val="20"/>
          <w:rtl w:val="0"/>
        </w:rPr>
        <w:t xml:space="preserve">Training Files</w:t>
      </w:r>
    </w:p>
    <w:p w:rsidR="00000000" w:rsidDel="00000000" w:rsidP="00000000" w:rsidRDefault="00000000" w:rsidRPr="00000000" w14:paraId="0000010D">
      <w:pPr>
        <w:rPr>
          <w:sz w:val="20"/>
          <w:szCs w:val="20"/>
        </w:rPr>
      </w:pPr>
      <w:r w:rsidDel="00000000" w:rsidR="00000000" w:rsidRPr="00000000">
        <w:rPr>
          <w:sz w:val="20"/>
          <w:szCs w:val="20"/>
          <w:rtl w:val="0"/>
        </w:rPr>
        <w:t xml:space="preserve">The original code uses three training human coded excel files below. </w:t>
      </w:r>
    </w:p>
    <w:p w:rsidR="00000000" w:rsidDel="00000000" w:rsidP="00000000" w:rsidRDefault="00000000" w:rsidRPr="00000000" w14:paraId="0000010E">
      <w:pPr>
        <w:rPr>
          <w:sz w:val="20"/>
          <w:szCs w:val="20"/>
        </w:rPr>
      </w:pPr>
      <w:r w:rsidDel="00000000" w:rsidR="00000000" w:rsidRPr="00000000">
        <w:rPr>
          <w:sz w:val="20"/>
          <w:szCs w:val="20"/>
          <w:rtl w:val="0"/>
        </w:rPr>
        <w:t xml:space="preserve">https://github.com/Refugee-Law-Lab/luck-of-the-draw-iii/tree/main/training_data</w:t>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Instead of using excel files, we would like your team to create the training data sets for categorizing cases using keywords from the legal section.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You may be able to use the same file for extracting judge names as this is more generic.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 also testing part 2 of the professor's original code, so I will share my findings in the coming week. As part 2 may require some code changes, your team can come up with alternative models or solutions as well. </w:t>
      </w: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numPr>
          <w:ilvl w:val="0"/>
          <w:numId w:val="2"/>
        </w:numPr>
        <w:ind w:left="720" w:hanging="360"/>
        <w:rPr>
          <w:sz w:val="20"/>
          <w:szCs w:val="20"/>
          <w:u w:val="none"/>
        </w:rPr>
      </w:pPr>
      <w:r w:rsidDel="00000000" w:rsidR="00000000" w:rsidRPr="00000000">
        <w:rPr>
          <w:sz w:val="20"/>
          <w:szCs w:val="20"/>
          <w:rtl w:val="0"/>
        </w:rPr>
        <w:t xml:space="preserve">Share final GitHub codes</w:t>
      </w:r>
    </w:p>
    <w:p w:rsidR="00000000" w:rsidDel="00000000" w:rsidP="00000000" w:rsidRDefault="00000000" w:rsidRPr="00000000" w14:paraId="00000118">
      <w:pPr>
        <w:rPr>
          <w:sz w:val="20"/>
          <w:szCs w:val="20"/>
        </w:rPr>
      </w:pPr>
      <w:r w:rsidDel="00000000" w:rsidR="00000000" w:rsidRPr="00000000">
        <w:rPr>
          <w:sz w:val="20"/>
          <w:szCs w:val="20"/>
          <w:rtl w:val="0"/>
        </w:rPr>
        <w:t xml:space="preserve">Please publish your entire codes to GitHub and share with us at the end of </w:t>
      </w:r>
    </w:p>
    <w:p w:rsidR="00000000" w:rsidDel="00000000" w:rsidP="00000000" w:rsidRDefault="00000000" w:rsidRPr="00000000" w14:paraId="00000119">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ct-cf.gc.ca/en/court-files-and-decisions/court-files" TargetMode="External"/><Relationship Id="rId10" Type="http://schemas.openxmlformats.org/officeDocument/2006/relationships/hyperlink" Target="https://refugeelab.ca/bulk-data/scc/" TargetMode="External"/><Relationship Id="rId13" Type="http://schemas.openxmlformats.org/officeDocument/2006/relationships/hyperlink" Target="https://refugeelab.ca/bulk-data/scc/" TargetMode="External"/><Relationship Id="rId12" Type="http://schemas.openxmlformats.org/officeDocument/2006/relationships/hyperlink" Target="https://huggingface.co/datasets/refugee-law-lab/canadian-legal-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efugee-Law-Lab/luck-of-the-draw-iii/tree/main" TargetMode="External"/><Relationship Id="rId5" Type="http://schemas.openxmlformats.org/officeDocument/2006/relationships/styles" Target="styles.xml"/><Relationship Id="rId6" Type="http://schemas.openxmlformats.org/officeDocument/2006/relationships/hyperlink" Target="https://papers.ssrn.com/sol3/papers.cfm?abstract_id=4322881" TargetMode="External"/><Relationship Id="rId7" Type="http://schemas.openxmlformats.org/officeDocument/2006/relationships/hyperlink" Target="https://huggingface.co/datasets/refugee-law-lab/canadian-legal-data" TargetMode="External"/><Relationship Id="rId8" Type="http://schemas.openxmlformats.org/officeDocument/2006/relationships/hyperlink" Target="https://docs.google.com/spreadsheets/d/136rLvjSNkfuELQDQtwqYvxLUHYtrQoy2/edit?gid=1753241632#gid=1753241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