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ch728/cucurbit-usda@6b27e33</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 ??.</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obtained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can also be used to guide future experments</w:t>
      </w:r>
      <w:r>
        <w:t xml:space="preserve"> </w:t>
      </w:r>
      <w:r>
        <w:t xml:space="preserve">aimed at biological insight.</w:t>
      </w:r>
    </w:p>
    <w:p>
      <w:pPr>
        <w:pStyle w:val="BodyText"/>
      </w:pPr>
      <w:r>
        <w:t xml:space="preserve">These data could be used to develop germplasm</w:t>
      </w:r>
      <w:r>
        <w:t xml:space="preserve"> </w:t>
      </w:r>
      <w:r>
        <w:t xml:space="preserve">specific marker panels for use in breeding applications, as has been done in</w:t>
      </w:r>
      <w:r>
        <w:t xml:space="preserve"> </w:t>
      </w:r>
      <w:r>
        <w:t xml:space="preserve">other crops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Alghough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any of the public-sector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 {</w:t>
      </w:r>
      <w:r>
        <w:t xml:space="preserve">[</w:t>
      </w:r>
      <w:hyperlink w:anchor="ref-uhQcTznF">
        <w:r>
          <w:rPr>
            <w:rStyle w:val="Hyperlink"/>
          </w:rPr>
          <w:t xml:space="preserve">37</w:t>
        </w:r>
      </w:hyperlink>
      <w:r>
        <w:t xml:space="preserve">]</w:t>
      </w:r>
      <w:r>
        <w:t xml:space="preserve"> </w:t>
      </w:r>
      <w:r>
        <w:t xml:space="preserve">;</w:t>
      </w:r>
      <w:r>
        <w:t xml:space="preserve"> </w:t>
      </w:r>
      <w:r>
        <w:t xml:space="preserve">[</w:t>
      </w:r>
      <w:hyperlink w:anchor="ref-1Bk2DOimZ">
        <w:r>
          <w:rPr>
            <w:rStyle w:val="Hyperlink"/>
          </w:rPr>
          <w:t xml:space="preserve">38</w:t>
        </w:r>
      </w:hyperlink>
      <w:r>
        <w:t xml:space="preserve">]</w:t>
      </w:r>
      <w:r>
        <w:t xml:space="preserve"> </w:t>
      </w:r>
      <w:r>
        <w:t xml:space="preserve">;</w:t>
      </w:r>
      <w:r>
        <w:t xml:space="preserve"> </w:t>
      </w:r>
      <w:r>
        <w:t xml:space="preserve">[</w:t>
      </w:r>
      <w:hyperlink w:anchor="ref-cccKQqlH">
        <w:r>
          <w:rPr>
            <w:rStyle w:val="Hyperlink"/>
          </w:rPr>
          <w:t xml:space="preserve">9</w:t>
        </w:r>
      </w:hyperlink>
      <w:r>
        <w:t xml:space="preserve">]</w:t>
      </w:r>
      <w:r>
        <w:t xml:space="preserve">}. Since</w:t>
      </w:r>
      <w:r>
        <w:t xml:space="preserve"> </w:t>
      </w:r>
      <w:r>
        <w:t xml:space="preserve">cucurbit crops are more seed-limited than space-limited, a predict-part-test-part or sparse</w:t>
      </w:r>
      <w:r>
        <w:t xml:space="preserve"> </w:t>
      </w:r>
      <w:r>
        <w:t xml:space="preserve">testing strategy is an obvious starting point {</w:t>
      </w:r>
      <w:r>
        <w:t xml:space="preserve">[</w:t>
      </w:r>
      <w:hyperlink w:anchor="ref-doi.org/10.3389/fpls.2021.658978">
        <w:r>
          <w:rPr>
            <w:rStyle w:val="Hyperlink"/>
            <w:bCs/>
            <w:b/>
          </w:rPr>
          <w:t xml:space="preserve">doi.org/10.3389/fpls.2021.658978?</w:t>
        </w:r>
      </w:hyperlink>
      <w:r>
        <w:t xml:space="preserve">]</w:t>
      </w:r>
      <w:r>
        <w:t xml:space="preserve">}. Selective</w:t>
      </w:r>
      <w:r>
        <w:t xml:space="preserve"> </w:t>
      </w:r>
      <w:r>
        <w:t xml:space="preserve">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 {</w:t>
      </w:r>
      <w:r>
        <w:t xml:space="preserve">[</w:t>
      </w:r>
      <w:hyperlink w:anchor="ref-6QvaEUvI">
        <w:r>
          <w:rPr>
            <w:rStyle w:val="Hyperlink"/>
          </w:rPr>
          <w:t xml:space="preserve">39</w:t>
        </w:r>
      </w:hyperlink>
      <w:r>
        <w:t xml:space="preserve">]</w:t>
      </w:r>
      <w:r>
        <w:t xml:space="preserve">}.</w:t>
      </w:r>
    </w:p>
    <w:p>
      <w:pPr>
        <w:pStyle w:val="BodyText"/>
      </w:pPr>
      <w:r>
        <w:t xml:space="preserve">Outside of breeding, these data can be used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 in mapping studies and for germplasm</w:t>
      </w:r>
      <w:r>
        <w:t xml:space="preserve"> </w:t>
      </w:r>
      <w:r>
        <w:t xml:space="preserve">improvement, as was the case for mapping Phytophthora resistance and developing resistant</w:t>
      </w:r>
      <w:r>
        <w:t xml:space="preserve"> </w:t>
      </w:r>
      <w:r>
        <w:t xml:space="preserve">breeding lines (</w:t>
      </w:r>
      <w:r>
        <w:t xml:space="preserve">[</w:t>
      </w:r>
      <w:hyperlink w:anchor="ref-19dH3oEl">
        <w:r>
          <w:rPr>
            <w:rStyle w:val="Hyperlink"/>
          </w:rPr>
          <w:t xml:space="preserve">40</w:t>
        </w:r>
      </w:hyperlink>
      <w:r>
        <w:t xml:space="preserve">]</w:t>
      </w:r>
      <w:r>
        <w:t xml:space="preserve">;</w:t>
      </w:r>
      <w:r>
        <w:t xml:space="preserve"> </w:t>
      </w:r>
      <w:r>
        <w:t xml:space="preserve">[</w:t>
      </w:r>
      <w:hyperlink w:anchor="ref-1Fqob4Pjw">
        <w:r>
          <w:rPr>
            <w:rStyle w:val="Hyperlink"/>
          </w:rPr>
          <w:t xml:space="preserve">41</w:t>
        </w:r>
      </w:hyperlink>
      <w:r>
        <w:t xml:space="preserve">]</w:t>
      </w:r>
      <w:r>
        <w:t xml:space="preserve">). In cases,</w:t>
      </w:r>
      <w:r>
        <w:t xml:space="preserve"> </w:t>
      </w:r>
      <w:r>
        <w:t xml:space="preserve">were 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p>
      <w:pPr>
        <w:pStyle w:val="BodyText"/>
      </w:pPr>
      <w:r>
        <w:t xml:space="preserve">Unlike many other outcrossing monoicous crops such as, maize and onion, cultivars from Cucurbita,</w:t>
      </w:r>
      <w:r>
        <w:t xml:space="preserve"> </w:t>
      </w:r>
      <w:r>
        <w:t xml:space="preserve">similar to sunflower, do not suffer from debilatating inbreeding depression resulting in a</w:t>
      </w:r>
      <w:r>
        <w:t xml:space="preserve"> </w:t>
      </w:r>
      <w:r>
        <w:t xml:space="preserve">severe reduction in vigor and fertility (Whitaker and Davis, 1962).</w:t>
      </w:r>
      <w:r>
        <w:t xml:space="preserve"> </w:t>
      </w:r>
      <w:r>
        <w:t xml:space="preserve">With little inbreeding depression, it would stand that little better-parent heterosis could</w:t>
      </w:r>
      <w:r>
        <w:t xml:space="preserve"> </w:t>
      </w:r>
      <w:r>
        <w:t xml:space="preserve">be achieved considering the dominance theory of heterosis.</w:t>
      </w:r>
      <w:r>
        <w:t xml:space="preserve"> </w:t>
      </w:r>
      <w:r>
        <w:t xml:space="preserve">There were initial papers that suggested that inbreeding in Cucurbita may not simply reduce</w:t>
      </w:r>
      <w:r>
        <w:t xml:space="preserve"> </w:t>
      </w:r>
      <w:r>
        <w:t xml:space="preserve">yeild as inbred varieties have the capacity to compete with commercial check cultivars;</w:t>
      </w:r>
      <w:r>
        <w:t xml:space="preserve"> </w:t>
      </w:r>
      <w:r>
        <w:t xml:space="preserve">however, better-parent heterosis has been observed in a Cucurbita pepo and C</w:t>
      </w:r>
      <w:r>
        <w:t xml:space="preserve"> </w:t>
      </w:r>
      <w:r>
        <w:t xml:space="preserve">ucurbita maxima (Firpo et. al., 1998).</w:t>
      </w:r>
      <w:r>
        <w:t xml:space="preserve"> </w:t>
      </w:r>
      <w:r>
        <w:t xml:space="preserve">Although better-parent heterosis has been observed, inbred cultivars remain competitive</w:t>
      </w:r>
      <w:r>
        <w:t xml:space="preserve"> </w:t>
      </w:r>
      <w:r>
        <w:t xml:space="preserve">with there hybrid counter-parts.</w:t>
      </w:r>
      <w:r>
        <w:t xml:space="preserve"> </w:t>
      </w:r>
      <w:r>
        <w:t xml:space="preserve">It has been suggested that the oddity of Cucurbita not suffering high levels of</w:t>
      </w:r>
      <w:r>
        <w:t xml:space="preserve"> </w:t>
      </w:r>
      <w:r>
        <w:t xml:space="preserve">inbreeding depression is the result of an archaic population bottleneck.</w:t>
      </w:r>
      <w:r>
        <w:t xml:space="preserve"> </w:t>
      </w:r>
      <w:r>
        <w:t xml:space="preserve">The population bottleneck would effectively lead to greater levels of population</w:t>
      </w:r>
      <w:r>
        <w:t xml:space="preserve"> </w:t>
      </w:r>
      <w:r>
        <w:t xml:space="preserve">homogeneity through many variants in the initial population being lost and the</w:t>
      </w:r>
      <w:r>
        <w:t xml:space="preserve"> </w:t>
      </w:r>
      <w:r>
        <w:t xml:space="preserve">low-frequency alleles post-bottleneck having a greater probability of becoming lost.</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34" w:name="references"/>
    <w:p>
      <w:pPr>
        <w:pStyle w:val="Heading2"/>
      </w:pPr>
      <w:r>
        <w:t xml:space="preserve">References</w:t>
      </w:r>
    </w:p>
    <w:bookmarkStart w:id="233"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5"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p>
    <w:bookmarkEnd w:id="215"/>
    <w:bookmarkStart w:id="217" w:name="ref-uhQcTznF"/>
    <w:p>
      <w:pPr>
        <w:pStyle w:val="Bibliography"/>
      </w:pPr>
      <w:r>
        <w:t xml:space="preserve">37.</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216">
        <w:r>
          <w:rPr>
            <w:rStyle w:val="Hyperlink"/>
          </w:rPr>
          <w:t xml:space="preserve">doi.org/10.1534/g3.120.401215</w:t>
        </w:r>
      </w:hyperlink>
    </w:p>
    <w:bookmarkEnd w:id="217"/>
    <w:bookmarkStart w:id="220"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8">
        <w:r>
          <w:rPr>
            <w:rStyle w:val="Hyperlink"/>
          </w:rPr>
          <w:t xml:space="preserve">https://doi.org/gmndwq</w:t>
        </w:r>
      </w:hyperlink>
      <w:r>
        <w:t xml:space="preserve"> </w:t>
      </w:r>
      <w:r>
        <w:t xml:space="preserve">DOI:</w:t>
      </w:r>
      <w:r>
        <w:t xml:space="preserve"> </w:t>
      </w:r>
      <w:hyperlink r:id="rId219">
        <w:r>
          <w:rPr>
            <w:rStyle w:val="Hyperlink"/>
          </w:rPr>
          <w:t xml:space="preserve">doi.org/10.3390/agronomy10060847</w:t>
        </w:r>
      </w:hyperlink>
    </w:p>
    <w:bookmarkEnd w:id="220"/>
    <w:bookmarkStart w:id="225"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1">
        <w:r>
          <w:rPr>
            <w:rStyle w:val="Hyperlink"/>
          </w:rPr>
          <w:t xml:space="preserve">https://doi.org/gmfpfj</w:t>
        </w:r>
      </w:hyperlink>
      <w:r>
        <w:t xml:space="preserve"> </w:t>
      </w:r>
      <w:r>
        <w:t xml:space="preserve">DOI:</w:t>
      </w:r>
      <w:r>
        <w:t xml:space="preserve"> </w:t>
      </w:r>
      <w:hyperlink r:id="rId222">
        <w:r>
          <w:rPr>
            <w:rStyle w:val="Hyperlink"/>
          </w:rPr>
          <w:t xml:space="preserve">10.3389/fpls.2020.00353</w:t>
        </w:r>
      </w:hyperlink>
      <w:r>
        <w:t xml:space="preserve"> </w:t>
      </w:r>
      <w:r>
        <w:t xml:space="preserve">· PMID:</w:t>
      </w:r>
      <w:r>
        <w:t xml:space="preserve"> </w:t>
      </w:r>
      <w:hyperlink r:id="rId223">
        <w:r>
          <w:rPr>
            <w:rStyle w:val="Hyperlink"/>
          </w:rPr>
          <w:t xml:space="preserve">32292411</w:t>
        </w:r>
      </w:hyperlink>
      <w:r>
        <w:t xml:space="preserve"> </w:t>
      </w:r>
      <w:r>
        <w:t xml:space="preserve">· PMCID:</w:t>
      </w:r>
      <w:r>
        <w:t xml:space="preserve"> </w:t>
      </w:r>
      <w:hyperlink r:id="rId224">
        <w:r>
          <w:rPr>
            <w:rStyle w:val="Hyperlink"/>
          </w:rPr>
          <w:t xml:space="preserve">PMC7119190</w:t>
        </w:r>
      </w:hyperlink>
    </w:p>
    <w:bookmarkEnd w:id="225"/>
    <w:bookmarkStart w:id="229" w:name="ref-19dH3oEl"/>
    <w:p>
      <w:pPr>
        <w:pStyle w:val="Bibliography"/>
      </w:pPr>
      <w:r>
        <w:t xml:space="preserve">40.</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26">
        <w:r>
          <w:rPr>
            <w:rStyle w:val="Hyperlink"/>
          </w:rPr>
          <w:t xml:space="preserve">https://doi.org/gmndwj</w:t>
        </w:r>
      </w:hyperlink>
      <w:r>
        <w:t xml:space="preserve"> </w:t>
      </w:r>
      <w:r>
        <w:t xml:space="preserve">DOI:</w:t>
      </w:r>
      <w:r>
        <w:t xml:space="preserve"> </w:t>
      </w:r>
      <w:hyperlink r:id="rId227">
        <w:r>
          <w:rPr>
            <w:rStyle w:val="Hyperlink"/>
          </w:rPr>
          <w:t xml:space="preserve">10.1007/s00122-020-03747-1</w:t>
        </w:r>
      </w:hyperlink>
      <w:r>
        <w:t xml:space="preserve"> </w:t>
      </w:r>
      <w:r>
        <w:t xml:space="preserve">· PMID:</w:t>
      </w:r>
      <w:r>
        <w:t xml:space="preserve"> </w:t>
      </w:r>
      <w:hyperlink r:id="rId228">
        <w:r>
          <w:rPr>
            <w:rStyle w:val="Hyperlink"/>
          </w:rPr>
          <w:t xml:space="preserve">33388885</w:t>
        </w:r>
      </w:hyperlink>
    </w:p>
    <w:bookmarkEnd w:id="229"/>
    <w:bookmarkStart w:id="232" w:name="ref-1Fqob4Pjw"/>
    <w:p>
      <w:pPr>
        <w:pStyle w:val="Bibliography"/>
      </w:pPr>
      <w:r>
        <w:t xml:space="preserve">41.</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0">
        <w:r>
          <w:rPr>
            <w:rStyle w:val="Hyperlink"/>
          </w:rPr>
          <w:t xml:space="preserve">https://doi.org/gmndwp</w:t>
        </w:r>
      </w:hyperlink>
      <w:r>
        <w:t xml:space="preserve"> </w:t>
      </w:r>
      <w:r>
        <w:t xml:space="preserve">DOI:</w:t>
      </w:r>
      <w:r>
        <w:t xml:space="preserve"> </w:t>
      </w:r>
      <w:hyperlink r:id="rId231">
        <w:r>
          <w:rPr>
            <w:rStyle w:val="Hyperlink"/>
          </w:rPr>
          <w:t xml:space="preserve">10.21273/horttech04636-20</w:t>
        </w:r>
      </w:hyperlink>
    </w:p>
    <w:bookmarkEnd w:id="232"/>
    <w:bookmarkEnd w:id="233"/>
    <w:bookmarkEnd w:id="23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6b27e3338c4c76b5e23320e6b9337a3ee86213f5/" TargetMode="External" /><Relationship Type="http://schemas.openxmlformats.org/officeDocument/2006/relationships/hyperlink" Id="rId59" Target="https://doi.org/10.1007/978-0-387-30443-4_10" TargetMode="External" /><Relationship Type="http://schemas.openxmlformats.org/officeDocument/2006/relationships/hyperlink" Id="rId227"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6" Target="https://doi.org/gmndwj" TargetMode="External" /><Relationship Type="http://schemas.openxmlformats.org/officeDocument/2006/relationships/hyperlink" Id="rId230" Target="https://doi.org/gmndwp" TargetMode="External" /><Relationship Type="http://schemas.openxmlformats.org/officeDocument/2006/relationships/hyperlink" Id="rId218" Target="https://doi.org/gmndwq"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6b27e3338c4c76b5e23320e6b9337a3ee86213f5"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8"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6b27e3338c4c76b5e23320e6b9337a3ee86213f5/" TargetMode="External" /><Relationship Type="http://schemas.openxmlformats.org/officeDocument/2006/relationships/hyperlink" Id="rId59" Target="https://doi.org/10.1007/978-0-387-30443-4_10" TargetMode="External" /><Relationship Type="http://schemas.openxmlformats.org/officeDocument/2006/relationships/hyperlink" Id="rId227"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31"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6" Target="https://doi.org/gmndwj" TargetMode="External" /><Relationship Type="http://schemas.openxmlformats.org/officeDocument/2006/relationships/hyperlink" Id="rId230" Target="https://doi.org/gmndwp" TargetMode="External" /><Relationship Type="http://schemas.openxmlformats.org/officeDocument/2006/relationships/hyperlink" Id="rId218" Target="https://doi.org/gmndwq"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6b27e3338c4c76b5e23320e6b9337a3ee86213f5"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28"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2021-08-30T20:32:13Z</dcterms:created>
  <dcterms:modified xsi:type="dcterms:W3CDTF">2021-08-30T20:32:13Z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