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1.png" ContentType="image/png"/>
  <Override PartName="/word/media/rId48.png" ContentType="image/png"/>
  <Override PartName="/word/media/rId54.svg" ContentType="image/svg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Characterization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USDA</w:t>
      </w:r>
      <w:r>
        <w:t xml:space="preserve"> </w:t>
      </w:r>
      <w:r>
        <w:t xml:space="preserve">Cucurbita</w:t>
      </w:r>
      <w:r>
        <w:t xml:space="preserve"> </w:t>
      </w:r>
      <w:r>
        <w:t xml:space="preserve">pepo,</w:t>
      </w:r>
      <w:r>
        <w:t xml:space="preserve"> </w:t>
      </w:r>
      <w:r>
        <w:t xml:space="preserve">Cucurbita</w:t>
      </w:r>
      <w:r>
        <w:t xml:space="preserve"> </w:t>
      </w:r>
      <w:r>
        <w:t xml:space="preserve">moschata,</w:t>
      </w:r>
      <w:r>
        <w:t xml:space="preserve"> </w:t>
      </w:r>
      <w:r>
        <w:t xml:space="preserve">and</w:t>
      </w:r>
      <w:r>
        <w:t xml:space="preserve"> </w:t>
      </w:r>
      <w:r>
        <w:t xml:space="preserve">Cucurbita</w:t>
      </w:r>
      <w:r>
        <w:t xml:space="preserve"> </w:t>
      </w:r>
      <w:r>
        <w:t xml:space="preserve">maxima</w:t>
      </w:r>
      <w:r>
        <w:t xml:space="preserve"> </w:t>
      </w:r>
      <w:r>
        <w:t xml:space="preserve">Collections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ch728/cucurbit-usda@c42627f</w:t>
        </w:r>
      </w:hyperlink>
      <w:r>
        <w:t xml:space="preserve"> </w:t>
      </w:r>
      <w:r>
        <w:t xml:space="preserve">on August 24, 2021.</w:t>
      </w:r>
      <w:r>
        <w:t xml:space="preserve"> </w:t>
      </w:r>
    </w:p>
    <w:bookmarkStart w:id="26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Christopher Owen Hernandez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ch728</w:t>
        </w:r>
      </w:hyperlink>
      <w:r>
        <w:t xml:space="preserve"> </w:t>
      </w:r>
      <w:r>
        <w:t xml:space="preserve"> </w:t>
      </w:r>
      <w:r>
        <w:t xml:space="preserve">Department of Plant Breeding and Genetics, Cornell University</w:t>
      </w:r>
      <w:r>
        <w:t xml:space="preserve"> </w:t>
      </w:r>
      <w:r>
        <w:t xml:space="preserve">· Funded by Grant XXXXXXXX</w:t>
      </w:r>
      <w:r>
        <w:t xml:space="preserve"> </w:t>
      </w:r>
    </w:p>
    <w:bookmarkEnd w:id="26"/>
    <w:bookmarkStart w:id="28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27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bookmarkEnd w:id="28"/>
    <w:bookmarkStart w:id="32" w:name="basic-formatting"/>
    <w:p>
      <w:pPr>
        <w:pStyle w:val="Heading2"/>
      </w:pPr>
      <w:r>
        <w:t xml:space="preserve">Basic formatting</w:t>
      </w:r>
    </w:p>
    <w:p>
      <w:pPr>
        <w:pStyle w:val="FirstParagraph"/>
      </w:pPr>
      <w:r>
        <w:rPr>
          <w:bCs/>
          <w:b/>
        </w:rPr>
        <w:t xml:space="preserve">Bold</w:t>
      </w:r>
      <w:r>
        <w:t xml:space="preserve"> </w:t>
      </w:r>
      <w:r>
        <w:rPr>
          <w:bCs/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Cs/>
          <w:i/>
        </w:rPr>
        <w:t xml:space="preserve">Italic</w:t>
      </w:r>
      <w:r>
        <w:t xml:space="preserve"> </w:t>
      </w:r>
      <w:r>
        <w:rPr>
          <w:iCs/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Cs/>
          <w:i/>
        </w:rPr>
        <w:t xml:space="preserve">italics and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29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29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0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bookmarkEnd w:id="32"/>
    <w:bookmarkStart w:id="33" w:name="document-organization"/>
    <w:p>
      <w:pPr>
        <w:pStyle w:val="Heading2"/>
      </w:pPr>
      <w:r>
        <w:t xml:space="preserve">Document organization</w:t>
      </w:r>
    </w:p>
    <w:p>
      <w:pPr>
        <w:pStyle w:val="FirstParagraph"/>
      </w:pPr>
      <w:r>
        <w:t xml:space="preserve">Document section headings:</w:t>
      </w:r>
    </w:p>
    <w:bookmarkEnd w:id="33"/>
    <w:bookmarkStart w:id="99" w:name="heading-1"/>
    <w:p>
      <w:pPr>
        <w:pStyle w:val="Heading1"/>
      </w:pPr>
      <w:r>
        <w:t xml:space="preserve">Heading 1</w:t>
      </w:r>
    </w:p>
    <w:bookmarkStart w:id="39" w:name="heading-2"/>
    <w:p>
      <w:pPr>
        <w:pStyle w:val="Heading2"/>
      </w:pPr>
      <w:r>
        <w:t xml:space="preserve">Heading 2</w:t>
      </w:r>
    </w:p>
    <w:bookmarkStart w:id="37" w:name="heading-3"/>
    <w:p>
      <w:pPr>
        <w:pStyle w:val="Heading3"/>
      </w:pPr>
      <w:r>
        <w:t xml:space="preserve">Heading 3</w:t>
      </w:r>
    </w:p>
    <w:bookmarkStart w:id="36" w:name="heading-4"/>
    <w:p>
      <w:pPr>
        <w:pStyle w:val="Heading4"/>
      </w:pPr>
      <w:r>
        <w:t xml:space="preserve">Heading 4</w:t>
      </w:r>
    </w:p>
    <w:bookmarkStart w:id="35" w:name="heading-5"/>
    <w:p>
      <w:pPr>
        <w:pStyle w:val="Heading5"/>
      </w:pPr>
      <w:r>
        <w:t xml:space="preserve">Heading 5</w:t>
      </w:r>
    </w:p>
    <w:bookmarkStart w:id="34" w:name="heading-6"/>
    <w:p>
      <w:pPr>
        <w:pStyle w:val="Heading6"/>
      </w:pPr>
      <w:r>
        <w:t xml:space="preserve">Heading 6</w:t>
      </w:r>
    </w:p>
    <w:bookmarkEnd w:id="34"/>
    <w:bookmarkEnd w:id="35"/>
    <w:bookmarkEnd w:id="36"/>
    <w:bookmarkEnd w:id="37"/>
    <w:bookmarkStart w:id="38" w:name="X25d03c50a2f9e5f0163daf14e5781d46f347000"/>
    <w:p>
      <w:pPr>
        <w:pStyle w:val="Heading3"/>
      </w:pPr>
      <w:r>
        <w:t xml:space="preserve">A heading centered on its own printed page</w:t>
      </w:r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Cs/>
          <w:i/>
        </w:rPr>
        <w:t xml:space="preserve">Abstract</w:t>
      </w:r>
      <w:r>
        <w:t xml:space="preserve">,</w:t>
      </w:r>
      <w:r>
        <w:t xml:space="preserve"> </w:t>
      </w:r>
      <w:r>
        <w:rPr>
          <w:iCs/>
          <w:i/>
        </w:rPr>
        <w:t xml:space="preserve">Methods</w:t>
      </w:r>
      <w:r>
        <w:t xml:space="preserve">,</w:t>
      </w:r>
      <w:r>
        <w:t xml:space="preserve"> </w:t>
      </w:r>
      <w:r>
        <w:rPr>
          <w:iCs/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bookmarkEnd w:id="38"/>
    <w:bookmarkEnd w:id="39"/>
    <w:bookmarkStart w:id="41" w:name="links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Bare URL link:</w:t>
      </w:r>
      <w:r>
        <w:t xml:space="preserve"> </w:t>
      </w:r>
      <w:hyperlink r:id="rId40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by reference</w:t>
        </w:r>
      </w:hyperlink>
    </w:p>
    <w:bookmarkEnd w:id="41"/>
    <w:bookmarkStart w:id="42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Citation by DOI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Central ID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ID</w:t>
      </w:r>
      <w:r>
        <w:t xml:space="preserve"> </w:t>
      </w:r>
      <w:r>
        <w:t xml:space="preserve">[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Wikidata ID</w:t>
      </w:r>
      <w:r>
        <w:t xml:space="preserve"> </w:t>
      </w:r>
      <w:r>
        <w:t xml:space="preserve">[</w:t>
      </w:r>
      <w:hyperlink w:anchor="ref-QhC8yJ7V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ISBN</w:t>
      </w:r>
      <w:r>
        <w:t xml:space="preserve"> </w:t>
      </w:r>
      <w:r>
        <w:t xml:space="preserve">[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URL</w:t>
      </w:r>
      <w:r>
        <w:t xml:space="preserve"> </w:t>
      </w:r>
      <w:r>
        <w:t xml:space="preserve">[</w:t>
      </w:r>
      <w:hyperlink w:anchor="ref-1GGGHdsew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alias</w:t>
      </w:r>
      <w:r>
        <w:t xml:space="preserve"> </w:t>
      </w:r>
      <w:r>
        <w:t xml:space="preserve">[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Multiple citations can be put inside the same set of brackets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,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Manubot plugins provide easier, more convenient visualization of and navigation between citations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,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,</w:t>
      </w:r>
      <w:hyperlink w:anchor="ref-YuJbg3zO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bookmarkEnd w:id="42"/>
    <w:bookmarkStart w:id="43" w:name="referencing-figures-tables-equations"/>
    <w:p>
      <w:pPr>
        <w:pStyle w:val="Heading2"/>
      </w:pPr>
      <w:r>
        <w:t xml:space="preserve">Referencing figures, tables, equations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 ??</w:t>
      </w:r>
    </w:p>
    <w:p>
      <w:pPr>
        <w:pStyle w:val="BodyText"/>
      </w:pPr>
      <w:r>
        <w:t xml:space="preserve">Equation ??</w:t>
      </w:r>
    </w:p>
    <w:bookmarkEnd w:id="43"/>
    <w:bookmarkStart w:id="44" w:name="quotes-and-code"/>
    <w:p>
      <w:pPr>
        <w:pStyle w:val="Heading2"/>
      </w:pPr>
      <w:r>
        <w:t xml:space="preserve">Quotes and code</w:t>
      </w:r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bookmarkEnd w:id="44"/>
    <w:bookmarkStart w:id="57" w:name="figures"/>
    <w:p>
      <w:pPr>
        <w:pStyle w:val="Heading2"/>
      </w:pPr>
      <w:r>
        <w:t xml:space="preserve">Figures</w:t>
      </w:r>
    </w:p>
    <w:bookmarkStart w:id="0" w:name="fig:square-image"/>
    <w:p>
      <w:pPr>
        <w:pStyle w:val="CaptionedFigure"/>
      </w:pPr>
      <w:bookmarkStart w:id="46" w:name="fig:square-image"/>
      <w:r>
        <w:drawing>
          <wp:inline>
            <wp:extent cx="3657600" cy="3657600"/>
            <wp:effectExtent b="0" l="0" r="0" t="0"/>
            <wp:docPr descr="Figure 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bookmarkStart w:id="47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7"/>
      <w:r>
        <w:t xml:space="preserve">Figure 1:</w:t>
      </w:r>
      <w:r>
        <w:t xml:space="preserve"> </w:t>
      </w:r>
      <w:r>
        <w:rPr>
          <w:bCs/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49" w:name="fig:wide-image"/>
      <w:r>
        <w:drawing>
          <wp:inline>
            <wp:extent cx="5943600" cy="2377440"/>
            <wp:effectExtent b="0" l="0" r="0" t="0"/>
            <wp:docPr descr="Figure 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bookmarkStart w:id="50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50"/>
      <w:r>
        <w:t xml:space="preserve">Figure 2:</w:t>
      </w:r>
      <w:r>
        <w:t xml:space="preserve"> </w:t>
      </w:r>
      <w:r>
        <w:rPr>
          <w:bCs/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2" w:name="fig:tall-image"/>
      <w:r>
        <w:drawing>
          <wp:inline>
            <wp:extent cx="1371600" cy="2743200"/>
            <wp:effectExtent b="0" l="0" r="0" t="0"/>
            <wp:docPr descr="Figure 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bookmarkStart w:id="53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53"/>
      <w:r>
        <w:t xml:space="preserve">Figure 3:</w:t>
      </w:r>
      <w:r>
        <w:t xml:space="preserve"> </w:t>
      </w:r>
      <w:r>
        <w:rPr>
          <w:bCs/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 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in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bookmarkStart w:id="56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56"/>
      <w:r>
        <w:t xml:space="preserve">Figure 4:</w:t>
      </w:r>
      <w:r>
        <w:t xml:space="preserve"> </w:t>
      </w:r>
      <w:r>
        <w:rPr>
          <w:bCs/>
          <w:b/>
        </w:rPr>
        <w:t xml:space="preserve">A vector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.svg</w:t>
      </w:r>
      <w:r>
        <w:rPr>
          <w:bCs/>
          <w:b/>
        </w:rPr>
        <w:t xml:space="preserve"> </w:t>
      </w:r>
      <w:r>
        <w:rPr>
          <w:bCs/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bookmarkEnd w:id="57"/>
    <w:bookmarkStart w:id="63" w:name="tables"/>
    <w:p>
      <w:pPr>
        <w:pStyle w:val="Heading2"/>
      </w:pPr>
      <w:r>
        <w:t xml:space="preserve">Tables</w:t>
      </w:r>
    </w:p>
    <w:bookmarkStart w:id="0" w:name="tbl:bowling-scores"/>
    <w:p>
      <w:pPr>
        <w:pStyle w:val="TableCaption"/>
      </w:pPr>
      <w:bookmarkStart w:id="58" w:name="tbl:bowling-scores"/>
      <w:r>
        <w:t xml:space="preserve">Table </w:t>
      </w:r>
      <w:fldSimple w:instr="SEQ Table \* ARABIC ">
        <w:r>
          <w:t>1</w:t>
        </w:r>
      </w:fldSimple>
      <w:r>
        <w:t xml:space="preserve">:</w:t>
      </w:r>
      <w:bookmarkEnd w:id="58"/>
      <w:r>
        <w:t xml:space="preserve"> </w:t>
      </w:r>
      <w:r>
        <w:t xml:space="preserve">Table 1: A table with a top caption and specified relative column widths.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A table with a top caption and specified relative column widths. 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Bowling Scores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bookmarkStart w:id="59" w:name="tbl:constant-digits"/>
      <w:r>
        <w:t xml:space="preserve">Table </w:t>
      </w:r>
      <w:fldSimple w:instr="SEQ Table \* ARABIC ">
        <w:r>
          <w:t>2</w:t>
        </w:r>
      </w:fldSimple>
      <w:r>
        <w:t xml:space="preserve">:</w:t>
      </w:r>
      <w:bookmarkEnd w:id="59"/>
      <w:r>
        <w:t xml:space="preserve"> </w:t>
      </w:r>
      <w:r>
        <w:t xml:space="preserve">Table 2: A table too wide to fit within page.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31a9c8ae-38a6-48a9-952c-a58fd50d1775"/>
    <w:p>
      <w:pPr>
        <w:pStyle w:val="TableCaption"/>
      </w:pPr>
      <w:bookmarkStart w:id="62" w:name="tbl:"/>
      <w:r>
        <w:t xml:space="preserve">Table </w:t>
      </w:r>
      <w:fldSimple w:instr="SEQ Table \* ARABIC ">
        <w:r>
          <w:t>3</w:t>
        </w:r>
      </w:fldSimple>
      <w:r>
        <w:t xml:space="preserve">:</w:t>
      </w:r>
      <w:bookmarkEnd w:id="62"/>
      <w:r>
        <w:t xml:space="preserve"> </w:t>
      </w:r>
      <w:r>
        <w:t xml:space="preserve">Table 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3: A table with merged cells using the attributes plugin.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Colors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Size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Text Color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Background Color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bookmarkEnd w:id="63"/>
    <w:bookmarkStart w:id="64" w:name="equations"/>
    <w:p>
      <w:pPr>
        <w:pStyle w:val="Heading2"/>
      </w:pPr>
      <w:r>
        <w:t xml:space="preserve">Equations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</m:oMath>
      </m:oMathPara>
    </w:p>
    <w:bookmarkEnd w:id="64"/>
    <w:bookmarkStart w:id="67" w:name="special"/>
    <w:p>
      <w:pPr>
        <w:pStyle w:val="Heading2"/>
      </w:pPr>
      <w:r>
        <w:t xml:space="preserve">Special</w:t>
      </w:r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Cs/>
          <w:i/>
        </w:rPr>
        <w:t xml:space="preserve">The following features are only supported and intended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.html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.pdf</w:t>
      </w:r>
      <w:r>
        <w:rPr>
          <w:iCs/>
          <w:i/>
        </w:rPr>
        <w:t xml:space="preserve"> </w:t>
      </w:r>
      <w:r>
        <w:rPr>
          <w:iCs/>
          <w:i/>
        </w:rPr>
        <w:t xml:space="preserve">exports.</w:t>
      </w:r>
      <w:r>
        <w:t xml:space="preserve"> </w:t>
      </w:r>
      <w:r>
        <w:rPr>
          <w:iCs/>
          <w:i/>
        </w:rPr>
        <w:t xml:space="preserve">Journals are not likely to support them, and they may not display correctly when converted to other formats such as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.docx</w:t>
      </w:r>
      <w:r>
        <w:rPr>
          <w:iCs/>
          <w:i/>
        </w:rPr>
        <w:t xml:space="preserve">.</w:t>
      </w:r>
    </w:p>
    <w:p>
      <w:pPr>
        <w:pStyle w:val="BodyText"/>
      </w:pPr>
      <w:hyperlink r:id="rId40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5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5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6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Cs/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Cs/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bookmarkEnd w:id="67"/>
    <w:bookmarkStart w:id="98" w:name="references"/>
    <w:p>
      <w:pPr>
        <w:pStyle w:val="Heading2"/>
      </w:pPr>
      <w:r>
        <w:t xml:space="preserve">References</w:t>
      </w:r>
    </w:p>
    <w:bookmarkStart w:id="97" w:name="refs"/>
    <w:bookmarkStart w:id="72" w:name="ref-IhliSZD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Sci-Hub provides access to nearly all scholarly literature</w:t>
      </w:r>
      <w:r>
        <w:t xml:space="preserve"> </w:t>
      </w:r>
      <w:r>
        <w:t xml:space="preserve">Daniel S Himmelstein, Ariel Rodriguez Romero, Jacob G Levernier, Thomas Anthony Munro, Stephen Reid McLaughlin, Bastian Greshake Tzovaras, Casey S Greene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(2018-03-01)</w:t>
      </w:r>
      <w:r>
        <w:t xml:space="preserve"> </w:t>
      </w:r>
      <w:hyperlink r:id="rId68">
        <w:r>
          <w:rPr>
            <w:rStyle w:val="Hyperlink"/>
          </w:rPr>
          <w:t xml:space="preserve">https://doi.org/ckcj</w:t>
        </w:r>
      </w:hyperlink>
      <w:r>
        <w:t xml:space="preserve"> </w:t>
      </w:r>
      <w:r>
        <w:t xml:space="preserve">DOI:</w:t>
      </w:r>
      <w:r>
        <w:t xml:space="preserve"> </w:t>
      </w:r>
      <w:hyperlink r:id="rId69">
        <w:r>
          <w:rPr>
            <w:rStyle w:val="Hyperlink"/>
          </w:rPr>
          <w:t xml:space="preserve">10.7554/elife.32822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0">
        <w:r>
          <w:rPr>
            <w:rStyle w:val="Hyperlink"/>
          </w:rPr>
          <w:t xml:space="preserve">29424689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1">
        <w:r>
          <w:rPr>
            <w:rStyle w:val="Hyperlink"/>
          </w:rPr>
          <w:t xml:space="preserve">PMC5832410</w:t>
        </w:r>
      </w:hyperlink>
    </w:p>
    <w:bookmarkEnd w:id="72"/>
    <w:bookmarkStart w:id="77" w:name="ref-mSMVRk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Reproducibility of computational workflows is automated using continuous analysis</w:t>
      </w:r>
      <w:r>
        <w:t xml:space="preserve"> </w:t>
      </w:r>
      <w:r>
        <w:t xml:space="preserve">Brett K Beaulieu-Jones, Casey S Greene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t xml:space="preserve">(2017-04)</w:t>
      </w:r>
      <w:r>
        <w:t xml:space="preserve"> </w:t>
      </w:r>
      <w:hyperlink r:id="rId73">
        <w:r>
          <w:rPr>
            <w:rStyle w:val="Hyperlink"/>
          </w:rPr>
          <w:t xml:space="preserve">https://www.ncbi.nlm.nih.gov/pmc/articles/PMC6103790/</w:t>
        </w:r>
      </w:hyperlink>
      <w:r>
        <w:t xml:space="preserve"> </w:t>
      </w:r>
      <w:r>
        <w:t xml:space="preserve">DOI:</w:t>
      </w:r>
      <w:r>
        <w:t xml:space="preserve"> </w:t>
      </w:r>
      <w:hyperlink r:id="rId74">
        <w:r>
          <w:rPr>
            <w:rStyle w:val="Hyperlink"/>
          </w:rPr>
          <w:t xml:space="preserve">10.1038/nbt.3780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5">
        <w:r>
          <w:rPr>
            <w:rStyle w:val="Hyperlink"/>
          </w:rPr>
          <w:t xml:space="preserve">28288103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6">
        <w:r>
          <w:rPr>
            <w:rStyle w:val="Hyperlink"/>
          </w:rPr>
          <w:t xml:space="preserve">PMC6103790</w:t>
        </w:r>
      </w:hyperlink>
    </w:p>
    <w:bookmarkEnd w:id="77"/>
    <w:bookmarkStart w:id="80" w:name="ref-126Wi5Us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Bitcoin for the biological literature.</w:t>
      </w:r>
      <w:r>
        <w:t xml:space="preserve"> </w:t>
      </w:r>
      <w:r>
        <w:t xml:space="preserve">Douglas Heaven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(2019-02)</w:t>
      </w:r>
      <w:r>
        <w:t xml:space="preserve"> </w:t>
      </w:r>
      <w:hyperlink r:id="rId78">
        <w:r>
          <w:rPr>
            <w:rStyle w:val="Hyperlink"/>
          </w:rPr>
          <w:t xml:space="preserve">https://www.ncbi.nlm.nih.gov/pubmed/30718888</w:t>
        </w:r>
      </w:hyperlink>
      <w:r>
        <w:t xml:space="preserve"> </w:t>
      </w:r>
      <w:r>
        <w:t xml:space="preserve">DOI:</w:t>
      </w:r>
      <w:r>
        <w:t xml:space="preserve"> </w:t>
      </w:r>
      <w:hyperlink r:id="rId79">
        <w:r>
          <w:rPr>
            <w:rStyle w:val="Hyperlink"/>
          </w:rPr>
          <w:t xml:space="preserve">10.1038/d41586-019-00447-9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8">
        <w:r>
          <w:rPr>
            <w:rStyle w:val="Hyperlink"/>
          </w:rPr>
          <w:t xml:space="preserve">30718888</w:t>
        </w:r>
      </w:hyperlink>
    </w:p>
    <w:bookmarkEnd w:id="80"/>
    <w:bookmarkStart w:id="82" w:name="ref-QhC8yJ7V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Plan S: Accelerating the transition to full and immediate Open Access to scientific publications</w:t>
      </w:r>
      <w:r>
        <w:t xml:space="preserve"> </w:t>
      </w:r>
      <w:r>
        <w:t xml:space="preserve">cOAlition S</w:t>
      </w:r>
      <w:r>
        <w:t xml:space="preserve"> </w:t>
      </w:r>
      <w:r>
        <w:t xml:space="preserve">(2018-09-04)</w:t>
      </w:r>
      <w:r>
        <w:t xml:space="preserve"> </w:t>
      </w:r>
      <w:hyperlink r:id="rId81">
        <w:r>
          <w:rPr>
            <w:rStyle w:val="Hyperlink"/>
          </w:rPr>
          <w:t xml:space="preserve">https://www.wikidata.org/wiki/Q56458321</w:t>
        </w:r>
      </w:hyperlink>
    </w:p>
    <w:bookmarkEnd w:id="82"/>
    <w:bookmarkStart w:id="84" w:name="ref-zBPP9YK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Open access</w:t>
      </w:r>
      <w:r>
        <w:t xml:space="preserve"> </w:t>
      </w:r>
      <w:r>
        <w:t xml:space="preserve">Peter Suber</w:t>
      </w:r>
      <w:r>
        <w:t xml:space="preserve"> </w:t>
      </w:r>
      <w:r>
        <w:rPr>
          <w:iCs/>
          <w:i/>
        </w:rPr>
        <w:t xml:space="preserve">MIT Press</w:t>
      </w:r>
      <w:r>
        <w:t xml:space="preserve"> </w:t>
      </w:r>
      <w:r>
        <w:t xml:space="preserve">(2012)</w:t>
      </w:r>
      <w:r>
        <w:t xml:space="preserve"> </w:t>
      </w:r>
      <w:r>
        <w:t xml:space="preserve">ISBN:</w:t>
      </w:r>
      <w:r>
        <w:t xml:space="preserve"> </w:t>
      </w:r>
      <w:hyperlink r:id="rId83">
        <w:r>
          <w:rPr>
            <w:rStyle w:val="Hyperlink"/>
          </w:rPr>
          <w:t xml:space="preserve">9780262517638</w:t>
        </w:r>
      </w:hyperlink>
    </w:p>
    <w:bookmarkEnd w:id="84"/>
    <w:bookmarkStart w:id="86" w:name="ref-1GGGHdsew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Manubot</w:t>
      </w:r>
      <w:r>
        <w:t xml:space="preserve"> </w:t>
      </w:r>
      <w:r>
        <w:t xml:space="preserve">(2020-05-25)</w:t>
      </w:r>
      <w:r>
        <w:t xml:space="preserve"> </w:t>
      </w:r>
      <w:hyperlink r:id="rId85">
        <w:r>
          <w:rPr>
            <w:rStyle w:val="Hyperlink"/>
          </w:rPr>
          <w:t xml:space="preserve">https://greenelab.github.io/meta-review/</w:t>
        </w:r>
      </w:hyperlink>
    </w:p>
    <w:bookmarkEnd w:id="86"/>
    <w:bookmarkStart w:id="91" w:name="ref-PZMP42Ak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rPr>
          <w:bCs/>
          <w:b/>
        </w:rPr>
        <w:t xml:space="preserve">Opportunities and obstacles for deep learning in biology and medicine</w:t>
      </w:r>
      <w:r>
        <w:t xml:space="preserve"> </w:t>
      </w:r>
      <w:r>
        <w:t xml:space="preserve">Travers Ching, Daniel S Himmelstein, Brett K Beaulieu-Jones, Alexandr A Kalinin, Brian T Do, Gregory P Way, Enrico Ferrero, Paul-Michael Agapow, Michael Zietz, Michael M Hoffman, … Casey S Greene</w:t>
      </w:r>
      <w:r>
        <w:t xml:space="preserve"> </w:t>
      </w:r>
      <w:r>
        <w:rPr>
          <w:iCs/>
          <w:i/>
        </w:rPr>
        <w:t xml:space="preserve">Journal of The Royal Society Interface</w:t>
      </w:r>
      <w:r>
        <w:t xml:space="preserve"> </w:t>
      </w:r>
      <w:r>
        <w:t xml:space="preserve">(2018-04-04)</w:t>
      </w:r>
      <w:r>
        <w:t xml:space="preserve"> </w:t>
      </w:r>
      <w:hyperlink r:id="rId87">
        <w:r>
          <w:rPr>
            <w:rStyle w:val="Hyperlink"/>
          </w:rPr>
          <w:t xml:space="preserve">https://doi.org/gddkhn</w:t>
        </w:r>
      </w:hyperlink>
      <w:r>
        <w:t xml:space="preserve"> </w:t>
      </w:r>
      <w:r>
        <w:t xml:space="preserve">DOI:</w:t>
      </w:r>
      <w:r>
        <w:t xml:space="preserve"> </w:t>
      </w:r>
      <w:hyperlink r:id="rId88">
        <w:r>
          <w:rPr>
            <w:rStyle w:val="Hyperlink"/>
          </w:rPr>
          <w:t xml:space="preserve">10.1098/rsif.2017.0387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9">
        <w:r>
          <w:rPr>
            <w:rStyle w:val="Hyperlink"/>
          </w:rPr>
          <w:t xml:space="preserve">29618526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0">
        <w:r>
          <w:rPr>
            <w:rStyle w:val="Hyperlink"/>
          </w:rPr>
          <w:t xml:space="preserve">PMC5938574</w:t>
        </w:r>
      </w:hyperlink>
    </w:p>
    <w:bookmarkEnd w:id="91"/>
    <w:bookmarkStart w:id="96" w:name="ref-YuJbg3zO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92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93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94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5">
        <w:r>
          <w:rPr>
            <w:rStyle w:val="Hyperlink"/>
          </w:rPr>
          <w:t xml:space="preserve">PMC6611653</w:t>
        </w:r>
      </w:hyperlink>
    </w:p>
    <w:bookmarkEnd w:id="96"/>
    <w:bookmarkEnd w:id="97"/>
    <w:bookmarkEnd w:id="98"/>
    <w:bookmarkEnd w:id="99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c42627f7a794487146ad5c3ec3c44c1aa2946246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c42627f7a794487146ad5c3ec3c44c1aa2946246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c42627f7a794487146ad5c3ec3c44c1aa2946246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c42627f7a794487146ad5c3ec3c44c1aa2946246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the USDA Cucurbita pepo, Cucurbita moschata, and Cucurbita maxima Collections</dc:title>
  <dc:creator/>
  <dc:language>en-US</dc:language>
  <cp:keywords>GRIN, Cucurbits, Diversity, Germplasm collection, Cucurbita pepo, Cucurbita moschata, Cucurbita maxima</cp:keywords>
  <dcterms:created xsi:type="dcterms:W3CDTF">2021-08-24T22:24:18Z</dcterms:created>
  <dcterms:modified xsi:type="dcterms:W3CDTF">2021-08-24T22:24:18Z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2021-08-24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