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ch728/cucurbit-usda@7dda7a1</w:t>
        </w:r>
      </w:hyperlink>
      <w:r>
        <w:t xml:space="preserve"> </w:t>
      </w:r>
      <w:r>
        <w:t xml:space="preserve">on August 24,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 mostly cultivated for their fruits.</w:t>
      </w:r>
      <w:r>
        <w:t xml:space="preserve"> </w:t>
      </w:r>
      <w:r>
        <w:t xml:space="preserve">This diverse and economically important 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 Like other</w:t>
      </w:r>
      <w:r>
        <w:t xml:space="preserve"> </w:t>
      </w:r>
      <w:r>
        <w:t xml:space="preserve">cucurbits, squash exhibit diversity in growth habit, fruit morphology, metabolite content, disease resistance, and have</w:t>
      </w:r>
      <w:r>
        <w:t xml:space="preserve"> </w:t>
      </w:r>
      <w:r>
        <w:t xml:space="preserve">a nuanced domestication story</w:t>
      </w:r>
      <w:r>
        <w:t xml:space="preserve"> </w:t>
      </w:r>
      <w:r>
        <w:t xml:space="preserve">. 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 genomes brought together through an allopolyploidization</w:t>
      </w:r>
      <w:r>
        <w:t xml:space="preserve"> </w:t>
      </w:r>
      <w:r>
        <w:t xml:space="preserve">event</w:t>
      </w:r>
      <w:r>
        <w:t xml:space="preserve"> </w:t>
      </w:r>
      <w:r>
        <w:t xml:space="preserve">. These factors make squash an excellent model for understanding the biology of genomes,</w:t>
      </w:r>
      <w:r>
        <w:t xml:space="preserve"> </w:t>
      </w:r>
      <w:r>
        <w:t xml:space="preserve">fruit development, and domestication. Within</w:t>
      </w:r>
      <w:r>
        <w:t xml:space="preserve"> </w:t>
      </w:r>
      <w:r>
        <w:rPr>
          <w:iCs/>
          <w:i/>
        </w:rPr>
        <w:t xml:space="preserve">Cucurbita</w:t>
      </w:r>
      <w:r>
        <w:t xml:space="preserve">, five species are recognized as domesticated.</w:t>
      </w:r>
      <w:r>
        <w:t xml:space="preserve"> </w:t>
      </w:r>
      <w:r>
        <w:t xml:space="preserve">Three of these are broadly cultivated:</w:t>
      </w:r>
      <w:r>
        <w:t xml:space="preserve"> </w:t>
      </w:r>
      <w:r>
        <w:rPr>
          <w:iCs/>
          <w:i/>
        </w:rPr>
        <w:t xml:space="preserve">Cucurbita maxima</w:t>
      </w:r>
      <w:r>
        <w:t xml:space="preserve">,</w:t>
      </w:r>
      <w:r>
        <w:t xml:space="preserve"> </w:t>
      </w:r>
      <w:r>
        <w:rPr>
          <w:iCs/>
          <w:i/>
        </w:rPr>
        <w:t xml:space="preserve">Cucurbita moschata</w:t>
      </w:r>
      <w:r>
        <w:t xml:space="preserve">, and</w:t>
      </w:r>
      <w:r>
        <w:t xml:space="preserve"> </w:t>
      </w:r>
      <w:r>
        <w:rPr>
          <w:iCs/>
          <w:i/>
        </w:rPr>
        <w:t xml:space="preserve">Cucurbita pepo</w:t>
      </w:r>
      <w:r>
        <w:t xml:space="preserve"> </w:t>
      </w:r>
      <w:r>
        <w:t xml:space="preserve">. Few genomic resources have been available for working with these species; although,</w:t>
      </w:r>
      <w:r>
        <w:t xml:space="preserve"> </w:t>
      </w:r>
      <w:r>
        <w:t xml:space="preserve">draft genomes and annotations, along with web-based tools and other genomics data are emerging</w:t>
      </w:r>
      <w:r>
        <w:t xml:space="preserve"> </w:t>
      </w:r>
      <w:r>
        <w:t xml:space="preserve">.</w:t>
      </w:r>
      <w:r>
        <w:t xml:space="preserve"> </w:t>
      </w:r>
      <w:r>
        <w:t xml:space="preserve">Already, these resources have been used to elucidate the genetics of fruit quality, growth habit, disease resistance,</w:t>
      </w:r>
      <w:r>
        <w:t xml:space="preserve"> </w:t>
      </w:r>
      <w:r>
        <w:t xml:space="preserve">and to increase the efficiency of cucurbit improvement</w:t>
      </w:r>
      <w:r>
        <w:t xml:space="preserve"> </w:t>
      </w:r>
      <w:r>
        <w:t xml:space="preserve">;</w:t>
      </w:r>
      <w:r>
        <w:t xml:space="preserve"> </w:t>
      </w:r>
      <w:r>
        <w:t xml:space="preserve">however, there has yet to be a comprehensive survey of the genetic diversity in large diverse</w:t>
      </w:r>
      <w:r>
        <w:t xml:space="preserve"> </w:t>
      </w:r>
      <w:r>
        <w:rPr>
          <w:iCs/>
          <w:i/>
        </w:rPr>
        <w:t xml:space="preserve">Cucurbita</w:t>
      </w:r>
      <w:r>
        <w:t xml:space="preserve"> </w:t>
      </w:r>
      <w:r>
        <w:t xml:space="preserve">germplasm panels,</w:t>
      </w:r>
      <w:r>
        <w:t xml:space="preserve"> </w:t>
      </w:r>
      <w:r>
        <w:t xml:space="preserve">such as those maintained by the USDA within the Germplasm 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t xml:space="preserve"> </w:t>
      </w:r>
      <w:r>
        <w:t xml:space="preserve">is the most economically important of the</w:t>
      </w:r>
      <w:r>
        <w:t xml:space="preserve"> </w:t>
      </w:r>
      <w:r>
        <w:t xml:space="preserve"> </w:t>
      </w:r>
      <w:r>
        <w:t xml:space="preserve">species and is split into two different</w:t>
      </w:r>
      <w:r>
        <w:t xml:space="preserve"> </w:t>
      </w:r>
      <w:r>
        <w:t xml:space="preserve">subspecies:</w:t>
      </w:r>
      <w:r>
        <w:t xml:space="preserve"> </w:t>
      </w:r>
      <w:r>
        <w:t xml:space="preserve"> </w:t>
      </w:r>
      <w:r>
        <w:t xml:space="preserve">subsp.</w:t>
      </w:r>
      <w:r>
        <w:t xml:space="preserve"> </w:t>
      </w:r>
      <w:r>
        <w:t xml:space="preserve"> </w:t>
      </w:r>
      <w:r>
        <w:t xml:space="preserve">and</w:t>
      </w:r>
      <w:r>
        <w:t xml:space="preserve"> </w:t>
      </w:r>
      <w:r>
        <w:t xml:space="preserve"> </w:t>
      </w:r>
      <w:r>
        <w:t xml:space="preserve">subsp.</w:t>
      </w:r>
      <w:r>
        <w:t xml:space="preserve"> </w:t>
      </w:r>
      <w:r>
        <w:t xml:space="preserve"> </w:t>
      </w:r>
      <w:r>
        <w:t xml:space="preserve">.</w:t>
      </w:r>
      <w:r>
        <w:t xml:space="preserve"> </w:t>
      </w:r>
      <w:r>
        <w:t xml:space="preserve">Evidence points to Mexico as the center of origin for</w:t>
      </w:r>
      <w:r>
        <w:t xml:space="preserve"> </w:t>
      </w:r>
      <w:r>
        <w:t xml:space="preserve"> </w:t>
      </w:r>
      <w:r>
        <w:t xml:space="preserve">and southwest/central United States as the origin of</w:t>
      </w:r>
      <w:r>
        <w:t xml:space="preserve"> </w:t>
      </w:r>
      <w:r>
        <w:t xml:space="preserve">.</w:t>
      </w:r>
      <w:r>
        <w:t xml:space="preserve"> </w:t>
      </w:r>
      <w:r>
        <w:t xml:space="preserve">The progenitor of</w:t>
      </w:r>
      <w:r>
        <w:t xml:space="preserve"> </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End w:id="28"/>
    <w:bookmarkStart w:id="31" w:name="material-and-methods"/>
    <w:p>
      <w:pPr>
        <w:pStyle w:val="Heading1"/>
      </w:pPr>
      <w:r>
        <w:t xml:space="preserve">Material and Methods</w:t>
      </w:r>
    </w:p>
    <w:bookmarkStart w:id="30" w:name="references"/>
    <w:p>
      <w:pPr>
        <w:pStyle w:val="Heading2"/>
      </w:pPr>
      <w:r>
        <w:t xml:space="preserve">References</w:t>
      </w:r>
    </w:p>
    <w:bookmarkStart w:id="29" w:name="refs"/>
    <w:bookmarkEnd w:id="29"/>
    <w:bookmarkEnd w:id="30"/>
    <w:bookmarkEnd w:id="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7dda7a10718c53d339069fafe74d6bd3ba1f6361/"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7dda7a10718c53d339069fafe74d6bd3ba1f6361" TargetMode="External" /><Relationship Type="http://schemas.openxmlformats.org/officeDocument/2006/relationships/hyperlink" Id="rId23" Target="https://orcid.org/XXXX-XXXX-XXXX-XXXX"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7dda7a10718c53d339069fafe74d6bd3ba1f6361/"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7dda7a10718c53d339069fafe74d6bd3ba1f6361" TargetMode="External" /><Relationship Type="http://schemas.openxmlformats.org/officeDocument/2006/relationships/hyperlink" Id="rId23" Target="https://orcid.org/XXXX-X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2021-08-24T22:58:48Z</dcterms:created>
  <dcterms:modified xsi:type="dcterms:W3CDTF">2021-08-24T22:58:48Z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