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51.png" ContentType="image/png"/>
  <Override PartName="/word/media/rId48.png" ContentType="image/png"/>
  <Override PartName="/word/media/rId54.svg" ContentType="image/svg+xml"/>
  <Override PartName="/word/media/rId24.svg" ContentType="image/svg+xml"/>
  <Override PartName="/word/media/rId2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Characterization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USDA</w:t>
      </w:r>
      <w:r>
        <w:t xml:space="preserve"> </w:t>
      </w:r>
      <w:r>
        <w:t xml:space="preserve">Cucurbita</w:t>
      </w:r>
      <w:r>
        <w:t xml:space="preserve"> </w:t>
      </w:r>
      <w:r>
        <w:t xml:space="preserve">pepo,</w:t>
      </w:r>
      <w:r>
        <w:t xml:space="preserve"> </w:t>
      </w:r>
      <w:r>
        <w:t xml:space="preserve">Cucurbita</w:t>
      </w:r>
      <w:r>
        <w:t xml:space="preserve"> </w:t>
      </w:r>
      <w:r>
        <w:t xml:space="preserve">moschata,</w:t>
      </w:r>
      <w:r>
        <w:t xml:space="preserve"> </w:t>
      </w:r>
      <w:r>
        <w:t xml:space="preserve">and</w:t>
      </w:r>
      <w:r>
        <w:t xml:space="preserve"> </w:t>
      </w:r>
      <w:r>
        <w:t xml:space="preserve">Cucurbita</w:t>
      </w:r>
      <w:r>
        <w:t xml:space="preserve"> </w:t>
      </w:r>
      <w:r>
        <w:t xml:space="preserve">maxima</w:t>
      </w:r>
      <w:r>
        <w:t xml:space="preserve"> </w:t>
      </w:r>
      <w:r>
        <w:t xml:space="preserve">Collections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ch728/cucurbit-usda@69fc879</w:t>
        </w:r>
      </w:hyperlink>
      <w:r>
        <w:t xml:space="preserve"> </w:t>
      </w:r>
      <w:r>
        <w:t xml:space="preserve">on August 24, 2021.</w:t>
      </w:r>
      <w:r>
        <w:t xml:space="preserve"> </w:t>
      </w:r>
    </w:p>
    <w:bookmarkStart w:id="26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Christopher Owen Hernandez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3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ch728</w:t>
        </w:r>
      </w:hyperlink>
      <w:r>
        <w:t xml:space="preserve"> </w:t>
      </w:r>
      <w:r>
        <w:t xml:space="preserve"> </w:t>
      </w:r>
      <w:r>
        <w:t xml:space="preserve">Department of Plant Breeding and Genetics, Cornell University</w:t>
      </w:r>
      <w:r>
        <w:t xml:space="preserve"> </w:t>
      </w:r>
      <w:r>
        <w:t xml:space="preserve">· Funded by Grant XXXXXXXX</w:t>
      </w:r>
      <w:r>
        <w:t xml:space="preserve"> </w:t>
      </w:r>
    </w:p>
    <w:bookmarkEnd w:id="26"/>
    <w:bookmarkStart w:id="28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manuscript is a template (aka</w:t>
      </w:r>
      <w:r>
        <w:t xml:space="preserve"> </w:t>
      </w:r>
      <w:r>
        <w:t xml:space="preserve">“</w:t>
      </w:r>
      <w:r>
        <w:t xml:space="preserve">rootstock</w:t>
      </w:r>
      <w:r>
        <w:t xml:space="preserve">”</w:t>
      </w:r>
      <w:r>
        <w:t xml:space="preserve">) for</w:t>
      </w:r>
      <w:r>
        <w:t xml:space="preserve"> </w:t>
      </w:r>
      <w:hyperlink r:id="rId27">
        <w:r>
          <w:rPr>
            <w:rStyle w:val="Hyperlink"/>
          </w:rPr>
          <w:t xml:space="preserve">Manubot</w:t>
        </w:r>
      </w:hyperlink>
      <w:r>
        <w:t xml:space="preserve">, a tool for writing scholarly manuscripts.</w:t>
      </w:r>
      <w:r>
        <w:t xml:space="preserve"> </w:t>
      </w:r>
      <w:r>
        <w:t xml:space="preserve">Use this template as a starting point for your manuscript.</w:t>
      </w:r>
    </w:p>
    <w:p>
      <w:pPr>
        <w:pStyle w:val="BodyText"/>
      </w:pPr>
      <w:r>
        <w:t xml:space="preserve">The rest of this document is a full list of formatting elements/features supported by Manubot.</w:t>
      </w:r>
      <w:r>
        <w:t xml:space="preserve"> </w:t>
      </w:r>
      <w:r>
        <w:t xml:space="preserve">Compare the input (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/content</w:t>
      </w:r>
      <w:r>
        <w:t xml:space="preserve"> </w:t>
      </w:r>
      <w:r>
        <w:t xml:space="preserve">directory) to the output you see below.</w:t>
      </w:r>
    </w:p>
    <w:bookmarkEnd w:id="28"/>
    <w:bookmarkStart w:id="32" w:name="basic-formatting"/>
    <w:p>
      <w:pPr>
        <w:pStyle w:val="Heading2"/>
      </w:pPr>
      <w:r>
        <w:t xml:space="preserve">Basic formatting</w:t>
      </w:r>
    </w:p>
    <w:p>
      <w:pPr>
        <w:pStyle w:val="FirstParagraph"/>
      </w:pPr>
      <w:r>
        <w:rPr>
          <w:bCs/>
          <w:b/>
        </w:rPr>
        <w:t xml:space="preserve">Bold</w:t>
      </w:r>
      <w:r>
        <w:t xml:space="preserve"> </w:t>
      </w:r>
      <w:r>
        <w:rPr>
          <w:bCs/>
          <w:b/>
        </w:rPr>
        <w:t xml:space="preserve">text</w:t>
      </w:r>
    </w:p>
    <w:p>
      <w:pPr>
        <w:pStyle w:val="BodyText"/>
      </w:pPr>
      <w:r>
        <w:t xml:space="preserve">Semi-bold text</w:t>
      </w:r>
    </w:p>
    <w:p>
      <w:pPr>
        <w:pStyle w:val="BodyText"/>
      </w:pPr>
      <w:r>
        <w:t xml:space="preserve">Centered text</w:t>
      </w:r>
    </w:p>
    <w:p>
      <w:pPr>
        <w:pStyle w:val="BodyText"/>
      </w:pPr>
      <w:r>
        <w:t xml:space="preserve">Right-aligned text</w:t>
      </w:r>
    </w:p>
    <w:p>
      <w:pPr>
        <w:pStyle w:val="BodyText"/>
      </w:pPr>
      <w:r>
        <w:rPr>
          <w:iCs/>
          <w:i/>
        </w:rPr>
        <w:t xml:space="preserve">Italic</w:t>
      </w:r>
      <w:r>
        <w:t xml:space="preserve"> </w:t>
      </w:r>
      <w:r>
        <w:rPr>
          <w:iCs/>
          <w:i/>
        </w:rPr>
        <w:t xml:space="preserve">text</w:t>
      </w:r>
    </w:p>
    <w:p>
      <w:pPr>
        <w:pStyle w:val="BodyText"/>
      </w:pPr>
      <w:r>
        <w:t xml:space="preserve">Combined</w:t>
      </w:r>
      <w:r>
        <w:t xml:space="preserve"> </w:t>
      </w:r>
      <w:r>
        <w:rPr>
          <w:iCs/>
          <w:i/>
        </w:rPr>
        <w:t xml:space="preserve">italics and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bold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2"/>
          <w:numId w:val="1004"/>
        </w:numPr>
        <w:pStyle w:val="Compact"/>
      </w:pPr>
      <w:r>
        <w:t xml:space="preserve">Sub-sub-item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5"/>
        </w:numPr>
        <w:pStyle w:val="Compact"/>
      </w:pPr>
      <w:r>
        <w:t xml:space="preserve">Sub-item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pStyle w:val="FirstParagraph"/>
      </w:pPr>
      <w:r>
        <w:t xml:space="preserve">subscript: H</w:t>
      </w:r>
      <w:r>
        <w:rPr>
          <w:vertAlign w:val="subscript"/>
        </w:rPr>
        <w:t xml:space="preserve">2</w:t>
      </w:r>
      <w:r>
        <w:t xml:space="preserve">O is a liquid</w:t>
      </w:r>
    </w:p>
    <w:p>
      <w:pPr>
        <w:pStyle w:val="BodyText"/>
      </w:pPr>
      <w:r>
        <w:t xml:space="preserve">superscript: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is 1024.</w:t>
      </w:r>
    </w:p>
    <w:p>
      <w:pPr>
        <w:pStyle w:val="BodyText"/>
      </w:pPr>
      <w:hyperlink r:id="rId29">
        <w:r>
          <w:rPr>
            <w:rStyle w:val="Hyperlink"/>
          </w:rPr>
          <w:t xml:space="preserve">unicode superscripts</w:t>
        </w:r>
      </w:hyperlink>
      <w:r>
        <w:t xml:space="preserve">⁰¹²³⁴⁵⁶⁷⁸⁹</w:t>
      </w:r>
    </w:p>
    <w:p>
      <w:pPr>
        <w:pStyle w:val="BodyText"/>
      </w:pPr>
      <w:hyperlink r:id="rId29">
        <w:r>
          <w:rPr>
            <w:rStyle w:val="Hyperlink"/>
          </w:rPr>
          <w:t xml:space="preserve">unicode subscripts</w:t>
        </w:r>
      </w:hyperlink>
      <w:r>
        <w:t xml:space="preserve">₀₁₂₃₄₅₆₇₈₉</w:t>
      </w:r>
    </w:p>
    <w:p>
      <w:pPr>
        <w:pStyle w:val="BodyText"/>
      </w:pPr>
      <w:r>
        <w:t xml:space="preserve">A long paragraph of text.</w:t>
      </w:r>
      <w:r>
        <w:t xml:space="preserve"> </w:t>
      </w:r>
      <w:r>
        <w:t xml:space="preserve">Lorem ipsum dolor sit amet, consectetur adipiscing elit, sed do eiusmod tempor incididunt ut labore et dolore magna aliqua.</w:t>
      </w:r>
      <w:r>
        <w:t xml:space="preserve"> </w:t>
      </w:r>
      <w:r>
        <w:t xml:space="preserve">Ut enim ad minim veniam, quis 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 fugiat nulla pariatur.</w:t>
      </w:r>
      <w:r>
        <w:t xml:space="preserve"> </w:t>
      </w:r>
      <w:r>
        <w:t xml:space="preserve">Excepteur sint occaecat cupidatat non proident, sunt in culpa qui officia deserunt mollit anim id est laborum.</w:t>
      </w:r>
    </w:p>
    <w:p>
      <w:pPr>
        <w:pStyle w:val="BodyText"/>
      </w:pPr>
      <w:r>
        <w:t xml:space="preserve">Putting each sentence on its own line has numerous benefits with regard to</w:t>
      </w:r>
      <w:r>
        <w:t xml:space="preserve"> </w:t>
      </w:r>
      <w:hyperlink r:id="rId30">
        <w:r>
          <w:rPr>
            <w:rStyle w:val="Hyperlink"/>
          </w:rPr>
          <w:t xml:space="preserve">editing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Hyperlink"/>
          </w:rPr>
          <w:t xml:space="preserve">version control</w:t>
        </w:r>
      </w:hyperlink>
      <w:r>
        <w:t xml:space="preserve">.</w:t>
      </w:r>
    </w:p>
    <w:p>
      <w:pPr>
        <w:pStyle w:val="BodyText"/>
      </w:pPr>
      <w:r>
        <w:t xml:space="preserve">Line break without starting a new paragraph by putting</w:t>
      </w:r>
      <w:r>
        <w:br/>
      </w:r>
      <w:r>
        <w:t xml:space="preserve">two spaces at end of line.</w:t>
      </w:r>
    </w:p>
    <w:bookmarkEnd w:id="32"/>
    <w:bookmarkStart w:id="33" w:name="document-organization"/>
    <w:p>
      <w:pPr>
        <w:pStyle w:val="Heading2"/>
      </w:pPr>
      <w:r>
        <w:t xml:space="preserve">Document organization</w:t>
      </w:r>
    </w:p>
    <w:p>
      <w:pPr>
        <w:pStyle w:val="FirstParagraph"/>
      </w:pPr>
      <w:r>
        <w:t xml:space="preserve">Document section headings:</w:t>
      </w:r>
    </w:p>
    <w:bookmarkEnd w:id="33"/>
    <w:bookmarkStart w:id="99" w:name="heading-1"/>
    <w:p>
      <w:pPr>
        <w:pStyle w:val="Heading1"/>
      </w:pPr>
      <w:r>
        <w:t xml:space="preserve">Heading 1</w:t>
      </w:r>
    </w:p>
    <w:bookmarkStart w:id="39" w:name="heading-2"/>
    <w:p>
      <w:pPr>
        <w:pStyle w:val="Heading2"/>
      </w:pPr>
      <w:r>
        <w:t xml:space="preserve">Heading 2</w:t>
      </w:r>
    </w:p>
    <w:bookmarkStart w:id="37" w:name="heading-3"/>
    <w:p>
      <w:pPr>
        <w:pStyle w:val="Heading3"/>
      </w:pPr>
      <w:r>
        <w:t xml:space="preserve">Heading 3</w:t>
      </w:r>
    </w:p>
    <w:bookmarkStart w:id="36" w:name="heading-4"/>
    <w:p>
      <w:pPr>
        <w:pStyle w:val="Heading4"/>
      </w:pPr>
      <w:r>
        <w:t xml:space="preserve">Heading 4</w:t>
      </w:r>
    </w:p>
    <w:bookmarkStart w:id="35" w:name="heading-5"/>
    <w:p>
      <w:pPr>
        <w:pStyle w:val="Heading5"/>
      </w:pPr>
      <w:r>
        <w:t xml:space="preserve">Heading 5</w:t>
      </w:r>
    </w:p>
    <w:bookmarkStart w:id="34" w:name="heading-6"/>
    <w:p>
      <w:pPr>
        <w:pStyle w:val="Heading6"/>
      </w:pPr>
      <w:r>
        <w:t xml:space="preserve">Heading 6</w:t>
      </w:r>
    </w:p>
    <w:bookmarkEnd w:id="34"/>
    <w:bookmarkEnd w:id="35"/>
    <w:bookmarkEnd w:id="36"/>
    <w:bookmarkEnd w:id="37"/>
    <w:bookmarkStart w:id="38" w:name="X25d03c50a2f9e5f0163daf14e5781d46f347000"/>
    <w:p>
      <w:pPr>
        <w:pStyle w:val="Heading3"/>
      </w:pPr>
      <w:r>
        <w:t xml:space="preserve">A heading centered on its own printed page</w:t>
      </w:r>
    </w:p>
    <w:p>
      <w:pPr>
        <w:pStyle w:val="FirstParagraph"/>
      </w:pPr>
      <w:r>
        <w:t xml:space="preserve">Horizontal rule: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Heading 1</w:t>
      </w:r>
      <w:r>
        <w:t xml:space="preserve">’s are recommended to be reserved for the title of the manuscript.</w:t>
      </w:r>
    </w:p>
    <w:p>
      <w:pPr>
        <w:pStyle w:val="BodyText"/>
      </w:pPr>
      <w:r>
        <w:rPr>
          <w:rStyle w:val="VerbatimChar"/>
        </w:rPr>
        <w:t xml:space="preserve">Heading 2</w:t>
      </w:r>
      <w:r>
        <w:t xml:space="preserve">’s are recommended for broad sections such as</w:t>
      </w:r>
      <w:r>
        <w:t xml:space="preserve"> </w:t>
      </w:r>
      <w:r>
        <w:rPr>
          <w:iCs/>
          <w:i/>
        </w:rPr>
        <w:t xml:space="preserve">Abstract</w:t>
      </w:r>
      <w:r>
        <w:t xml:space="preserve">,</w:t>
      </w:r>
      <w:r>
        <w:t xml:space="preserve"> </w:t>
      </w:r>
      <w:r>
        <w:rPr>
          <w:iCs/>
          <w:i/>
        </w:rPr>
        <w:t xml:space="preserve">Methods</w:t>
      </w:r>
      <w:r>
        <w:t xml:space="preserve">,</w:t>
      </w:r>
      <w:r>
        <w:t xml:space="preserve"> </w:t>
      </w:r>
      <w:r>
        <w:rPr>
          <w:iCs/>
          <w:i/>
        </w:rPr>
        <w:t xml:space="preserve">Conclusion</w:t>
      </w:r>
      <w:r>
        <w:t xml:space="preserve">, etc.</w:t>
      </w:r>
    </w:p>
    <w:p>
      <w:pPr>
        <w:pStyle w:val="BodyText"/>
      </w:pPr>
      <w:r>
        <w:rPr>
          <w:rStyle w:val="VerbatimChar"/>
        </w:rPr>
        <w:t xml:space="preserve">Heading 3</w:t>
      </w:r>
      <w:r>
        <w:t xml:space="preserve">’s and</w:t>
      </w:r>
      <w:r>
        <w:t xml:space="preserve"> </w:t>
      </w:r>
      <w:r>
        <w:rPr>
          <w:rStyle w:val="VerbatimChar"/>
        </w:rPr>
        <w:t xml:space="preserve">Heading 4</w:t>
      </w:r>
      <w:r>
        <w:t xml:space="preserve">’s are recommended for sub-sections.</w:t>
      </w:r>
    </w:p>
    <w:bookmarkEnd w:id="38"/>
    <w:bookmarkEnd w:id="39"/>
    <w:bookmarkStart w:id="41" w:name="links"/>
    <w:p>
      <w:pPr>
        <w:pStyle w:val="Heading2"/>
      </w:pPr>
      <w:r>
        <w:t xml:space="preserve">Links</w:t>
      </w:r>
    </w:p>
    <w:p>
      <w:pPr>
        <w:pStyle w:val="FirstParagraph"/>
      </w:pPr>
      <w:r>
        <w:t xml:space="preserve">Bare URL link:</w:t>
      </w:r>
      <w:r>
        <w:t xml:space="preserve"> </w:t>
      </w:r>
      <w:hyperlink r:id="rId40">
        <w:r>
          <w:rPr>
            <w:rStyle w:val="Hyperlink"/>
          </w:rPr>
          <w:t xml:space="preserve">https://manubot.org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Long link with lots of words and stuff and junk and bleep and blah and stuff and other stuff and more stuff yeah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Link with text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Link with hover text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Link by reference</w:t>
        </w:r>
      </w:hyperlink>
    </w:p>
    <w:bookmarkEnd w:id="41"/>
    <w:bookmarkStart w:id="42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Citation by DOI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Central ID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ID</w:t>
      </w:r>
      <w:r>
        <w:t xml:space="preserve"> </w:t>
      </w:r>
      <w:r>
        <w:t xml:space="preserve">[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Wikidata ID</w:t>
      </w:r>
      <w:r>
        <w:t xml:space="preserve"> </w:t>
      </w:r>
      <w:r>
        <w:t xml:space="preserve">[</w:t>
      </w:r>
      <w:hyperlink w:anchor="ref-QhC8yJ7V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ISBN</w:t>
      </w:r>
      <w:r>
        <w:t xml:space="preserve"> </w:t>
      </w:r>
      <w:r>
        <w:t xml:space="preserve">[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URL</w:t>
      </w:r>
      <w:r>
        <w:t xml:space="preserve"> </w:t>
      </w:r>
      <w:r>
        <w:t xml:space="preserve">[</w:t>
      </w:r>
      <w:hyperlink w:anchor="ref-1GGGHdsew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alias</w:t>
      </w:r>
      <w:r>
        <w:t xml:space="preserve"> </w:t>
      </w:r>
      <w:r>
        <w:t xml:space="preserve">[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Multiple citations can be put inside the same set of brackets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,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Manubot plugins provide easier, more convenient visualization of and navigation between citations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,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,</w:t>
      </w:r>
      <w:hyperlink w:anchor="ref-YuJbg3zO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tags (i.e. aliases) can be defined in their own paragraphs using Markdown’s reference link syntax:</w:t>
      </w:r>
    </w:p>
    <w:bookmarkEnd w:id="42"/>
    <w:bookmarkStart w:id="43" w:name="referencing-figures-tables-equations"/>
    <w:p>
      <w:pPr>
        <w:pStyle w:val="Heading2"/>
      </w:pPr>
      <w:r>
        <w:t xml:space="preserve">Referencing figures, tables, equations</w:t>
      </w:r>
    </w:p>
    <w:p>
      <w:pPr>
        <w:pStyle w:val="FirstParagraph"/>
      </w:pPr>
      <w:r>
        <w:t xml:space="preserve">Figure</w:t>
      </w:r>
      <w:r>
        <w:t xml:space="preserve"> </w:t>
      </w:r>
      <w:hyperlink w:anchor="fig:square-image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wide-image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tall-image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vector-image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Table</w:t>
      </w:r>
      <w:r>
        <w:t xml:space="preserve"> </w:t>
      </w:r>
      <w:hyperlink w:anchor="tbl:bowling-scores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 ??</w:t>
      </w:r>
    </w:p>
    <w:p>
      <w:pPr>
        <w:pStyle w:val="BodyText"/>
      </w:pPr>
      <w:r>
        <w:t xml:space="preserve">Equation ??</w:t>
      </w:r>
    </w:p>
    <w:bookmarkEnd w:id="43"/>
    <w:bookmarkStart w:id="44" w:name="quotes-and-code"/>
    <w:p>
      <w:pPr>
        <w:pStyle w:val="Heading2"/>
      </w:pPr>
      <w:r>
        <w:t xml:space="preserve">Quotes and code</w:t>
      </w:r>
    </w:p>
    <w:p>
      <w:pPr>
        <w:pStyle w:val="BlockText"/>
      </w:pPr>
      <w:r>
        <w:t xml:space="preserve">Quoted text</w:t>
      </w:r>
    </w:p>
    <w:p>
      <w:pPr>
        <w:pStyle w:val="BlockText"/>
      </w:pPr>
      <w:r>
        <w:t xml:space="preserve">Quoted block of text</w:t>
      </w:r>
    </w:p>
    <w:p>
      <w:pPr>
        <w:pStyle w:val="BlockText"/>
      </w:pPr>
      <w:r>
        <w:t xml:space="preserve">Two roads diverged in a wood, and I—</w:t>
      </w:r>
      <w:r>
        <w:br/>
      </w:r>
      <w:r>
        <w:t xml:space="preserve">I took the one less traveled by,</w:t>
      </w:r>
      <w:r>
        <w:br/>
      </w:r>
      <w:r>
        <w:t xml:space="preserve">And that has made all the difference.</w:t>
      </w:r>
    </w:p>
    <w:p>
      <w:pPr>
        <w:pStyle w:val="FirstParagraph"/>
      </w:pPr>
      <w:r>
        <w:t xml:space="preserve">Code</w:t>
      </w:r>
      <w:r>
        <w:t xml:space="preserve"> </w:t>
      </w:r>
      <w:r>
        <w:rPr>
          <w:rStyle w:val="VerbatimChar"/>
        </w:rPr>
        <w:t xml:space="preserve">in the middle</w:t>
      </w:r>
      <w:r>
        <w:t xml:space="preserve"> </w:t>
      </w:r>
      <w:r>
        <w:t xml:space="preserve">of normal text, aka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Code block with Python syntax highlighting: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manubot.cite.doi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expand_short_doi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test_expand_short_doi():</w:t>
      </w:r>
      <w:r>
        <w:br/>
      </w:r>
      <w:r>
        <w:rPr>
          <w:rStyle w:val="NormalTok"/>
        </w:rPr>
        <w:t xml:space="preserve">    doi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expand_short_doi(</w:t>
      </w:r>
      <w:r>
        <w:rPr>
          <w:rStyle w:val="StringTok"/>
        </w:rPr>
        <w:t xml:space="preserve">"10/c3bp"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string too long to fit within page: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doi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"10.25313/2524-2695-2018-3-vliyanie-enhansera-copia-i-insulyatora-gypsy-na-sintez-ernk-modifikatsii-hromatina-i-svyazyvanie-insulyatornyh-belkov-vtransfetsirovannyh-geneticheskih-konstruktsiyah"</w:t>
      </w:r>
    </w:p>
    <w:p>
      <w:pPr>
        <w:pStyle w:val="FirstParagraph"/>
      </w:pPr>
      <w:r>
        <w:t xml:space="preserve">Code block with no syntax highlighting:</w:t>
      </w:r>
    </w:p>
    <w:p>
      <w:pPr>
        <w:pStyle w:val="SourceCode"/>
      </w:pPr>
      <w:r>
        <w:rPr>
          <w:rStyle w:val="VerbatimChar"/>
        </w:rPr>
        <w:t xml:space="preserve">Exporting HTML manuscript</w:t>
      </w:r>
      <w:r>
        <w:br/>
      </w:r>
      <w:r>
        <w:rPr>
          <w:rStyle w:val="VerbatimChar"/>
        </w:rPr>
        <w:t xml:space="preserve">Exporting DOCX manuscript</w:t>
      </w:r>
      <w:r>
        <w:br/>
      </w:r>
      <w:r>
        <w:rPr>
          <w:rStyle w:val="VerbatimChar"/>
        </w:rPr>
        <w:t xml:space="preserve">Exporting PDF manuscript</w:t>
      </w:r>
    </w:p>
    <w:bookmarkEnd w:id="44"/>
    <w:bookmarkStart w:id="57" w:name="figures"/>
    <w:p>
      <w:pPr>
        <w:pStyle w:val="Heading2"/>
      </w:pPr>
      <w:r>
        <w:t xml:space="preserve">Figures</w:t>
      </w:r>
    </w:p>
    <w:bookmarkStart w:id="0" w:name="fig:square-image"/>
    <w:p>
      <w:pPr>
        <w:pStyle w:val="CaptionedFigure"/>
      </w:pPr>
      <w:bookmarkStart w:id="46" w:name="fig:square-image"/>
      <w:r>
        <w:drawing>
          <wp:inline>
            <wp:extent cx="3657600" cy="3657600"/>
            <wp:effectExtent b="0" l="0" r="0" t="0"/>
            <wp:docPr descr="Figure 1: A square image at actual size and with a bottom caption. Loaded from the latest version of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bookmarkStart w:id="47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7"/>
      <w:r>
        <w:t xml:space="preserve">Figure 1:</w:t>
      </w:r>
      <w:r>
        <w:t xml:space="preserve"> </w:t>
      </w:r>
      <w:r>
        <w:rPr>
          <w:bCs/>
          <w:b/>
        </w:rPr>
        <w:t xml:space="preserve">A square image at actual size and with a bottom caption.</w:t>
      </w:r>
      <w:r>
        <w:t xml:space="preserve"> </w:t>
      </w:r>
      <w:r>
        <w:t xml:space="preserve">Loaded from the latest version of image on GitHub.</w:t>
      </w:r>
    </w:p>
    <w:bookmarkEnd w:id="0"/>
    <w:bookmarkStart w:id="0" w:name="fig:wide-image"/>
    <w:p>
      <w:pPr>
        <w:pStyle w:val="CaptionedFigure"/>
      </w:pPr>
      <w:bookmarkStart w:id="49" w:name="fig:wide-image"/>
      <w:r>
        <w:drawing>
          <wp:inline>
            <wp:extent cx="5943600" cy="2377440"/>
            <wp:effectExtent b="0" l="0" r="0" t="0"/>
            <wp:docPr descr="Figure 2: An image too wide to fit within page at full size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w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bookmarkStart w:id="50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50"/>
      <w:r>
        <w:t xml:space="preserve">Figure 2:</w:t>
      </w:r>
      <w:r>
        <w:t xml:space="preserve"> </w:t>
      </w:r>
      <w:r>
        <w:rPr>
          <w:bCs/>
          <w:b/>
        </w:rPr>
        <w:t xml:space="preserve">An image too wide to fit within page at full size.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tall-image"/>
    <w:p>
      <w:pPr>
        <w:pStyle w:val="CaptionedFigure"/>
      </w:pPr>
      <w:bookmarkStart w:id="52" w:name="fig:tall-image"/>
      <w:r>
        <w:drawing>
          <wp:inline>
            <wp:extent cx="1371600" cy="2743200"/>
            <wp:effectExtent b="0" l="0" r="0" t="0"/>
            <wp:docPr descr="Figure 3: A tall image with a specified height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t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bookmarkStart w:id="53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53"/>
      <w:r>
        <w:t xml:space="preserve">Figure 3:</w:t>
      </w:r>
      <w:r>
        <w:t xml:space="preserve"> </w:t>
      </w:r>
      <w:r>
        <w:rPr>
          <w:bCs/>
          <w:b/>
        </w:rPr>
        <w:t xml:space="preserve">A tall image with a specified height.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vector-image"/>
    <w:p>
      <w:pPr>
        <w:pStyle w:val="CaptionedFigure"/>
      </w:pPr>
      <w:bookmarkStart w:id="55" w:name="fig:vector-image"/>
      <w:r>
        <w:drawing>
          <wp:inline>
            <wp:extent cx="2286000" cy="2286000"/>
            <wp:effectExtent b="0" l="0" r="0" t="0"/>
            <wp:docPr descr="Figure 4: A vector .svg image loaded from GitHub. The parameter sanitize=true is necessary to properly load SVGs hosted via GitHub URLs. White background specified to serve as a backdrop for transparent sections of the image.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manubot/resources/main/test/vector.svg?sanitize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bookmarkStart w:id="56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56"/>
      <w:r>
        <w:t xml:space="preserve">Figure 4:</w:t>
      </w:r>
      <w:r>
        <w:t xml:space="preserve"> </w:t>
      </w:r>
      <w:r>
        <w:rPr>
          <w:bCs/>
          <w:b/>
        </w:rPr>
        <w:t xml:space="preserve">A vector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.svg</w:t>
      </w:r>
      <w:r>
        <w:rPr>
          <w:bCs/>
          <w:b/>
        </w:rPr>
        <w:t xml:space="preserve"> </w:t>
      </w:r>
      <w:r>
        <w:rPr>
          <w:bCs/>
          <w:b/>
        </w:rPr>
        <w:t xml:space="preserve">image loaded from GitHub.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sanitize=true</w:t>
      </w:r>
      <w:r>
        <w:t xml:space="preserve"> </w:t>
      </w:r>
      <w:r>
        <w:t xml:space="preserve">is necessary to properly load SVGs hosted via GitHub URLs.</w:t>
      </w:r>
      <w:r>
        <w:t xml:space="preserve"> </w:t>
      </w:r>
      <w:r>
        <w:t xml:space="preserve">White background specified to serve as a backdrop for transparent sections of the image.</w:t>
      </w:r>
    </w:p>
    <w:bookmarkEnd w:id="0"/>
    <w:bookmarkEnd w:id="57"/>
    <w:bookmarkStart w:id="63" w:name="tables"/>
    <w:p>
      <w:pPr>
        <w:pStyle w:val="Heading2"/>
      </w:pPr>
      <w:r>
        <w:t xml:space="preserve">Tables</w:t>
      </w:r>
    </w:p>
    <w:bookmarkStart w:id="0" w:name="tbl:bowling-scores"/>
    <w:p>
      <w:pPr>
        <w:pStyle w:val="TableCaption"/>
      </w:pPr>
      <w:bookmarkStart w:id="58" w:name="tbl:bowling-scores"/>
      <w:r>
        <w:t xml:space="preserve">Table </w:t>
      </w:r>
      <w:fldSimple w:instr="SEQ Table \* ARABIC ">
        <w:r>
          <w:t>1</w:t>
        </w:r>
      </w:fldSimple>
      <w:r>
        <w:t xml:space="preserve">:</w:t>
      </w:r>
      <w:bookmarkEnd w:id="58"/>
      <w:r>
        <w:t xml:space="preserve"> </w:t>
      </w:r>
      <w:r>
        <w:t xml:space="preserve">Table 1: A table with a top caption and specified relative column widths.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A table with a top caption and specified relative column widths. 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Bowling Scores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John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Game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Game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</w:tr>
    </w:tbl>
    <w:bookmarkEnd w:id="0"/>
    <w:bookmarkStart w:id="0" w:name="tbl:constant-digits"/>
    <w:p>
      <w:pPr>
        <w:pStyle w:val="TableCaption"/>
      </w:pPr>
      <w:bookmarkStart w:id="59" w:name="tbl:constant-digits"/>
      <w:r>
        <w:t xml:space="preserve">Table </w:t>
      </w:r>
      <w:fldSimple w:instr="SEQ Table \* ARABIC ">
        <w:r>
          <w:t>2</w:t>
        </w:r>
      </w:fldSimple>
      <w:r>
        <w:t xml:space="preserve">:</w:t>
      </w:r>
      <w:bookmarkEnd w:id="59"/>
      <w:r>
        <w:t xml:space="preserve"> </w:t>
      </w:r>
      <w:r>
        <w:t xml:space="preserve">Table 2: A table too wide to fit within page.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2: A table too wide to fit within page. "/>
      </w:tblPr>
      <w:tblGrid>
        <w:gridCol w:w="405"/>
        <w:gridCol w:w="1620"/>
        <w:gridCol w:w="1575"/>
        <w:gridCol w:w="1575"/>
        <w:gridCol w:w="274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Digits 1-33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Digits 34-66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Digits 67-99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3.14159265358979323846264338327950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288419716939937510582097494459230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781640628620899862803482534211706</w:t>
            </w:r>
          </w:p>
        </w:tc>
        <w:tc>
          <w:tcPr/>
          <w:p>
            <w:pPr>
              <w:pStyle w:val="Compact"/>
              <w:jc w:val="left"/>
            </w:pPr>
            <w:hyperlink r:id="rId60">
              <w:r>
                <w:rPr>
                  <w:rStyle w:val="VerbatimChar"/>
                </w:rPr>
                <w:t xml:space="preserve">piday.org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2.71828182845904523536028747135266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249775724709369995957496696762772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407663035354759457138217852516642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VerbatimChar"/>
                </w:rPr>
                <w:t xml:space="preserve">nasa.gov</w:t>
              </w:r>
            </w:hyperlink>
          </w:p>
        </w:tc>
      </w:tr>
    </w:tbl>
    <w:bookmarkEnd w:id="0"/>
    <w:bookmarkStart w:id="0" w:name="tbl:ed78961a-8d0f-4750-9b51-7956fe2070cb"/>
    <w:p>
      <w:pPr>
        <w:pStyle w:val="TableCaption"/>
      </w:pPr>
      <w:bookmarkStart w:id="62" w:name="tbl:"/>
      <w:r>
        <w:t xml:space="preserve">Table </w:t>
      </w:r>
      <w:fldSimple w:instr="SEQ Table \* ARABIC ">
        <w:r>
          <w:t>3</w:t>
        </w:r>
      </w:fldSimple>
      <w:r>
        <w:t xml:space="preserve">:</w:t>
      </w:r>
      <w:bookmarkEnd w:id="62"/>
      <w:r>
        <w:t xml:space="preserve"> </w:t>
      </w:r>
      <w:r>
        <w:t xml:space="preserve">Table 3: A table with merged cells using the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3: A table with merged cells using the attributes plugin. 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Colors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Size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Text Color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Background Color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white</w:t>
            </w:r>
          </w:p>
        </w:tc>
      </w:tr>
    </w:tbl>
    <w:bookmarkEnd w:id="0"/>
    <w:bookmarkEnd w:id="63"/>
    <w:bookmarkStart w:id="64" w:name="equations"/>
    <w:p>
      <w:pPr>
        <w:pStyle w:val="Heading2"/>
      </w:pPr>
      <w:r>
        <w:t xml:space="preserve">Equations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π</m:t>
                  </m:r>
                </m:e>
              </m:rad>
            </m:num>
            <m:den>
              <m:r>
                <m:t>2</m:t>
              </m:r>
            </m:den>
          </m:f>
        </m:oMath>
      </m:oMathPara>
    </w:p>
    <w:bookmarkEnd w:id="64"/>
    <w:bookmarkStart w:id="67" w:name="special"/>
    <w:p>
      <w:pPr>
        <w:pStyle w:val="Heading2"/>
      </w:pPr>
      <w:r>
        <w:t xml:space="preserve">Special</w:t>
      </w:r>
    </w:p>
    <w:p>
      <w:pPr>
        <w:pStyle w:val="FirstParagraph"/>
      </w:pPr>
      <w:r>
        <w:t xml:space="preserve"> </w:t>
      </w:r>
      <w:r>
        <w:t xml:space="preserve">WARNING</w:t>
      </w:r>
      <w:r>
        <w:t xml:space="preserve"> </w:t>
      </w:r>
      <w:r>
        <w:rPr>
          <w:iCs/>
          <w:i/>
        </w:rPr>
        <w:t xml:space="preserve">The following features are only supported and intended for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.html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.pdf</w:t>
      </w:r>
      <w:r>
        <w:rPr>
          <w:iCs/>
          <w:i/>
        </w:rPr>
        <w:t xml:space="preserve"> </w:t>
      </w:r>
      <w:r>
        <w:rPr>
          <w:iCs/>
          <w:i/>
        </w:rPr>
        <w:t xml:space="preserve">exports.</w:t>
      </w:r>
      <w:r>
        <w:t xml:space="preserve"> </w:t>
      </w:r>
      <w:r>
        <w:rPr>
          <w:iCs/>
          <w:i/>
        </w:rPr>
        <w:t xml:space="preserve">Journals are not likely to support them, and they may not display correctly when converted to other formats such as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.docx</w:t>
      </w:r>
      <w:r>
        <w:rPr>
          <w:iCs/>
          <w:i/>
        </w:rPr>
        <w:t xml:space="preserve">.</w:t>
      </w:r>
    </w:p>
    <w:p>
      <w:pPr>
        <w:pStyle w:val="BodyText"/>
      </w:pPr>
      <w:hyperlink r:id="rId40">
        <w:r>
          <w:rPr>
            <w:rStyle w:val="Hyperlink"/>
          </w:rPr>
          <w:t xml:space="preserve">Link styled as a button</w:t>
        </w:r>
      </w:hyperlink>
    </w:p>
    <w:p>
      <w:pPr>
        <w:pStyle w:val="BodyText"/>
      </w:pPr>
      <w:r>
        <w:t xml:space="preserve">Adding arbitrary HTML attributes to an element using Pandoc’s attribute syntax:</w:t>
      </w:r>
    </w:p>
    <w:bookmarkStart w:id="65" w:name="some_id_1"/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</w:p>
    <w:bookmarkEnd w:id="65"/>
    <w:p>
      <w:pPr>
        <w:pStyle w:val="BodyText"/>
      </w:pPr>
      <w:r>
        <w:t xml:space="preserve">Adding arbitrary HTML attributes to an element with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(more flexible than Pandoc’s method in terms of which elements you can add attributes to):</w:t>
      </w:r>
    </w:p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  <w:r>
        <w:t xml:space="preserve"> </w:t>
      </w:r>
    </w:p>
    <w:p>
      <w:pPr>
        <w:pStyle w:val="BodyText"/>
      </w:pPr>
      <w:r>
        <w:t xml:space="preserve">Available background colors for text, images, code, banners, etc:</w:t>
      </w:r>
    </w:p>
    <w:p>
      <w:pPr>
        <w:pStyle w:val="BodyText"/>
      </w:pPr>
      <w:r>
        <w:rPr>
          <w:rStyle w:val="VerbatimChar"/>
        </w:rPr>
        <w:t xml:space="preserve">white</w:t>
      </w:r>
      <w:r>
        <w:t xml:space="preserve"> </w:t>
      </w:r>
      <w:r>
        <w:rPr>
          <w:rStyle w:val="VerbatimChar"/>
        </w:rPr>
        <w:t xml:space="preserve">lightgrey</w:t>
      </w:r>
      <w:r>
        <w:t xml:space="preserve"> </w:t>
      </w:r>
      <w:r>
        <w:rPr>
          <w:rStyle w:val="VerbatimChar"/>
        </w:rPr>
        <w:t xml:space="preserve">grey</w:t>
      </w:r>
      <w:r>
        <w:t xml:space="preserve"> </w:t>
      </w:r>
      <w:r>
        <w:rPr>
          <w:rStyle w:val="VerbatimChar"/>
        </w:rPr>
        <w:t xml:space="preserve">darkgrey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rPr>
          <w:rStyle w:val="VerbatimChar"/>
        </w:rPr>
        <w:t xml:space="preserve">lightred</w:t>
      </w:r>
      <w:r>
        <w:t xml:space="preserve"> </w:t>
      </w:r>
      <w:r>
        <w:rPr>
          <w:rStyle w:val="VerbatimChar"/>
        </w:rPr>
        <w:t xml:space="preserve">lightyellow</w:t>
      </w:r>
      <w:r>
        <w:t xml:space="preserve"> </w:t>
      </w:r>
      <w:r>
        <w:rPr>
          <w:rStyle w:val="VerbatimChar"/>
        </w:rPr>
        <w:t xml:space="preserve">lightgreen</w:t>
      </w:r>
      <w:r>
        <w:t xml:space="preserve"> </w:t>
      </w:r>
      <w:r>
        <w:rPr>
          <w:rStyle w:val="VerbatimChar"/>
        </w:rPr>
        <w:t xml:space="preserve">lightblue</w:t>
      </w:r>
      <w:r>
        <w:t xml:space="preserve"> </w:t>
      </w:r>
      <w:r>
        <w:rPr>
          <w:rStyle w:val="VerbatimChar"/>
        </w:rPr>
        <w:t xml:space="preserve">lightpurple</w:t>
      </w:r>
      <w:r>
        <w:t xml:space="preserve"> </w:t>
      </w:r>
      <w:r>
        <w:rPr>
          <w:rStyle w:val="VerbatimChar"/>
        </w:rPr>
        <w:t xml:space="preserve">red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rPr>
          <w:rStyle w:val="VerbatimChar"/>
        </w:rPr>
        <w:t xml:space="preserve">yellow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rPr>
          <w:rStyle w:val="VerbatimChar"/>
        </w:rPr>
        <w:t xml:space="preserve">purple</w:t>
      </w:r>
    </w:p>
    <w:p>
      <w:pPr>
        <w:pStyle w:val="BodyText"/>
      </w:pPr>
      <w:r>
        <w:t xml:space="preserve">Using the</w:t>
      </w:r>
      <w:r>
        <w:t xml:space="preserve"> </w:t>
      </w:r>
      <w:hyperlink r:id="rId66">
        <w:r>
          <w:rPr>
            <w:rStyle w:val="Hyperlink"/>
          </w:rPr>
          <w:t xml:space="preserve">Font Awesome</w:t>
        </w:r>
      </w:hyperlink>
      <w:r>
        <w:t xml:space="preserve"> </w:t>
      </w:r>
      <w:r>
        <w:t xml:space="preserve">icon set: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Light Grey Banner</w:t>
      </w:r>
      <w:r>
        <w:t xml:space="preserve"> </w:t>
      </w:r>
      <w:r>
        <w:t xml:space="preserve">useful for</w:t>
      </w:r>
      <w:r>
        <w:t xml:space="preserve"> </w:t>
      </w:r>
      <w:r>
        <w:rPr>
          <w:iCs/>
          <w:i/>
        </w:rPr>
        <w:t xml:space="preserve">general information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Cs/>
          <w:b/>
        </w:rPr>
        <w:t xml:space="preserve">Blue Banner</w:t>
      </w:r>
      <w:r>
        <w:t xml:space="preserve"> </w:t>
      </w:r>
      <w:r>
        <w:t xml:space="preserve">useful for</w:t>
      </w:r>
      <w:r>
        <w:t xml:space="preserve"> </w:t>
      </w:r>
      <w:r>
        <w:rPr>
          <w:iCs/>
          <w:i/>
        </w:rPr>
        <w:t xml:space="preserve">important information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Cs/>
          <w:b/>
        </w:rPr>
        <w:t xml:space="preserve">Light Red Banner</w:t>
      </w:r>
      <w:r>
        <w:t xml:space="preserve"> </w:t>
      </w:r>
      <w:r>
        <w:t xml:space="preserve">useful for</w:t>
      </w:r>
      <w:r>
        <w:t xml:space="preserve"> </w:t>
      </w:r>
      <w:r>
        <w:rPr>
          <w:iCs/>
          <w:i/>
        </w:rPr>
        <w:t xml:space="preserve">warnings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manubot.org</w:t>
        </w:r>
      </w:hyperlink>
    </w:p>
    <w:bookmarkEnd w:id="67"/>
    <w:bookmarkStart w:id="98" w:name="references"/>
    <w:p>
      <w:pPr>
        <w:pStyle w:val="Heading2"/>
      </w:pPr>
      <w:r>
        <w:t xml:space="preserve">References</w:t>
      </w:r>
    </w:p>
    <w:bookmarkStart w:id="97" w:name="refs"/>
    <w:bookmarkStart w:id="72" w:name="ref-IhliSZDo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Sci-Hub provides access to nearly all scholarly literature</w:t>
      </w:r>
      <w:r>
        <w:t xml:space="preserve"> </w:t>
      </w:r>
      <w:r>
        <w:t xml:space="preserve">Daniel S Himmelstein, Ariel Rodriguez Romero, Jacob G Levernier, Thomas Anthony Munro, Stephen Reid McLaughlin, Bastian Greshake Tzovaras, Casey S Greene</w:t>
      </w:r>
      <w:r>
        <w:t xml:space="preserve"> </w:t>
      </w:r>
      <w:r>
        <w:rPr>
          <w:iCs/>
          <w:i/>
        </w:rPr>
        <w:t xml:space="preserve">eLife</w:t>
      </w:r>
      <w:r>
        <w:t xml:space="preserve"> </w:t>
      </w:r>
      <w:r>
        <w:t xml:space="preserve">(2018-03-01)</w:t>
      </w:r>
      <w:r>
        <w:t xml:space="preserve"> </w:t>
      </w:r>
      <w:hyperlink r:id="rId68">
        <w:r>
          <w:rPr>
            <w:rStyle w:val="Hyperlink"/>
          </w:rPr>
          <w:t xml:space="preserve">https://doi.org/ckcj</w:t>
        </w:r>
      </w:hyperlink>
      <w:r>
        <w:t xml:space="preserve"> </w:t>
      </w:r>
      <w:r>
        <w:t xml:space="preserve">DOI:</w:t>
      </w:r>
      <w:r>
        <w:t xml:space="preserve"> </w:t>
      </w:r>
      <w:hyperlink r:id="rId69">
        <w:r>
          <w:rPr>
            <w:rStyle w:val="Hyperlink"/>
          </w:rPr>
          <w:t xml:space="preserve">10.7554/elife.32822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0">
        <w:r>
          <w:rPr>
            <w:rStyle w:val="Hyperlink"/>
          </w:rPr>
          <w:t xml:space="preserve">29424689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71">
        <w:r>
          <w:rPr>
            <w:rStyle w:val="Hyperlink"/>
          </w:rPr>
          <w:t xml:space="preserve">PMC5832410</w:t>
        </w:r>
      </w:hyperlink>
    </w:p>
    <w:bookmarkEnd w:id="72"/>
    <w:bookmarkStart w:id="77" w:name="ref-mSMVRk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Reproducibility of computational workflows is automated using continuous analysis</w:t>
      </w:r>
      <w:r>
        <w:t xml:space="preserve"> </w:t>
      </w:r>
      <w:r>
        <w:t xml:space="preserve">Brett K Beaulieu-Jones, Casey S Greene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 </w:t>
      </w:r>
      <w:r>
        <w:t xml:space="preserve">(2017-04)</w:t>
      </w:r>
      <w:r>
        <w:t xml:space="preserve"> </w:t>
      </w:r>
      <w:hyperlink r:id="rId73">
        <w:r>
          <w:rPr>
            <w:rStyle w:val="Hyperlink"/>
          </w:rPr>
          <w:t xml:space="preserve">https://www.ncbi.nlm.nih.gov/pmc/articles/PMC6103790/</w:t>
        </w:r>
      </w:hyperlink>
      <w:r>
        <w:t xml:space="preserve"> </w:t>
      </w:r>
      <w:r>
        <w:t xml:space="preserve">DOI:</w:t>
      </w:r>
      <w:r>
        <w:t xml:space="preserve"> </w:t>
      </w:r>
      <w:hyperlink r:id="rId74">
        <w:r>
          <w:rPr>
            <w:rStyle w:val="Hyperlink"/>
          </w:rPr>
          <w:t xml:space="preserve">10.1038/nbt.3780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5">
        <w:r>
          <w:rPr>
            <w:rStyle w:val="Hyperlink"/>
          </w:rPr>
          <w:t xml:space="preserve">28288103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76">
        <w:r>
          <w:rPr>
            <w:rStyle w:val="Hyperlink"/>
          </w:rPr>
          <w:t xml:space="preserve">PMC6103790</w:t>
        </w:r>
      </w:hyperlink>
    </w:p>
    <w:bookmarkEnd w:id="77"/>
    <w:bookmarkStart w:id="80" w:name="ref-126Wi5Us4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Bitcoin for the biological literature.</w:t>
      </w:r>
      <w:r>
        <w:t xml:space="preserve"> </w:t>
      </w:r>
      <w:r>
        <w:t xml:space="preserve">Douglas Heaven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(2019-02)</w:t>
      </w:r>
      <w:r>
        <w:t xml:space="preserve"> </w:t>
      </w:r>
      <w:hyperlink r:id="rId78">
        <w:r>
          <w:rPr>
            <w:rStyle w:val="Hyperlink"/>
          </w:rPr>
          <w:t xml:space="preserve">https://www.ncbi.nlm.nih.gov/pubmed/30718888</w:t>
        </w:r>
      </w:hyperlink>
      <w:r>
        <w:t xml:space="preserve"> </w:t>
      </w:r>
      <w:r>
        <w:t xml:space="preserve">DOI:</w:t>
      </w:r>
      <w:r>
        <w:t xml:space="preserve"> </w:t>
      </w:r>
      <w:hyperlink r:id="rId79">
        <w:r>
          <w:rPr>
            <w:rStyle w:val="Hyperlink"/>
          </w:rPr>
          <w:t xml:space="preserve">10.1038/d41586-019-00447-9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8">
        <w:r>
          <w:rPr>
            <w:rStyle w:val="Hyperlink"/>
          </w:rPr>
          <w:t xml:space="preserve">30718888</w:t>
        </w:r>
      </w:hyperlink>
    </w:p>
    <w:bookmarkEnd w:id="80"/>
    <w:bookmarkStart w:id="82" w:name="ref-QhC8yJ7V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Plan S: Accelerating the transition to full and immediate Open Access to scientific publications</w:t>
      </w:r>
      <w:r>
        <w:t xml:space="preserve"> </w:t>
      </w:r>
      <w:r>
        <w:t xml:space="preserve">cOAlition S</w:t>
      </w:r>
      <w:r>
        <w:t xml:space="preserve"> </w:t>
      </w:r>
      <w:r>
        <w:t xml:space="preserve">(2018-09-04)</w:t>
      </w:r>
      <w:r>
        <w:t xml:space="preserve"> </w:t>
      </w:r>
      <w:hyperlink r:id="rId81">
        <w:r>
          <w:rPr>
            <w:rStyle w:val="Hyperlink"/>
          </w:rPr>
          <w:t xml:space="preserve">https://www.wikidata.org/wiki/Q56458321</w:t>
        </w:r>
      </w:hyperlink>
    </w:p>
    <w:bookmarkEnd w:id="82"/>
    <w:bookmarkStart w:id="84" w:name="ref-zBPP9YK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rPr>
          <w:bCs/>
          <w:b/>
        </w:rPr>
        <w:t xml:space="preserve">Open access</w:t>
      </w:r>
      <w:r>
        <w:t xml:space="preserve"> </w:t>
      </w:r>
      <w:r>
        <w:t xml:space="preserve">Peter Suber</w:t>
      </w:r>
      <w:r>
        <w:t xml:space="preserve"> </w:t>
      </w:r>
      <w:r>
        <w:rPr>
          <w:iCs/>
          <w:i/>
        </w:rPr>
        <w:t xml:space="preserve">MIT Press</w:t>
      </w:r>
      <w:r>
        <w:t xml:space="preserve"> </w:t>
      </w:r>
      <w:r>
        <w:t xml:space="preserve">(2012)</w:t>
      </w:r>
      <w:r>
        <w:t xml:space="preserve"> </w:t>
      </w:r>
      <w:r>
        <w:t xml:space="preserve">ISBN:</w:t>
      </w:r>
      <w:r>
        <w:t xml:space="preserve"> </w:t>
      </w:r>
      <w:hyperlink r:id="rId83">
        <w:r>
          <w:rPr>
            <w:rStyle w:val="Hyperlink"/>
          </w:rPr>
          <w:t xml:space="preserve">9780262517638</w:t>
        </w:r>
      </w:hyperlink>
    </w:p>
    <w:bookmarkEnd w:id="84"/>
    <w:bookmarkStart w:id="86" w:name="ref-1GGGHdsew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rPr>
          <w:bCs/>
          <w:b/>
        </w:rPr>
        <w:t xml:space="preserve">Open collaborative writing with Manubot</w:t>
      </w:r>
      <w:r>
        <w:t xml:space="preserve"> </w:t>
      </w:r>
      <w:r>
        <w:t xml:space="preserve">Daniel S Himmelstein, Vincent Rubinetti, David R Slochower, Dongbo Hu, Venkat S Malladi, Casey S Greene, Anthony Gitter</w:t>
      </w:r>
      <w:r>
        <w:t xml:space="preserve"> </w:t>
      </w:r>
      <w:r>
        <w:rPr>
          <w:iCs/>
          <w:i/>
        </w:rPr>
        <w:t xml:space="preserve">Manubot</w:t>
      </w:r>
      <w:r>
        <w:t xml:space="preserve"> </w:t>
      </w:r>
      <w:r>
        <w:t xml:space="preserve">(2020-05-25)</w:t>
      </w:r>
      <w:r>
        <w:t xml:space="preserve"> </w:t>
      </w:r>
      <w:hyperlink r:id="rId85">
        <w:r>
          <w:rPr>
            <w:rStyle w:val="Hyperlink"/>
          </w:rPr>
          <w:t xml:space="preserve">https://greenelab.github.io/meta-review/</w:t>
        </w:r>
      </w:hyperlink>
    </w:p>
    <w:bookmarkEnd w:id="86"/>
    <w:bookmarkStart w:id="91" w:name="ref-PZMP42Ak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rPr>
          <w:bCs/>
          <w:b/>
        </w:rPr>
        <w:t xml:space="preserve">Opportunities and obstacles for deep learning in biology and medicine</w:t>
      </w:r>
      <w:r>
        <w:t xml:space="preserve"> </w:t>
      </w:r>
      <w:r>
        <w:t xml:space="preserve">Travers Ching, Daniel S Himmelstein, Brett K Beaulieu-Jones, Alexandr A Kalinin, Brian T Do, Gregory P Way, Enrico Ferrero, Paul-Michael Agapow, Michael Zietz, Michael M Hoffman, … Casey S Greene</w:t>
      </w:r>
      <w:r>
        <w:t xml:space="preserve"> </w:t>
      </w:r>
      <w:r>
        <w:rPr>
          <w:iCs/>
          <w:i/>
        </w:rPr>
        <w:t xml:space="preserve">Journal of The Royal Society Interface</w:t>
      </w:r>
      <w:r>
        <w:t xml:space="preserve"> </w:t>
      </w:r>
      <w:r>
        <w:t xml:space="preserve">(2018-04-04)</w:t>
      </w:r>
      <w:r>
        <w:t xml:space="preserve"> </w:t>
      </w:r>
      <w:hyperlink r:id="rId87">
        <w:r>
          <w:rPr>
            <w:rStyle w:val="Hyperlink"/>
          </w:rPr>
          <w:t xml:space="preserve">https://doi.org/gddkhn</w:t>
        </w:r>
      </w:hyperlink>
      <w:r>
        <w:t xml:space="preserve"> </w:t>
      </w:r>
      <w:r>
        <w:t xml:space="preserve">DOI:</w:t>
      </w:r>
      <w:r>
        <w:t xml:space="preserve"> </w:t>
      </w:r>
      <w:hyperlink r:id="rId88">
        <w:r>
          <w:rPr>
            <w:rStyle w:val="Hyperlink"/>
          </w:rPr>
          <w:t xml:space="preserve">10.1098/rsif.2017.0387</w:t>
        </w:r>
      </w:hyperlink>
      <w:r>
        <w:t xml:space="preserve"> </w:t>
      </w:r>
      <w:r>
        <w:t xml:space="preserve">· PMID:</w:t>
      </w:r>
      <w:r>
        <w:t xml:space="preserve"> </w:t>
      </w:r>
      <w:hyperlink r:id="rId89">
        <w:r>
          <w:rPr>
            <w:rStyle w:val="Hyperlink"/>
          </w:rPr>
          <w:t xml:space="preserve">29618526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90">
        <w:r>
          <w:rPr>
            <w:rStyle w:val="Hyperlink"/>
          </w:rPr>
          <w:t xml:space="preserve">PMC5938574</w:t>
        </w:r>
      </w:hyperlink>
    </w:p>
    <w:bookmarkEnd w:id="91"/>
    <w:bookmarkStart w:id="96" w:name="ref-YuJbg3zO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rPr>
          <w:bCs/>
          <w:b/>
        </w:rPr>
        <w:t xml:space="preserve">Open collaborative writing with Manubot</w:t>
      </w:r>
      <w:r>
        <w:t xml:space="preserve"> </w:t>
      </w:r>
      <w:r>
        <w:t xml:space="preserve">Daniel S Himmelstein, Vincent Rubinetti, David R Slochower, Dongbo Hu, Venkat S Malladi, Casey S Greene, Anthony Gitter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92">
        <w:r>
          <w:rPr>
            <w:rStyle w:val="Hyperlink"/>
          </w:rPr>
          <w:t xml:space="preserve">https://doi.org/c7np</w:t>
        </w:r>
      </w:hyperlink>
      <w:r>
        <w:t xml:space="preserve"> </w:t>
      </w:r>
      <w:r>
        <w:t xml:space="preserve">DOI:</w:t>
      </w:r>
      <w:r>
        <w:t xml:space="preserve"> </w:t>
      </w:r>
      <w:hyperlink r:id="rId93">
        <w:r>
          <w:rPr>
            <w:rStyle w:val="Hyperlink"/>
          </w:rPr>
          <w:t xml:space="preserve">10.1371/journal.pcbi.1007128</w:t>
        </w:r>
      </w:hyperlink>
      <w:r>
        <w:t xml:space="preserve"> </w:t>
      </w:r>
      <w:r>
        <w:t xml:space="preserve">· PMID:</w:t>
      </w:r>
      <w:r>
        <w:t xml:space="preserve"> </w:t>
      </w:r>
      <w:hyperlink r:id="rId94">
        <w:r>
          <w:rPr>
            <w:rStyle w:val="Hyperlink"/>
          </w:rPr>
          <w:t xml:space="preserve">31233491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95">
        <w:r>
          <w:rPr>
            <w:rStyle w:val="Hyperlink"/>
          </w:rPr>
          <w:t xml:space="preserve">PMC6611653</w:t>
        </w:r>
      </w:hyperlink>
    </w:p>
    <w:bookmarkEnd w:id="96"/>
    <w:bookmarkEnd w:id="97"/>
    <w:bookmarkEnd w:id="98"/>
    <w:bookmarkEnd w:id="99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image" Id="rId54" Target="media/rId54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61" Target="https://apod.nasa.gov/htmltest/gifcity/e.2mil" TargetMode="External" /><Relationship Type="http://schemas.openxmlformats.org/officeDocument/2006/relationships/hyperlink" Id="rId30" Target="https://asciidoctor.org/docs/asciidoc-recommended-practices/#one-sentence-per-line" TargetMode="External" /><Relationship Type="http://schemas.openxmlformats.org/officeDocument/2006/relationships/hyperlink" Id="rId20" Target="https://ch728.github.io/cucurbit-usda/v/69fc8793dc409936069018d11f209135dda1b4f4/" TargetMode="External" /><Relationship Type="http://schemas.openxmlformats.org/officeDocument/2006/relationships/hyperlink" Id="rId79" Target="https://doi.org/10.1038/d41586-019-00447-9" TargetMode="External" /><Relationship Type="http://schemas.openxmlformats.org/officeDocument/2006/relationships/hyperlink" Id="rId74" Target="https://doi.org/10.1038/nbt.3780" TargetMode="External" /><Relationship Type="http://schemas.openxmlformats.org/officeDocument/2006/relationships/hyperlink" Id="rId88" Target="https://doi.org/10.1098/rsif.2017.0387" TargetMode="External" /><Relationship Type="http://schemas.openxmlformats.org/officeDocument/2006/relationships/hyperlink" Id="rId93" Target="https://doi.org/10.1371/journal.pcbi.1007128" TargetMode="External" /><Relationship Type="http://schemas.openxmlformats.org/officeDocument/2006/relationships/hyperlink" Id="rId69" Target="https://doi.org/10.7554/elife.32822" TargetMode="External" /><Relationship Type="http://schemas.openxmlformats.org/officeDocument/2006/relationships/hyperlink" Id="rId92" Target="https://doi.org/c7np" TargetMode="External" /><Relationship Type="http://schemas.openxmlformats.org/officeDocument/2006/relationships/hyperlink" Id="rId68" Target="https://doi.org/ckcj" TargetMode="External" /><Relationship Type="http://schemas.openxmlformats.org/officeDocument/2006/relationships/hyperlink" Id="rId87" Target="https://doi.org/gddkhn" TargetMode="External" /><Relationship Type="http://schemas.openxmlformats.org/officeDocument/2006/relationships/hyperlink" Id="rId66" Target="https://fontawesome.com/" TargetMode="External" /><Relationship Type="http://schemas.openxmlformats.org/officeDocument/2006/relationships/hyperlink" Id="rId25" Target="https://github.com/ch728" TargetMode="External" /><Relationship Type="http://schemas.openxmlformats.org/officeDocument/2006/relationships/hyperlink" Id="rId21" Target="https://github.com/ch728/cucurbit-usda/tree/69fc8793dc409936069018d11f209135dda1b4f4" TargetMode="External" /><Relationship Type="http://schemas.openxmlformats.org/officeDocument/2006/relationships/hyperlink" Id="rId85" Target="https://greenelab.github.io/meta-review/" TargetMode="External" /><Relationship Type="http://schemas.openxmlformats.org/officeDocument/2006/relationships/hyperlink" Id="rId40" Target="https://manubot.org" TargetMode="External" /><Relationship Type="http://schemas.openxmlformats.org/officeDocument/2006/relationships/hyperlink" Id="rId27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1" Target="https://rhodesmill.org/brandon/2012/one-sentence-per-line/" TargetMode="External" /><Relationship Type="http://schemas.openxmlformats.org/officeDocument/2006/relationships/hyperlink" Id="rId83" Target="https://worldcat.org/isbn/9780262517638" TargetMode="External" /><Relationship Type="http://schemas.openxmlformats.org/officeDocument/2006/relationships/hyperlink" Id="rId29" Target="https://www.google.com/search?q=superscript+generator" TargetMode="External" /><Relationship Type="http://schemas.openxmlformats.org/officeDocument/2006/relationships/hyperlink" Id="rId71" Target="https://www.ncbi.nlm.nih.gov/pmc/articles/PMC5832410" TargetMode="External" /><Relationship Type="http://schemas.openxmlformats.org/officeDocument/2006/relationships/hyperlink" Id="rId90" Target="https://www.ncbi.nlm.nih.gov/pmc/articles/PMC5938574" TargetMode="External" /><Relationship Type="http://schemas.openxmlformats.org/officeDocument/2006/relationships/hyperlink" Id="rId76" Target="https://www.ncbi.nlm.nih.gov/pmc/articles/PMC6103790" TargetMode="External" /><Relationship Type="http://schemas.openxmlformats.org/officeDocument/2006/relationships/hyperlink" Id="rId73" Target="https://www.ncbi.nlm.nih.gov/pmc/articles/PMC6103790/" TargetMode="External" /><Relationship Type="http://schemas.openxmlformats.org/officeDocument/2006/relationships/hyperlink" Id="rId95" Target="https://www.ncbi.nlm.nih.gov/pmc/articles/PMC6611653" TargetMode="External" /><Relationship Type="http://schemas.openxmlformats.org/officeDocument/2006/relationships/hyperlink" Id="rId75" Target="https://www.ncbi.nlm.nih.gov/pubmed/28288103" TargetMode="External" /><Relationship Type="http://schemas.openxmlformats.org/officeDocument/2006/relationships/hyperlink" Id="rId70" Target="https://www.ncbi.nlm.nih.gov/pubmed/29424689" TargetMode="External" /><Relationship Type="http://schemas.openxmlformats.org/officeDocument/2006/relationships/hyperlink" Id="rId89" Target="https://www.ncbi.nlm.nih.gov/pubmed/29618526" TargetMode="External" /><Relationship Type="http://schemas.openxmlformats.org/officeDocument/2006/relationships/hyperlink" Id="rId78" Target="https://www.ncbi.nlm.nih.gov/pubmed/30718888" TargetMode="External" /><Relationship Type="http://schemas.openxmlformats.org/officeDocument/2006/relationships/hyperlink" Id="rId94" Target="https://www.ncbi.nlm.nih.gov/pubmed/31233491" TargetMode="External" /><Relationship Type="http://schemas.openxmlformats.org/officeDocument/2006/relationships/hyperlink" Id="rId60" Target="https://www.piday.org/million/" TargetMode="External" /><Relationship Type="http://schemas.openxmlformats.org/officeDocument/2006/relationships/hyperlink" Id="rId81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apod.nasa.gov/htmltest/gifcity/e.2mil" TargetMode="External" /><Relationship Type="http://schemas.openxmlformats.org/officeDocument/2006/relationships/hyperlink" Id="rId30" Target="https://asciidoctor.org/docs/asciidoc-recommended-practices/#one-sentence-per-line" TargetMode="External" /><Relationship Type="http://schemas.openxmlformats.org/officeDocument/2006/relationships/hyperlink" Id="rId20" Target="https://ch728.github.io/cucurbit-usda/v/69fc8793dc409936069018d11f209135dda1b4f4/" TargetMode="External" /><Relationship Type="http://schemas.openxmlformats.org/officeDocument/2006/relationships/hyperlink" Id="rId79" Target="https://doi.org/10.1038/d41586-019-00447-9" TargetMode="External" /><Relationship Type="http://schemas.openxmlformats.org/officeDocument/2006/relationships/hyperlink" Id="rId74" Target="https://doi.org/10.1038/nbt.3780" TargetMode="External" /><Relationship Type="http://schemas.openxmlformats.org/officeDocument/2006/relationships/hyperlink" Id="rId88" Target="https://doi.org/10.1098/rsif.2017.0387" TargetMode="External" /><Relationship Type="http://schemas.openxmlformats.org/officeDocument/2006/relationships/hyperlink" Id="rId93" Target="https://doi.org/10.1371/journal.pcbi.1007128" TargetMode="External" /><Relationship Type="http://schemas.openxmlformats.org/officeDocument/2006/relationships/hyperlink" Id="rId69" Target="https://doi.org/10.7554/elife.32822" TargetMode="External" /><Relationship Type="http://schemas.openxmlformats.org/officeDocument/2006/relationships/hyperlink" Id="rId92" Target="https://doi.org/c7np" TargetMode="External" /><Relationship Type="http://schemas.openxmlformats.org/officeDocument/2006/relationships/hyperlink" Id="rId68" Target="https://doi.org/ckcj" TargetMode="External" /><Relationship Type="http://schemas.openxmlformats.org/officeDocument/2006/relationships/hyperlink" Id="rId87" Target="https://doi.org/gddkhn" TargetMode="External" /><Relationship Type="http://schemas.openxmlformats.org/officeDocument/2006/relationships/hyperlink" Id="rId66" Target="https://fontawesome.com/" TargetMode="External" /><Relationship Type="http://schemas.openxmlformats.org/officeDocument/2006/relationships/hyperlink" Id="rId25" Target="https://github.com/ch728" TargetMode="External" /><Relationship Type="http://schemas.openxmlformats.org/officeDocument/2006/relationships/hyperlink" Id="rId21" Target="https://github.com/ch728/cucurbit-usda/tree/69fc8793dc409936069018d11f209135dda1b4f4" TargetMode="External" /><Relationship Type="http://schemas.openxmlformats.org/officeDocument/2006/relationships/hyperlink" Id="rId85" Target="https://greenelab.github.io/meta-review/" TargetMode="External" /><Relationship Type="http://schemas.openxmlformats.org/officeDocument/2006/relationships/hyperlink" Id="rId40" Target="https://manubot.org" TargetMode="External" /><Relationship Type="http://schemas.openxmlformats.org/officeDocument/2006/relationships/hyperlink" Id="rId27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1" Target="https://rhodesmill.org/brandon/2012/one-sentence-per-line/" TargetMode="External" /><Relationship Type="http://schemas.openxmlformats.org/officeDocument/2006/relationships/hyperlink" Id="rId83" Target="https://worldcat.org/isbn/9780262517638" TargetMode="External" /><Relationship Type="http://schemas.openxmlformats.org/officeDocument/2006/relationships/hyperlink" Id="rId29" Target="https://www.google.com/search?q=superscript+generator" TargetMode="External" /><Relationship Type="http://schemas.openxmlformats.org/officeDocument/2006/relationships/hyperlink" Id="rId71" Target="https://www.ncbi.nlm.nih.gov/pmc/articles/PMC5832410" TargetMode="External" /><Relationship Type="http://schemas.openxmlformats.org/officeDocument/2006/relationships/hyperlink" Id="rId90" Target="https://www.ncbi.nlm.nih.gov/pmc/articles/PMC5938574" TargetMode="External" /><Relationship Type="http://schemas.openxmlformats.org/officeDocument/2006/relationships/hyperlink" Id="rId76" Target="https://www.ncbi.nlm.nih.gov/pmc/articles/PMC6103790" TargetMode="External" /><Relationship Type="http://schemas.openxmlformats.org/officeDocument/2006/relationships/hyperlink" Id="rId73" Target="https://www.ncbi.nlm.nih.gov/pmc/articles/PMC6103790/" TargetMode="External" /><Relationship Type="http://schemas.openxmlformats.org/officeDocument/2006/relationships/hyperlink" Id="rId95" Target="https://www.ncbi.nlm.nih.gov/pmc/articles/PMC6611653" TargetMode="External" /><Relationship Type="http://schemas.openxmlformats.org/officeDocument/2006/relationships/hyperlink" Id="rId75" Target="https://www.ncbi.nlm.nih.gov/pubmed/28288103" TargetMode="External" /><Relationship Type="http://schemas.openxmlformats.org/officeDocument/2006/relationships/hyperlink" Id="rId70" Target="https://www.ncbi.nlm.nih.gov/pubmed/29424689" TargetMode="External" /><Relationship Type="http://schemas.openxmlformats.org/officeDocument/2006/relationships/hyperlink" Id="rId89" Target="https://www.ncbi.nlm.nih.gov/pubmed/29618526" TargetMode="External" /><Relationship Type="http://schemas.openxmlformats.org/officeDocument/2006/relationships/hyperlink" Id="rId78" Target="https://www.ncbi.nlm.nih.gov/pubmed/30718888" TargetMode="External" /><Relationship Type="http://schemas.openxmlformats.org/officeDocument/2006/relationships/hyperlink" Id="rId94" Target="https://www.ncbi.nlm.nih.gov/pubmed/31233491" TargetMode="External" /><Relationship Type="http://schemas.openxmlformats.org/officeDocument/2006/relationships/hyperlink" Id="rId60" Target="https://www.piday.org/million/" TargetMode="External" /><Relationship Type="http://schemas.openxmlformats.org/officeDocument/2006/relationships/hyperlink" Id="rId81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Characterization of the USDA Cucurbita pepo, Cucurbita moschata, and Cucurbita maxima Collections</dc:title>
  <dc:creator/>
  <dc:language>en-US</dc:language>
  <cp:keywords>GRIN, Cucurbits, Diversity, Germplasm collection, Cucurbita pepo, Cucurbita moschata, Cucurbita maxima</cp:keywords>
  <dcterms:created xsi:type="dcterms:W3CDTF">2021-08-24T22:22:16Z</dcterms:created>
  <dcterms:modified xsi:type="dcterms:W3CDTF">2021-08-24T22:22:16Z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2021-08-24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