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8.png" ContentType="image/png"/>
  <Override PartName="/word/media/rId43.png" ContentType="image/png"/>
  <Override PartName="/word/media/rId56.png" ContentType="image/png"/>
  <Override PartName="/word/media/rId22.svg" ContentType="image/svg+xml"/>
  <Override PartName="/word/media/rId45.png" ContentType="image/png"/>
  <Override PartName="/word/media/rId3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ch728/cucurbit-usda@38dde38</w:t>
        </w:r>
      </w:hyperlink>
      <w:r>
        <w:t xml:space="preserve"> </w:t>
      </w:r>
      <w:r>
        <w:t xml:space="preserve">on September 2, 2021.</w:t>
      </w:r>
      <w:r>
        <w:t xml:space="preserve"> </w:t>
      </w:r>
    </w:p>
    <w:bookmarkStart w:id="27"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Jack Fabrizio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0000-0002-1552-6924</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7"/>
    <w:bookmarkStart w:id="28"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w:t>
      </w:r>
      <w:r>
        <w:t xml:space="preserve"> </w:t>
      </w:r>
      <w:r>
        <w:t xml:space="preserve">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These collections include a mixture of wild, landrace, and cultivated specimens from all over the world.</w:t>
      </w:r>
      <w:r>
        <w:t xml:space="preserve"> </w:t>
      </w:r>
      <w:r>
        <w:t xml:space="preserve">Roughly 4,000 - 40,000 quality SNPs were called in each of the collections, which ranged in size from 314 to 829 accessions.</w:t>
      </w:r>
      <w:r>
        <w:t xml:space="preserve"> </w:t>
      </w:r>
      <w:r>
        <w:t xml:space="preserve">Genomic analyses were conducted to characterize the diversity in each of the species and revealed extensive structure corresponding to a combination of geographical origin and morphotype/market class.</w:t>
      </w:r>
      <w:r>
        <w:t xml:space="preserve"> </w:t>
      </w:r>
      <w:r>
        <w:t xml:space="preserve">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w:t>
      </w:r>
      <w:r>
        <w:t xml:space="preserve"> </w:t>
      </w:r>
      <w:r>
        <w:t xml:space="preserve">These data represent the largest collection of sequenced</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8"/>
    <w:bookmarkStart w:id="29"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the USDA squash collections have yet to be well characterized at the genetic level;</w:t>
      </w:r>
      <w:r>
        <w:t xml:space="preserve"> </w:t>
      </w:r>
      <w:r>
        <w:t xml:space="preserve">although, an elaborate system has been established for classifying squash based</w:t>
      </w:r>
      <w:r>
        <w:t xml:space="preserve"> </w:t>
      </w:r>
      <w:r>
        <w:t xml:space="preserve">on species and various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9"/>
    <w:bookmarkStart w:id="37" w:name="material-and-methods"/>
    <w:p>
      <w:pPr>
        <w:pStyle w:val="Heading2"/>
      </w:pPr>
      <w:r>
        <w:t xml:space="preserve">Material and Methods</w:t>
      </w:r>
    </w:p>
    <w:bookmarkStart w:id="30"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w:t>
      </w:r>
      <w:r>
        <w:t xml:space="preserve"> </w:t>
      </w:r>
      <w:r>
        <w:t xml:space="preserve">Seeds were planted in 50-cell trays and two 3/4 inch punches of tissue (approximately 80-150 mg) was sampled from the first true leaf of each seedling.</w:t>
      </w:r>
      <w:r>
        <w:t xml:space="preserve"> </w:t>
      </w:r>
      <w:r>
        <w:t xml:space="preserve">DNA was extracted using Omega Mag-Bind Plant DNA DS kits (M1130, Omega Bio-Tek, Norcross, GA) and quantified using Quant-iT PicoGreen dsDNA Kit (Invitrogen, Carlsbad, CA).</w:t>
      </w:r>
      <w:r>
        <w:t xml:space="preserve"> </w:t>
      </w:r>
      <w:r>
        <w:t xml:space="preserve">Purified DNA was shipped to Cornell’s Genomic Diversity Facility for GBS library preparation using protocols optimized for each species.</w:t>
      </w:r>
      <w:r>
        <w:t xml:space="preserve"> </w:t>
      </w:r>
      <w:r>
        <w:t xml:space="preserve">Libraries were sequenced at either 96, 192, or 384-plex on the HiSeq 2500 (Illumina Inc., USA) with single-end mode and a read length of 101 bp.</w:t>
      </w:r>
    </w:p>
    <w:bookmarkEnd w:id="30"/>
    <w:bookmarkStart w:id="31"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w:t>
      </w:r>
      <w:r>
        <w:t xml:space="preserve"> </w:t>
      </w:r>
      <w:r>
        <w:t xml:space="preserve">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w:t>
      </w:r>
      <w:r>
        <w:t xml:space="preserve"> </w:t>
      </w:r>
      <w:r>
        <w:t xml:space="preserve">Raw variants were filtered using VCFtools</w:t>
      </w:r>
      <w:r>
        <w:t xml:space="preserve"> </w:t>
      </w:r>
      <w:r>
        <w:t xml:space="preserve">[</w:t>
      </w:r>
      <w:hyperlink w:anchor="ref-PzHxvkzH">
        <w:r>
          <w:rPr>
            <w:rStyle w:val="Hyperlink"/>
          </w:rPr>
          <w:t xml:space="preserve">23</w:t>
        </w:r>
      </w:hyperlink>
      <w:r>
        <w:t xml:space="preserve">]</w:t>
      </w:r>
      <w:r>
        <w:t xml:space="preserve">.</w:t>
      </w:r>
      <w:r>
        <w:t xml:space="preserve"> </w:t>
      </w:r>
      <w:r>
        <w:t xml:space="preserve">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w:t>
      </w:r>
      <w:r>
        <w:t xml:space="preserve"> </w:t>
      </w:r>
      <w:r>
        <w:t xml:space="preserve">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w:t>
      </w:r>
      <w:r>
        <w:t xml:space="preserve"> </w:t>
      </w:r>
      <w:r>
        <w:t xml:space="preserve">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w:t>
      </w:r>
      <w:r>
        <w:t xml:space="preserve"> </w:t>
      </w:r>
      <w:r>
        <w:t xml:space="preserve">Variants were further filtered for specific uses as described below.</w:t>
      </w:r>
    </w:p>
    <w:bookmarkEnd w:id="31"/>
    <w:bookmarkStart w:id="32"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w:t>
      </w:r>
      <w:r>
        <w:t xml:space="preserve"> </w:t>
      </w:r>
      <w:r>
        <w:t xml:space="preserve">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w:t>
      </w:r>
      <w:r>
        <w:t xml:space="preserve"> </w:t>
      </w:r>
      <w:r>
        <w:t xml:space="preserve">All samples labeled as cultivars were removed from the data prior to running ADMIXTURE.</w:t>
      </w:r>
      <w:r>
        <w:t xml:space="preserve"> </w:t>
      </w:r>
      <w:r>
        <w:t xml:space="preserve">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w:t>
      </w:r>
      <w:r>
        <w:t xml:space="preserve"> </w:t>
      </w:r>
      <w:r>
        <w:t xml:space="preserve">The</w:t>
      </w:r>
      <w:r>
        <w:t xml:space="preserve"> </w:t>
      </w:r>
      <m:oMath>
        <m:r>
          <m:t>k</m:t>
        </m:r>
      </m:oMath>
      <w:r>
        <w:t xml:space="preserve"> </w:t>
      </w:r>
      <w:r>
        <w:t xml:space="preserve">value with minimal cross-validation error was chosen for each species (Supplemental Figures, Figure</w:t>
      </w:r>
      <w:r>
        <w:t xml:space="preserve"> </w:t>
      </w:r>
      <w:hyperlink w:anchor="fig:cv">
        <w:r>
          <w:rPr>
            <w:rStyle w:val="Hyperlink"/>
          </w:rPr>
          <w:t xml:space="preserve">6</w:t>
        </w:r>
      </w:hyperlink>
      <w:r>
        <w:t xml:space="preserve">).</w:t>
      </w:r>
      <w:r>
        <w:t xml:space="preserve"> </w:t>
      </w:r>
      <w:r>
        <w:t xml:space="preserve">Ancestral populations were then assigned to cultivars using the program’s projection feature.</w:t>
      </w:r>
    </w:p>
    <w:p>
      <w:pPr>
        <w:pStyle w:val="BodyText"/>
      </w:pPr>
      <w:r>
        <w:t xml:space="preserve">Principal components analysis (PCA) was used as a model-free way of determining population structure.</w:t>
      </w:r>
      <w:r>
        <w:t xml:space="preserve"> </w:t>
      </w:r>
      <w:r>
        <w:t xml:space="preserve">The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w:t>
      </w:r>
      <w:r>
        <w:t xml:space="preserve"> </w:t>
      </w:r>
      <w:r>
        <w:t xml:space="preserve">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w:t>
      </w:r>
      <w:r>
        <w:t xml:space="preserve"> </w:t>
      </w:r>
      <w:r>
        <w:t xml:space="preserve">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w:t>
      </w:r>
      <w:r>
        <w:t xml:space="preserve"> </w:t>
      </w:r>
      <w:r>
        <w:t xml:space="preserve">The SNPhylo</w:t>
      </w:r>
      <w:r>
        <w:t xml:space="preserve"> </w:t>
      </w:r>
      <w:r>
        <w:t xml:space="preserve">[</w:t>
      </w:r>
      <w:hyperlink w:anchor="ref-A9obAHi0">
        <w:r>
          <w:rPr>
            <w:rStyle w:val="Hyperlink"/>
          </w:rPr>
          <w:t xml:space="preserve">27</w:t>
        </w:r>
      </w:hyperlink>
      <w:r>
        <w:t xml:space="preserve">]</w:t>
      </w:r>
      <w:r>
        <w:t xml:space="preserve"> </w:t>
      </w:r>
      <w:r>
        <w:t xml:space="preserve">pipeline was used to infer an unrooted tree using the maximum likelihood method.</w:t>
      </w:r>
      <w:r>
        <w:t xml:space="preserve"> </w:t>
      </w:r>
      <w:r>
        <w:t xml:space="preserve">Default settings were used, except the minimum coverage parameter was decreased to 3 instead of 5 to account for the lower average coverage of GBS data.</w:t>
      </w:r>
    </w:p>
    <w:bookmarkEnd w:id="32"/>
    <w:bookmarkStart w:id="33"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w:t>
      </w:r>
      <w:r>
        <w:t xml:space="preserve"> </w:t>
      </w:r>
      <w:r>
        <w:t xml:space="preserve">All duplicated entries were removed for qualitative traits, where categories are mutually exclusive, leaving only samples with unique entries for analysis.</w:t>
      </w:r>
      <w:r>
        <w:t xml:space="preserve"> </w:t>
      </w:r>
      <w:r>
        <w:t xml:space="preserve">Contemporary phenotypic data were collected from a subset of the</w:t>
      </w:r>
      <w:r>
        <w:t xml:space="preserve"> </w:t>
      </w:r>
      <w:r>
        <w:rPr>
          <w:iCs/>
          <w:i/>
        </w:rPr>
        <w:t xml:space="preserve">C. pepo</w:t>
      </w:r>
      <w:r>
        <w:t xml:space="preserve"> </w:t>
      </w:r>
      <w:r>
        <w:t xml:space="preserve">collection grown in the summer of 2018 in Ithaca, NY.</w:t>
      </w:r>
      <w:r>
        <w:t xml:space="preserve"> </w:t>
      </w:r>
      <w:r>
        <w:t xml:space="preserve">Field-grown plants were phenotyped for vining bush habit at three different stages during the growing seasons to confirm bush, semi-bush or vining growth habit.</w:t>
      </w:r>
      <w:r>
        <w:t xml:space="preserve"> </w:t>
      </w:r>
      <w:r>
        <w:t xml:space="preserve">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28</w:t>
        </w:r>
      </w:hyperlink>
      <w:r>
        <w:t xml:space="preserve">]</w:t>
      </w:r>
      <w:r>
        <w:t xml:space="preserve"> </w:t>
      </w:r>
      <w:r>
        <w:t xml:space="preserve">(</w:t>
      </w:r>
      <m:oMath>
        <m:sSubSup>
          <m:e>
            <m:r>
              <m:t>h</m:t>
            </m:r>
          </m:e>
          <m:sub>
            <m:r>
              <m:t>g</m:t>
            </m:r>
          </m:sub>
          <m:sup>
            <m:r>
              <m:t>2</m:t>
            </m:r>
          </m:sup>
        </m:sSubSup>
      </m:oMath>
      <w:r>
        <w:t xml:space="preserve">) was calculated for all phenotypes.</w:t>
      </w:r>
      <w:r>
        <w:t xml:space="preserve"> </w:t>
      </w:r>
      <w:r>
        <w:t xml:space="preserve">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w:t>
      </w:r>
      <w:r>
        <w:t xml:space="preserve"> </w:t>
      </w:r>
      <w:r>
        <w:t xml:space="preserve">Multi-class categorical traits were converted to one or several different binary traits depending on the number of entries in each category.</w:t>
      </w:r>
      <w:r>
        <w:t xml:space="preserve"> </w:t>
      </w:r>
      <w:r>
        <w:t xml:space="preserve">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29</w:t>
        </w:r>
      </w:hyperlink>
      <w:r>
        <w:t xml:space="preserve">]</w:t>
      </w:r>
      <w:r>
        <w:t xml:space="preserve">.</w:t>
      </w:r>
      <w:r>
        <w:t xml:space="preserve"> </w:t>
      </w:r>
      <w:r>
        <w:t xml:space="preserve">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w:t>
      </w:r>
      <w:r>
        <w:t xml:space="preserve"> </w:t>
      </w:r>
      <w:r>
        <w:t xml:space="preserve">The R function lm was used to regress continuous phenotypes on the</w:t>
      </w:r>
      <w:r>
        <w:t xml:space="preserve"> </w:t>
      </w:r>
      <m:oMath>
        <m:r>
          <m:rPr>
            <m:sty m:val="b"/>
          </m:rPr>
          <m:t>Q</m:t>
        </m:r>
      </m:oMath>
      <w:r>
        <w:t xml:space="preserve"> </w:t>
      </w:r>
      <w:r>
        <w:t xml:space="preserve">matrix obtained from ADMIXTURE.</w:t>
      </w:r>
      <w:r>
        <w:t xml:space="preserve"> </w:t>
      </w:r>
      <w:r>
        <w:t xml:space="preserve">The R glm function was used with</w:t>
      </w:r>
      <w:r>
        <w:t xml:space="preserve"> </w:t>
      </w:r>
      <w:r>
        <w:t xml:space="preserve">“</w:t>
      </w:r>
      <w:r>
        <w:t xml:space="preserve">family=binomial</w:t>
      </w:r>
      <w:r>
        <w:t xml:space="preserve">”</w:t>
      </w:r>
      <w:r>
        <w:t xml:space="preserve"> </w:t>
      </w:r>
      <w:r>
        <w:t xml:space="preserve">to regress binary traits on population structure.</w:t>
      </w:r>
      <w:r>
        <w:t xml:space="preserve"> </w:t>
      </w:r>
      <w:r>
        <w:t xml:space="preserve">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30</w:t>
        </w:r>
      </w:hyperlink>
      <w:r>
        <w:t xml:space="preserve">]</w:t>
      </w:r>
      <w:r>
        <w:t xml:space="preserve">.</w:t>
      </w:r>
    </w:p>
    <w:bookmarkEnd w:id="33"/>
    <w:bookmarkStart w:id="34" w:name="gwas"/>
    <w:p>
      <w:pPr>
        <w:pStyle w:val="Heading3"/>
      </w:pPr>
      <w:r>
        <w:t xml:space="preserve">GWAS</w:t>
      </w:r>
    </w:p>
    <w:p>
      <w:pPr>
        <w:pStyle w:val="FirstParagraph"/>
      </w:pPr>
      <w:r>
        <w:t xml:space="preserve">Data were imputed prior to association analysis.</w:t>
      </w:r>
      <w:r>
        <w:t xml:space="preserve"> </w:t>
      </w:r>
      <w:r>
        <w:t xml:space="preserve">LinkImpute</w:t>
      </w:r>
      <w:r>
        <w:t xml:space="preserve"> </w:t>
      </w:r>
      <w:r>
        <w:t xml:space="preserve">[</w:t>
      </w:r>
      <w:hyperlink w:anchor="ref-bh0NyElc">
        <w:r>
          <w:rPr>
            <w:rStyle w:val="Hyperlink"/>
          </w:rPr>
          <w:t xml:space="preserve">31</w:t>
        </w:r>
      </w:hyperlink>
      <w:r>
        <w:t xml:space="preserve">]</w:t>
      </w:r>
      <w:r>
        <w:t xml:space="preserve">, as implemented by the TASSEL</w:t>
      </w:r>
      <w:r>
        <w:t xml:space="preserve"> </w:t>
      </w:r>
      <w:r>
        <w:t xml:space="preserve">[</w:t>
      </w:r>
      <w:hyperlink w:anchor="ref-6BHN02He">
        <w:r>
          <w:rPr>
            <w:rStyle w:val="Hyperlink"/>
          </w:rPr>
          <w:t xml:space="preserve">32</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w:t>
      </w:r>
      <w:r>
        <w:t xml:space="preserve"> </w:t>
      </w:r>
      <w:r>
        <w:t xml:space="preserve">Any data still missing after this process were mean imputed.</w:t>
      </w:r>
      <w:r>
        <w:t xml:space="preserve"> </w:t>
      </w:r>
      <w:r>
        <w:t xml:space="preserve">The GENESIS</w:t>
      </w:r>
      <w:r>
        <w:t xml:space="preserve"> </w:t>
      </w:r>
      <w:r>
        <w:t xml:space="preserve">[</w:t>
      </w:r>
      <w:hyperlink w:anchor="ref-15kdHXrSp">
        <w:r>
          <w:rPr>
            <w:rStyle w:val="Hyperlink"/>
          </w:rPr>
          <w:t xml:space="preserve">33</w:t>
        </w:r>
      </w:hyperlink>
      <w:r>
        <w:t xml:space="preserve">]</w:t>
      </w:r>
      <w:r>
        <w:t xml:space="preserve"> </w:t>
      </w:r>
      <w:r>
        <w:t xml:space="preserve">R package, which can model both binary and continuous traits, was used for association.</w:t>
      </w:r>
      <w:r>
        <w:t xml:space="preserve"> </w:t>
      </w:r>
      <w:r>
        <w:t xml:space="preserve">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w:t>
      </w:r>
      <w:r>
        <w:t xml:space="preserve"> </w:t>
      </w:r>
      <w:r>
        <w:t xml:space="preserve">Binary traits were modeled using the logistic regression feature in GENESIS.</w:t>
      </w:r>
    </w:p>
    <w:bookmarkEnd w:id="34"/>
    <w:bookmarkStart w:id="35"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p>
      <w:pPr>
        <w:pStyle w:val="FirstParagraph"/>
      </w:pPr>
      <w:r>
        <w:t xml:space="preserve">All tools used in the analysis can be found on the Cucurbit Genomics website (http://cucurbitgenomics.org/). A candidate gene for dwarfism in</w:t>
      </w:r>
      <w:r>
        <w:t xml:space="preserve"> </w:t>
      </w:r>
      <w:r>
        <w:rPr>
          <w:iCs/>
          <w:i/>
        </w:rPr>
        <w:t xml:space="preserve">C. maxima</w:t>
      </w:r>
      <w:r>
        <w:t xml:space="preserve"> </w:t>
      </w:r>
      <w:r>
        <w:t xml:space="preserve">was elucidated by a previous study {</w:t>
      </w:r>
      <w:r>
        <w:t xml:space="preserve">[</w:t>
      </w:r>
      <w:hyperlink w:anchor="ref-hjX723Qb">
        <w:r>
          <w:rPr>
            <w:rStyle w:val="Hyperlink"/>
          </w:rPr>
          <w:t xml:space="preserve">34</w:t>
        </w:r>
      </w:hyperlink>
      <w:r>
        <w:t xml:space="preserve">]</w:t>
      </w:r>
      <w:r>
        <w:t xml:space="preserve">} and was named Cma_004516. The Cucurbit Genomics Database gene ID of Cma_004516 was identified by using the BLAST tool to align primer sequences used for RT-QPCR in the previous study against the</w:t>
      </w:r>
      <w:r>
        <w:t xml:space="preserve"> </w:t>
      </w:r>
      <w:r>
        <w:rPr>
          <w:iCs/>
          <w:i/>
        </w:rPr>
        <w:t xml:space="preserve">C. maxima</w:t>
      </w:r>
      <w:r>
        <w:t xml:space="preserve"> </w:t>
      </w:r>
      <w:r>
        <w:t xml:space="preserve">reference genome. The synteny analysis was done by using the Synteny Viewer tool and evaluating</w:t>
      </w:r>
      <w:r>
        <w:t xml:space="preserve"> </w:t>
      </w:r>
      <w:r>
        <w:rPr>
          <w:iCs/>
          <w:i/>
        </w:rPr>
        <w:t xml:space="preserve">C. maxima’s</w:t>
      </w:r>
      <w:r>
        <w:t xml:space="preserve"> </w:t>
      </w:r>
      <w:r>
        <w:t xml:space="preserve">chromosome 3 with C. pepo’s chromosome 10 and searching for an ortholog to the candidate gene. The physical position of the</w:t>
      </w:r>
      <w:r>
        <w:t xml:space="preserve"> </w:t>
      </w:r>
      <w:r>
        <w:rPr>
          <w:iCs/>
          <w:i/>
        </w:rPr>
        <w:t xml:space="preserve">C. pepo</w:t>
      </w:r>
      <w:r>
        <w:t xml:space="preserve"> </w:t>
      </w:r>
      <w:r>
        <w:t xml:space="preserve">ortholog was identified by searching the gene using the Search tool.</w:t>
      </w:r>
    </w:p>
    <w:bookmarkEnd w:id="35"/>
    <w:bookmarkStart w:id="36"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35</w:t>
        </w:r>
      </w:hyperlink>
      <w:r>
        <w:t xml:space="preserve">]</w:t>
      </w:r>
      <w:r>
        <w:t xml:space="preserve"> </w:t>
      </w:r>
      <w:r>
        <w:t xml:space="preserve">on each of the filtered SNP sets.</w:t>
      </w:r>
      <w:r>
        <w:t xml:space="preserve"> </w:t>
      </w:r>
      <w:r>
        <w:t xml:space="preserve">A subset of the</w:t>
      </w:r>
      <w:r>
        <w:t xml:space="preserve"> </w:t>
      </w:r>
      <w:r>
        <w:rPr>
          <w:iCs/>
          <w:i/>
        </w:rPr>
        <w:t xml:space="preserve">C. pepo</w:t>
      </w:r>
      <w:r>
        <w:t xml:space="preserve"> </w:t>
      </w:r>
      <w:r>
        <w:t xml:space="preserve">panel and key genotypes from the other two species were combined to form a core collection for the cucurbit community.</w:t>
      </w:r>
      <w:r>
        <w:t xml:space="preserve"> </w:t>
      </w:r>
      <w:r>
        <w:t xml:space="preserve">Key genotypes were chosen to represent important market classes and for variation based on variation in traits.</w:t>
      </w:r>
      <w:r>
        <w:t xml:space="preserve"> </w:t>
      </w:r>
      <w:r>
        <w:t xml:space="preserve">These genotypes will be further purified through two additional rounds of selfing and then resequenced using skim-sequecing to produce whole-genome data.</w:t>
      </w:r>
    </w:p>
    <w:bookmarkEnd w:id="36"/>
    <w:bookmarkEnd w:id="37"/>
    <w:bookmarkStart w:id="54" w:name="results"/>
    <w:p>
      <w:pPr>
        <w:pStyle w:val="Heading2"/>
      </w:pPr>
      <w:r>
        <w:t xml:space="preserve">Results</w:t>
      </w:r>
    </w:p>
    <w:bookmarkStart w:id="40"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w:t>
      </w:r>
      <w:r>
        <w:t xml:space="preserve"> </w:t>
      </w:r>
      <w:r>
        <w:t xml:space="preserve">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w:t>
      </w:r>
      <w:r>
        <w:t xml:space="preserve"> </w:t>
      </w:r>
      <w:r>
        <w:t xml:space="preserve">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w:t>
      </w:r>
      <w:r>
        <w:t xml:space="preserve"> </w:t>
      </w:r>
      <w:r>
        <w:t xml:space="preserve">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w:t>
      </w:r>
      <w:r>
        <w:t xml:space="preserve"> </w:t>
      </w:r>
      <w:r>
        <w:t xml:space="preserve">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34</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w:t>
      </w:r>
      <w:r>
        <w:t xml:space="preserve"> </w:t>
      </w:r>
      <w:r>
        <w:t xml:space="preserve">The number and distribution of SNPs across each chromosomes is shown in Table</w:t>
      </w:r>
      <w:r>
        <w:t xml:space="preserve"> </w:t>
      </w:r>
      <w:hyperlink w:anchor="tbl:snp_info">
        <w:r>
          <w:rPr>
            <w:rStyle w:val="Hyperlink"/>
          </w:rPr>
          <w:t xml:space="preserve">1</w:t>
        </w:r>
      </w:hyperlink>
      <w:r>
        <w:t xml:space="preserve">.</w:t>
      </w:r>
    </w:p>
    <w:bookmarkStart w:id="0" w:name="fig:world"/>
    <w:p>
      <w:pPr>
        <w:pStyle w:val="CaptionedFigure"/>
      </w:pPr>
      <w:bookmarkStart w:id="39"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8"/>
                    <a:stretch>
                      <a:fillRect/>
                    </a:stretch>
                  </pic:blipFill>
                  <pic:spPr bwMode="auto">
                    <a:xfrm>
                      <a:off x="0" y="0"/>
                      <a:ext cx="5943600" cy="3114856"/>
                    </a:xfrm>
                    <a:prstGeom prst="rect">
                      <a:avLst/>
                    </a:prstGeom>
                    <a:noFill/>
                    <a:ln w="9525">
                      <a:noFill/>
                      <a:headEnd/>
                      <a:tailEnd/>
                    </a:ln>
                  </pic:spPr>
                </pic:pic>
              </a:graphicData>
            </a:graphic>
          </wp:inline>
        </w:drawing>
      </w:r>
      <w:bookmarkEnd w:id="39"/>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Start w:id="0" w:name="tbl:snp_info"/>
    <w:p>
      <w:pPr>
        <w:pStyle w:val="TableCaption"/>
      </w:pPr>
      <w:r>
        <w:t xml:space="preserve">Table 1: Distribution and number of raw and filetered SNPs per chromosome for each species</w:t>
      </w:r>
      <w:r>
        <w:t xml:space="preserve"> </w:t>
      </w:r>
    </w:p>
    <w:tbl>
      <w:tblPr>
        <w:tblStyle w:val="Table"/>
        <w:tblW w:type="auto" w:w="0"/>
        <w:tblLook w:firstRow="1" w:lastRow="0" w:firstColumn="0" w:lastColumn="0" w:noHBand="0" w:noVBand="0" w:val="0020"/>
        <w:tblCaption w:val="Table 1: Distribution and number of raw and filetered SNPs per chromosome for each species "/>
      </w:tblPr>
      <w:tblGrid>
        <w:gridCol w:w="1131"/>
        <w:gridCol w:w="1131"/>
        <w:gridCol w:w="1131"/>
        <w:gridCol w:w="1131"/>
        <w:gridCol w:w="1131"/>
        <w:gridCol w:w="1131"/>
        <w:gridCol w:w="1131"/>
      </w:tblGrid>
      <w:tr>
        <w:trPr>
          <w:tblHeader w:val="true"/>
        </w:trPr>
        <w:tc>
          <w:tcPr/>
          <w:p>
            <w:pPr>
              <w:pStyle w:val="Compact"/>
              <w:jc w:val="left"/>
            </w:pPr>
            <w:r>
              <w:t xml:space="preserve">Chrom.</w:t>
            </w:r>
          </w:p>
        </w:tc>
        <w:tc>
          <w:tcPr/>
          <w:p>
            <w:pPr>
              <w:pStyle w:val="Compact"/>
              <w:jc w:val="left"/>
            </w:pPr>
            <w:r>
              <w:rPr>
                <w:iCs/>
                <w:i/>
              </w:rPr>
              <w:t xml:space="preserve">C. pepo</w:t>
            </w:r>
          </w:p>
        </w:tc>
        <w:tc>
          <w:tcPr/>
          <w:p>
            <w:pPr>
              <w:pStyle w:val="Compact"/>
            </w:pPr>
          </w:p>
        </w:tc>
        <w:tc>
          <w:tcPr/>
          <w:p>
            <w:pPr>
              <w:pStyle w:val="Compact"/>
              <w:jc w:val="left"/>
            </w:pPr>
            <w:r>
              <w:rPr>
                <w:iCs/>
                <w:i/>
              </w:rPr>
              <w:t xml:space="preserve">C. moschata</w:t>
            </w:r>
          </w:p>
        </w:tc>
        <w:tc>
          <w:tcPr/>
          <w:p>
            <w:pPr>
              <w:pStyle w:val="Compact"/>
            </w:pPr>
          </w:p>
        </w:tc>
        <w:tc>
          <w:tcPr/>
          <w:p>
            <w:pPr>
              <w:pStyle w:val="Compact"/>
              <w:jc w:val="left"/>
            </w:pPr>
            <w:r>
              <w:rPr>
                <w:iCs/>
                <w:i/>
              </w:rPr>
              <w:t xml:space="preserve">C. maxima</w:t>
            </w:r>
          </w:p>
        </w:tc>
        <w:tc>
          <w:tcPr/>
          <w:p>
            <w:pPr>
              <w:pStyle w:val="Compact"/>
            </w:pPr>
          </w:p>
        </w:tc>
      </w:tr>
      <w:tr>
        <w:tc>
          <w:tcPr/>
          <w:p>
            <w:pPr>
              <w:pStyle w:val="Compact"/>
            </w:pP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r>
      <w:tr>
        <w:tc>
          <w:tcPr/>
          <w:p>
            <w:pPr>
              <w:pStyle w:val="Compact"/>
              <w:jc w:val="left"/>
            </w:pPr>
            <w:r>
              <w:t xml:space="preserve">0</w:t>
            </w:r>
          </w:p>
        </w:tc>
        <w:tc>
          <w:tcPr/>
          <w:p>
            <w:pPr>
              <w:pStyle w:val="Compact"/>
              <w:jc w:val="left"/>
            </w:pPr>
            <w:r>
              <w:t xml:space="preserve">16901</w:t>
            </w:r>
          </w:p>
        </w:tc>
        <w:tc>
          <w:tcPr/>
          <w:p>
            <w:pPr>
              <w:pStyle w:val="Compact"/>
              <w:jc w:val="left"/>
            </w:pPr>
            <w:r>
              <w:t xml:space="preserve">5656</w:t>
            </w:r>
          </w:p>
        </w:tc>
        <w:tc>
          <w:tcPr/>
          <w:p>
            <w:pPr>
              <w:pStyle w:val="Compact"/>
              <w:jc w:val="left"/>
            </w:pPr>
            <w:r>
              <w:t xml:space="preserve">3748</w:t>
            </w:r>
          </w:p>
        </w:tc>
        <w:tc>
          <w:tcPr/>
          <w:p>
            <w:pPr>
              <w:pStyle w:val="Compact"/>
              <w:jc w:val="left"/>
            </w:pPr>
            <w:r>
              <w:t xml:space="preserve">1236</w:t>
            </w:r>
          </w:p>
        </w:tc>
        <w:tc>
          <w:tcPr/>
          <w:p>
            <w:pPr>
              <w:pStyle w:val="Compact"/>
              <w:jc w:val="left"/>
            </w:pPr>
            <w:r>
              <w:t xml:space="preserve">1501</w:t>
            </w:r>
          </w:p>
        </w:tc>
        <w:tc>
          <w:tcPr/>
          <w:p>
            <w:pPr>
              <w:pStyle w:val="Compact"/>
              <w:jc w:val="left"/>
            </w:pPr>
            <w:r>
              <w:t xml:space="preserve">419</w:t>
            </w:r>
          </w:p>
        </w:tc>
      </w:tr>
      <w:tr>
        <w:tc>
          <w:tcPr/>
          <w:p>
            <w:pPr>
              <w:pStyle w:val="Compact"/>
              <w:jc w:val="left"/>
            </w:pPr>
            <w:r>
              <w:t xml:space="preserve">1</w:t>
            </w:r>
          </w:p>
        </w:tc>
        <w:tc>
          <w:tcPr/>
          <w:p>
            <w:pPr>
              <w:pStyle w:val="Compact"/>
              <w:jc w:val="left"/>
            </w:pPr>
            <w:r>
              <w:t xml:space="preserve">9245</w:t>
            </w:r>
          </w:p>
        </w:tc>
        <w:tc>
          <w:tcPr/>
          <w:p>
            <w:pPr>
              <w:pStyle w:val="Compact"/>
              <w:jc w:val="left"/>
            </w:pPr>
            <w:r>
              <w:t xml:space="preserve">4155</w:t>
            </w:r>
          </w:p>
        </w:tc>
        <w:tc>
          <w:tcPr/>
          <w:p>
            <w:pPr>
              <w:pStyle w:val="Compact"/>
              <w:jc w:val="left"/>
            </w:pPr>
            <w:r>
              <w:t xml:space="preserve">4575</w:t>
            </w:r>
          </w:p>
        </w:tc>
        <w:tc>
          <w:tcPr/>
          <w:p>
            <w:pPr>
              <w:pStyle w:val="Compact"/>
              <w:jc w:val="left"/>
            </w:pPr>
            <w:r>
              <w:t xml:space="preserve">2627</w:t>
            </w:r>
          </w:p>
        </w:tc>
        <w:tc>
          <w:tcPr/>
          <w:p>
            <w:pPr>
              <w:pStyle w:val="Compact"/>
              <w:jc w:val="left"/>
            </w:pPr>
            <w:r>
              <w:t xml:space="preserve">4185</w:t>
            </w:r>
          </w:p>
        </w:tc>
        <w:tc>
          <w:tcPr/>
          <w:p>
            <w:pPr>
              <w:pStyle w:val="Compact"/>
              <w:jc w:val="left"/>
            </w:pPr>
            <w:r>
              <w:t xml:space="preserve">300</w:t>
            </w:r>
          </w:p>
        </w:tc>
      </w:tr>
      <w:tr>
        <w:tc>
          <w:tcPr/>
          <w:p>
            <w:pPr>
              <w:pStyle w:val="Compact"/>
              <w:jc w:val="left"/>
            </w:pPr>
            <w:r>
              <w:t xml:space="preserve">2</w:t>
            </w:r>
          </w:p>
        </w:tc>
        <w:tc>
          <w:tcPr/>
          <w:p>
            <w:pPr>
              <w:pStyle w:val="Compact"/>
              <w:jc w:val="left"/>
            </w:pPr>
            <w:r>
              <w:t xml:space="preserve">6160</w:t>
            </w:r>
          </w:p>
        </w:tc>
        <w:tc>
          <w:tcPr/>
          <w:p>
            <w:pPr>
              <w:pStyle w:val="Compact"/>
              <w:jc w:val="left"/>
            </w:pPr>
            <w:r>
              <w:t xml:space="preserve">2921</w:t>
            </w:r>
          </w:p>
        </w:tc>
        <w:tc>
          <w:tcPr/>
          <w:p>
            <w:pPr>
              <w:pStyle w:val="Compact"/>
              <w:jc w:val="left"/>
            </w:pPr>
            <w:r>
              <w:t xml:space="preserve">4092</w:t>
            </w:r>
          </w:p>
        </w:tc>
        <w:tc>
          <w:tcPr/>
          <w:p>
            <w:pPr>
              <w:pStyle w:val="Compact"/>
              <w:jc w:val="left"/>
            </w:pPr>
            <w:r>
              <w:t xml:space="preserve">2535</w:t>
            </w:r>
          </w:p>
        </w:tc>
        <w:tc>
          <w:tcPr/>
          <w:p>
            <w:pPr>
              <w:pStyle w:val="Compact"/>
              <w:jc w:val="left"/>
            </w:pPr>
            <w:r>
              <w:t xml:space="preserve">2101</w:t>
            </w:r>
          </w:p>
        </w:tc>
        <w:tc>
          <w:tcPr/>
          <w:p>
            <w:pPr>
              <w:pStyle w:val="Compact"/>
              <w:jc w:val="left"/>
            </w:pPr>
            <w:r>
              <w:t xml:space="preserve">169</w:t>
            </w:r>
          </w:p>
        </w:tc>
      </w:tr>
      <w:tr>
        <w:tc>
          <w:tcPr/>
          <w:p>
            <w:pPr>
              <w:pStyle w:val="Compact"/>
              <w:jc w:val="left"/>
            </w:pPr>
            <w:r>
              <w:t xml:space="preserve">3</w:t>
            </w:r>
          </w:p>
        </w:tc>
        <w:tc>
          <w:tcPr/>
          <w:p>
            <w:pPr>
              <w:pStyle w:val="Compact"/>
              <w:jc w:val="left"/>
            </w:pPr>
            <w:r>
              <w:t xml:space="preserve">5908</w:t>
            </w:r>
          </w:p>
        </w:tc>
        <w:tc>
          <w:tcPr/>
          <w:p>
            <w:pPr>
              <w:pStyle w:val="Compact"/>
              <w:jc w:val="left"/>
            </w:pPr>
            <w:r>
              <w:t xml:space="preserve">2668</w:t>
            </w:r>
          </w:p>
        </w:tc>
        <w:tc>
          <w:tcPr/>
          <w:p>
            <w:pPr>
              <w:pStyle w:val="Compact"/>
              <w:jc w:val="left"/>
            </w:pPr>
            <w:r>
              <w:t xml:space="preserve">3815</w:t>
            </w:r>
          </w:p>
        </w:tc>
        <w:tc>
          <w:tcPr/>
          <w:p>
            <w:pPr>
              <w:pStyle w:val="Compact"/>
              <w:jc w:val="left"/>
            </w:pPr>
            <w:r>
              <w:t xml:space="preserve">2393</w:t>
            </w:r>
          </w:p>
        </w:tc>
        <w:tc>
          <w:tcPr/>
          <w:p>
            <w:pPr>
              <w:pStyle w:val="Compact"/>
              <w:jc w:val="left"/>
            </w:pPr>
            <w:r>
              <w:t xml:space="preserve">2201</w:t>
            </w:r>
          </w:p>
        </w:tc>
        <w:tc>
          <w:tcPr/>
          <w:p>
            <w:pPr>
              <w:pStyle w:val="Compact"/>
              <w:jc w:val="left"/>
            </w:pPr>
            <w:r>
              <w:t xml:space="preserve">157</w:t>
            </w:r>
          </w:p>
        </w:tc>
      </w:tr>
      <w:tr>
        <w:tc>
          <w:tcPr/>
          <w:p>
            <w:pPr>
              <w:pStyle w:val="Compact"/>
              <w:jc w:val="left"/>
            </w:pPr>
            <w:r>
              <w:t xml:space="preserve">4</w:t>
            </w:r>
          </w:p>
        </w:tc>
        <w:tc>
          <w:tcPr/>
          <w:p>
            <w:pPr>
              <w:pStyle w:val="Compact"/>
              <w:jc w:val="left"/>
            </w:pPr>
            <w:r>
              <w:t xml:space="preserve">5540</w:t>
            </w:r>
          </w:p>
        </w:tc>
        <w:tc>
          <w:tcPr/>
          <w:p>
            <w:pPr>
              <w:pStyle w:val="Compact"/>
              <w:jc w:val="left"/>
            </w:pPr>
            <w:r>
              <w:t xml:space="preserve">2652</w:t>
            </w:r>
          </w:p>
        </w:tc>
        <w:tc>
          <w:tcPr/>
          <w:p>
            <w:pPr>
              <w:pStyle w:val="Compact"/>
              <w:jc w:val="left"/>
            </w:pPr>
            <w:r>
              <w:t xml:space="preserve">7868</w:t>
            </w:r>
          </w:p>
        </w:tc>
        <w:tc>
          <w:tcPr/>
          <w:p>
            <w:pPr>
              <w:pStyle w:val="Compact"/>
              <w:jc w:val="left"/>
            </w:pPr>
            <w:r>
              <w:t xml:space="preserve">4458</w:t>
            </w:r>
          </w:p>
        </w:tc>
        <w:tc>
          <w:tcPr/>
          <w:p>
            <w:pPr>
              <w:pStyle w:val="Compact"/>
              <w:jc w:val="left"/>
            </w:pPr>
            <w:r>
              <w:t xml:space="preserve">5703</w:t>
            </w:r>
          </w:p>
        </w:tc>
        <w:tc>
          <w:tcPr/>
          <w:p>
            <w:pPr>
              <w:pStyle w:val="Compact"/>
              <w:jc w:val="left"/>
            </w:pPr>
            <w:r>
              <w:t xml:space="preserve">382</w:t>
            </w:r>
          </w:p>
        </w:tc>
      </w:tr>
      <w:tr>
        <w:tc>
          <w:tcPr/>
          <w:p>
            <w:pPr>
              <w:pStyle w:val="Compact"/>
              <w:jc w:val="left"/>
            </w:pPr>
            <w:r>
              <w:t xml:space="preserve">5</w:t>
            </w:r>
          </w:p>
        </w:tc>
        <w:tc>
          <w:tcPr/>
          <w:p>
            <w:pPr>
              <w:pStyle w:val="Compact"/>
              <w:jc w:val="left"/>
            </w:pPr>
            <w:r>
              <w:t xml:space="preserve">4813</w:t>
            </w:r>
          </w:p>
        </w:tc>
        <w:tc>
          <w:tcPr/>
          <w:p>
            <w:pPr>
              <w:pStyle w:val="Compact"/>
              <w:jc w:val="left"/>
            </w:pPr>
            <w:r>
              <w:t xml:space="preserve">2254</w:t>
            </w:r>
          </w:p>
        </w:tc>
        <w:tc>
          <w:tcPr/>
          <w:p>
            <w:pPr>
              <w:pStyle w:val="Compact"/>
              <w:jc w:val="left"/>
            </w:pPr>
            <w:r>
              <w:t xml:space="preserve">3226</w:t>
            </w:r>
          </w:p>
        </w:tc>
        <w:tc>
          <w:tcPr/>
          <w:p>
            <w:pPr>
              <w:pStyle w:val="Compact"/>
              <w:jc w:val="left"/>
            </w:pPr>
            <w:r>
              <w:t xml:space="preserve">1804</w:t>
            </w:r>
          </w:p>
        </w:tc>
        <w:tc>
          <w:tcPr/>
          <w:p>
            <w:pPr>
              <w:pStyle w:val="Compact"/>
              <w:jc w:val="left"/>
            </w:pPr>
            <w:r>
              <w:t xml:space="preserve">3115</w:t>
            </w:r>
          </w:p>
        </w:tc>
        <w:tc>
          <w:tcPr/>
          <w:p>
            <w:pPr>
              <w:pStyle w:val="Compact"/>
              <w:jc w:val="left"/>
            </w:pPr>
            <w:r>
              <w:t xml:space="preserve">154</w:t>
            </w:r>
          </w:p>
        </w:tc>
      </w:tr>
      <w:tr>
        <w:tc>
          <w:tcPr/>
          <w:p>
            <w:pPr>
              <w:pStyle w:val="Compact"/>
              <w:jc w:val="left"/>
            </w:pPr>
            <w:r>
              <w:t xml:space="preserve">6</w:t>
            </w:r>
          </w:p>
        </w:tc>
        <w:tc>
          <w:tcPr/>
          <w:p>
            <w:pPr>
              <w:pStyle w:val="Compact"/>
              <w:jc w:val="left"/>
            </w:pPr>
            <w:r>
              <w:t xml:space="preserve">4555</w:t>
            </w:r>
          </w:p>
        </w:tc>
        <w:tc>
          <w:tcPr/>
          <w:p>
            <w:pPr>
              <w:pStyle w:val="Compact"/>
              <w:jc w:val="left"/>
            </w:pPr>
            <w:r>
              <w:t xml:space="preserve">2100</w:t>
            </w:r>
          </w:p>
        </w:tc>
        <w:tc>
          <w:tcPr/>
          <w:p>
            <w:pPr>
              <w:pStyle w:val="Compact"/>
              <w:jc w:val="left"/>
            </w:pPr>
            <w:r>
              <w:t xml:space="preserve">3663</w:t>
            </w:r>
          </w:p>
        </w:tc>
        <w:tc>
          <w:tcPr/>
          <w:p>
            <w:pPr>
              <w:pStyle w:val="Compact"/>
              <w:jc w:val="left"/>
            </w:pPr>
            <w:r>
              <w:t xml:space="preserve">2182</w:t>
            </w:r>
          </w:p>
        </w:tc>
        <w:tc>
          <w:tcPr/>
          <w:p>
            <w:pPr>
              <w:pStyle w:val="Compact"/>
              <w:jc w:val="left"/>
            </w:pPr>
            <w:r>
              <w:t xml:space="preserve">3035</w:t>
            </w:r>
          </w:p>
        </w:tc>
        <w:tc>
          <w:tcPr/>
          <w:p>
            <w:pPr>
              <w:pStyle w:val="Compact"/>
              <w:jc w:val="left"/>
            </w:pPr>
            <w:r>
              <w:t xml:space="preserve">345</w:t>
            </w:r>
          </w:p>
        </w:tc>
      </w:tr>
      <w:tr>
        <w:tc>
          <w:tcPr/>
          <w:p>
            <w:pPr>
              <w:pStyle w:val="Compact"/>
              <w:jc w:val="left"/>
            </w:pPr>
            <w:r>
              <w:t xml:space="preserve">7</w:t>
            </w:r>
          </w:p>
        </w:tc>
        <w:tc>
          <w:tcPr/>
          <w:p>
            <w:pPr>
              <w:pStyle w:val="Compact"/>
              <w:jc w:val="left"/>
            </w:pPr>
            <w:r>
              <w:t xml:space="preserve">3677</w:t>
            </w:r>
          </w:p>
        </w:tc>
        <w:tc>
          <w:tcPr/>
          <w:p>
            <w:pPr>
              <w:pStyle w:val="Compact"/>
              <w:jc w:val="left"/>
            </w:pPr>
            <w:r>
              <w:t xml:space="preserve">1761</w:t>
            </w:r>
          </w:p>
        </w:tc>
        <w:tc>
          <w:tcPr/>
          <w:p>
            <w:pPr>
              <w:pStyle w:val="Compact"/>
              <w:jc w:val="left"/>
            </w:pPr>
            <w:r>
              <w:t xml:space="preserve">3300</w:t>
            </w:r>
          </w:p>
        </w:tc>
        <w:tc>
          <w:tcPr/>
          <w:p>
            <w:pPr>
              <w:pStyle w:val="Compact"/>
              <w:jc w:val="left"/>
            </w:pPr>
            <w:r>
              <w:t xml:space="preserve">1784</w:t>
            </w:r>
          </w:p>
        </w:tc>
        <w:tc>
          <w:tcPr/>
          <w:p>
            <w:pPr>
              <w:pStyle w:val="Compact"/>
              <w:jc w:val="left"/>
            </w:pPr>
            <w:r>
              <w:t xml:space="preserve">2705</w:t>
            </w:r>
          </w:p>
        </w:tc>
        <w:tc>
          <w:tcPr/>
          <w:p>
            <w:pPr>
              <w:pStyle w:val="Compact"/>
              <w:jc w:val="left"/>
            </w:pPr>
            <w:r>
              <w:t xml:space="preserve">148</w:t>
            </w:r>
          </w:p>
        </w:tc>
      </w:tr>
      <w:tr>
        <w:tc>
          <w:tcPr/>
          <w:p>
            <w:pPr>
              <w:pStyle w:val="Compact"/>
              <w:jc w:val="left"/>
            </w:pPr>
            <w:r>
              <w:t xml:space="preserve">8</w:t>
            </w:r>
          </w:p>
        </w:tc>
        <w:tc>
          <w:tcPr/>
          <w:p>
            <w:pPr>
              <w:pStyle w:val="Compact"/>
              <w:jc w:val="left"/>
            </w:pPr>
            <w:r>
              <w:t xml:space="preserve">4551</w:t>
            </w:r>
          </w:p>
        </w:tc>
        <w:tc>
          <w:tcPr/>
          <w:p>
            <w:pPr>
              <w:pStyle w:val="Compact"/>
              <w:jc w:val="left"/>
            </w:pPr>
            <w:r>
              <w:t xml:space="preserve">2189</w:t>
            </w:r>
          </w:p>
        </w:tc>
        <w:tc>
          <w:tcPr/>
          <w:p>
            <w:pPr>
              <w:pStyle w:val="Compact"/>
              <w:jc w:val="left"/>
            </w:pPr>
            <w:r>
              <w:t xml:space="preserve">2692</w:t>
            </w:r>
          </w:p>
        </w:tc>
        <w:tc>
          <w:tcPr/>
          <w:p>
            <w:pPr>
              <w:pStyle w:val="Compact"/>
              <w:jc w:val="left"/>
            </w:pPr>
            <w:r>
              <w:t xml:space="preserve">1577</w:t>
            </w:r>
          </w:p>
        </w:tc>
        <w:tc>
          <w:tcPr/>
          <w:p>
            <w:pPr>
              <w:pStyle w:val="Compact"/>
              <w:jc w:val="left"/>
            </w:pPr>
            <w:r>
              <w:t xml:space="preserve">2391</w:t>
            </w:r>
          </w:p>
        </w:tc>
        <w:tc>
          <w:tcPr/>
          <w:p>
            <w:pPr>
              <w:pStyle w:val="Compact"/>
              <w:jc w:val="left"/>
            </w:pPr>
            <w:r>
              <w:t xml:space="preserve">191</w:t>
            </w:r>
          </w:p>
        </w:tc>
      </w:tr>
      <w:tr>
        <w:tc>
          <w:tcPr/>
          <w:p>
            <w:pPr>
              <w:pStyle w:val="Compact"/>
              <w:jc w:val="left"/>
            </w:pPr>
            <w:r>
              <w:t xml:space="preserve">9</w:t>
            </w:r>
          </w:p>
        </w:tc>
        <w:tc>
          <w:tcPr/>
          <w:p>
            <w:pPr>
              <w:pStyle w:val="Compact"/>
              <w:jc w:val="left"/>
            </w:pPr>
            <w:r>
              <w:t xml:space="preserve">4521</w:t>
            </w:r>
          </w:p>
        </w:tc>
        <w:tc>
          <w:tcPr/>
          <w:p>
            <w:pPr>
              <w:pStyle w:val="Compact"/>
              <w:jc w:val="left"/>
            </w:pPr>
            <w:r>
              <w:t xml:space="preserve">1995</w:t>
            </w:r>
          </w:p>
        </w:tc>
        <w:tc>
          <w:tcPr/>
          <w:p>
            <w:pPr>
              <w:pStyle w:val="Compact"/>
              <w:jc w:val="left"/>
            </w:pPr>
            <w:r>
              <w:t xml:space="preserve">3427</w:t>
            </w:r>
          </w:p>
        </w:tc>
        <w:tc>
          <w:tcPr/>
          <w:p>
            <w:pPr>
              <w:pStyle w:val="Compact"/>
              <w:jc w:val="left"/>
            </w:pPr>
            <w:r>
              <w:t xml:space="preserve">1902</w:t>
            </w:r>
          </w:p>
        </w:tc>
        <w:tc>
          <w:tcPr/>
          <w:p>
            <w:pPr>
              <w:pStyle w:val="Compact"/>
              <w:jc w:val="left"/>
            </w:pPr>
            <w:r>
              <w:t xml:space="preserve">2750</w:t>
            </w:r>
          </w:p>
        </w:tc>
        <w:tc>
          <w:tcPr/>
          <w:p>
            <w:pPr>
              <w:pStyle w:val="Compact"/>
              <w:jc w:val="left"/>
            </w:pPr>
            <w:r>
              <w:t xml:space="preserve">229</w:t>
            </w:r>
          </w:p>
        </w:tc>
      </w:tr>
      <w:tr>
        <w:tc>
          <w:tcPr/>
          <w:p>
            <w:pPr>
              <w:pStyle w:val="Compact"/>
              <w:jc w:val="left"/>
            </w:pPr>
            <w:r>
              <w:t xml:space="preserve">10</w:t>
            </w:r>
          </w:p>
        </w:tc>
        <w:tc>
          <w:tcPr/>
          <w:p>
            <w:pPr>
              <w:pStyle w:val="Compact"/>
              <w:jc w:val="left"/>
            </w:pPr>
            <w:r>
              <w:t xml:space="preserve">4366</w:t>
            </w:r>
          </w:p>
        </w:tc>
        <w:tc>
          <w:tcPr/>
          <w:p>
            <w:pPr>
              <w:pStyle w:val="Compact"/>
              <w:jc w:val="left"/>
            </w:pPr>
            <w:r>
              <w:t xml:space="preserve">2052</w:t>
            </w:r>
          </w:p>
        </w:tc>
        <w:tc>
          <w:tcPr/>
          <w:p>
            <w:pPr>
              <w:pStyle w:val="Compact"/>
              <w:jc w:val="left"/>
            </w:pPr>
            <w:r>
              <w:t xml:space="preserve">4219</w:t>
            </w:r>
          </w:p>
        </w:tc>
        <w:tc>
          <w:tcPr/>
          <w:p>
            <w:pPr>
              <w:pStyle w:val="Compact"/>
              <w:jc w:val="left"/>
            </w:pPr>
            <w:r>
              <w:t xml:space="preserve">2225</w:t>
            </w:r>
          </w:p>
        </w:tc>
        <w:tc>
          <w:tcPr/>
          <w:p>
            <w:pPr>
              <w:pStyle w:val="Compact"/>
              <w:jc w:val="left"/>
            </w:pPr>
            <w:r>
              <w:t xml:space="preserve">2297</w:t>
            </w:r>
          </w:p>
        </w:tc>
        <w:tc>
          <w:tcPr/>
          <w:p>
            <w:pPr>
              <w:pStyle w:val="Compact"/>
              <w:jc w:val="left"/>
            </w:pPr>
            <w:r>
              <w:t xml:space="preserve">120</w:t>
            </w:r>
          </w:p>
        </w:tc>
      </w:tr>
      <w:tr>
        <w:tc>
          <w:tcPr/>
          <w:p>
            <w:pPr>
              <w:pStyle w:val="Compact"/>
              <w:jc w:val="left"/>
            </w:pPr>
            <w:r>
              <w:t xml:space="preserve">11</w:t>
            </w:r>
          </w:p>
        </w:tc>
        <w:tc>
          <w:tcPr/>
          <w:p>
            <w:pPr>
              <w:pStyle w:val="Compact"/>
              <w:jc w:val="left"/>
            </w:pPr>
            <w:r>
              <w:t xml:space="preserve">3839</w:t>
            </w:r>
          </w:p>
        </w:tc>
        <w:tc>
          <w:tcPr/>
          <w:p>
            <w:pPr>
              <w:pStyle w:val="Compact"/>
              <w:jc w:val="left"/>
            </w:pPr>
            <w:r>
              <w:t xml:space="preserve">1727</w:t>
            </w:r>
          </w:p>
        </w:tc>
        <w:tc>
          <w:tcPr/>
          <w:p>
            <w:pPr>
              <w:pStyle w:val="Compact"/>
              <w:jc w:val="left"/>
            </w:pPr>
            <w:r>
              <w:t xml:space="preserve">5212</w:t>
            </w:r>
          </w:p>
        </w:tc>
        <w:tc>
          <w:tcPr/>
          <w:p>
            <w:pPr>
              <w:pStyle w:val="Compact"/>
              <w:jc w:val="left"/>
            </w:pPr>
            <w:r>
              <w:t xml:space="preserve">2962</w:t>
            </w:r>
          </w:p>
        </w:tc>
        <w:tc>
          <w:tcPr/>
          <w:p>
            <w:pPr>
              <w:pStyle w:val="Compact"/>
              <w:jc w:val="left"/>
            </w:pPr>
            <w:r>
              <w:t xml:space="preserve">3713</w:t>
            </w:r>
          </w:p>
        </w:tc>
        <w:tc>
          <w:tcPr/>
          <w:p>
            <w:pPr>
              <w:pStyle w:val="Compact"/>
              <w:jc w:val="left"/>
            </w:pPr>
            <w:r>
              <w:t xml:space="preserve">309</w:t>
            </w:r>
          </w:p>
        </w:tc>
      </w:tr>
      <w:tr>
        <w:tc>
          <w:tcPr/>
          <w:p>
            <w:pPr>
              <w:pStyle w:val="Compact"/>
              <w:jc w:val="left"/>
            </w:pPr>
            <w:r>
              <w:t xml:space="preserve">12</w:t>
            </w:r>
          </w:p>
        </w:tc>
        <w:tc>
          <w:tcPr/>
          <w:p>
            <w:pPr>
              <w:pStyle w:val="Compact"/>
              <w:jc w:val="left"/>
            </w:pPr>
            <w:r>
              <w:t xml:space="preserve">3777</w:t>
            </w:r>
          </w:p>
        </w:tc>
        <w:tc>
          <w:tcPr/>
          <w:p>
            <w:pPr>
              <w:pStyle w:val="Compact"/>
              <w:jc w:val="left"/>
            </w:pPr>
            <w:r>
              <w:t xml:space="preserve">1614</w:t>
            </w:r>
          </w:p>
        </w:tc>
        <w:tc>
          <w:tcPr/>
          <w:p>
            <w:pPr>
              <w:pStyle w:val="Compact"/>
              <w:jc w:val="left"/>
            </w:pPr>
            <w:r>
              <w:t xml:space="preserve">5329</w:t>
            </w:r>
          </w:p>
        </w:tc>
        <w:tc>
          <w:tcPr/>
          <w:p>
            <w:pPr>
              <w:pStyle w:val="Compact"/>
              <w:jc w:val="left"/>
            </w:pPr>
            <w:r>
              <w:t xml:space="preserve">2286</w:t>
            </w:r>
          </w:p>
        </w:tc>
        <w:tc>
          <w:tcPr/>
          <w:p>
            <w:pPr>
              <w:pStyle w:val="Compact"/>
              <w:jc w:val="left"/>
            </w:pPr>
            <w:r>
              <w:t xml:space="preserve">2026</w:t>
            </w:r>
          </w:p>
        </w:tc>
        <w:tc>
          <w:tcPr/>
          <w:p>
            <w:pPr>
              <w:pStyle w:val="Compact"/>
              <w:jc w:val="left"/>
            </w:pPr>
            <w:r>
              <w:t xml:space="preserve">162</w:t>
            </w:r>
          </w:p>
        </w:tc>
      </w:tr>
      <w:tr>
        <w:tc>
          <w:tcPr/>
          <w:p>
            <w:pPr>
              <w:pStyle w:val="Compact"/>
              <w:jc w:val="left"/>
            </w:pPr>
            <w:r>
              <w:t xml:space="preserve">13</w:t>
            </w:r>
          </w:p>
        </w:tc>
        <w:tc>
          <w:tcPr/>
          <w:p>
            <w:pPr>
              <w:pStyle w:val="Compact"/>
              <w:jc w:val="left"/>
            </w:pPr>
            <w:r>
              <w:t xml:space="preserve">4002</w:t>
            </w:r>
          </w:p>
        </w:tc>
        <w:tc>
          <w:tcPr/>
          <w:p>
            <w:pPr>
              <w:pStyle w:val="Compact"/>
              <w:jc w:val="left"/>
            </w:pPr>
            <w:r>
              <w:t xml:space="preserve">1879</w:t>
            </w:r>
          </w:p>
        </w:tc>
        <w:tc>
          <w:tcPr/>
          <w:p>
            <w:pPr>
              <w:pStyle w:val="Compact"/>
              <w:jc w:val="left"/>
            </w:pPr>
            <w:r>
              <w:t xml:space="preserve">3888</w:t>
            </w:r>
          </w:p>
        </w:tc>
        <w:tc>
          <w:tcPr/>
          <w:p>
            <w:pPr>
              <w:pStyle w:val="Compact"/>
              <w:jc w:val="left"/>
            </w:pPr>
            <w:r>
              <w:t xml:space="preserve">2013</w:t>
            </w:r>
          </w:p>
        </w:tc>
        <w:tc>
          <w:tcPr/>
          <w:p>
            <w:pPr>
              <w:pStyle w:val="Compact"/>
              <w:jc w:val="left"/>
            </w:pPr>
            <w:r>
              <w:t xml:space="preserve">2131</w:t>
            </w:r>
          </w:p>
        </w:tc>
        <w:tc>
          <w:tcPr/>
          <w:p>
            <w:pPr>
              <w:pStyle w:val="Compact"/>
              <w:jc w:val="left"/>
            </w:pPr>
            <w:r>
              <w:t xml:space="preserve">257</w:t>
            </w:r>
          </w:p>
        </w:tc>
      </w:tr>
      <w:tr>
        <w:tc>
          <w:tcPr/>
          <w:p>
            <w:pPr>
              <w:pStyle w:val="Compact"/>
              <w:jc w:val="left"/>
            </w:pPr>
            <w:r>
              <w:t xml:space="preserve">14</w:t>
            </w:r>
          </w:p>
        </w:tc>
        <w:tc>
          <w:tcPr/>
          <w:p>
            <w:pPr>
              <w:pStyle w:val="Compact"/>
              <w:jc w:val="left"/>
            </w:pPr>
            <w:r>
              <w:t xml:space="preserve">4275</w:t>
            </w:r>
          </w:p>
        </w:tc>
        <w:tc>
          <w:tcPr/>
          <w:p>
            <w:pPr>
              <w:pStyle w:val="Compact"/>
              <w:jc w:val="left"/>
            </w:pPr>
            <w:r>
              <w:t xml:space="preserve">1973</w:t>
            </w:r>
          </w:p>
        </w:tc>
        <w:tc>
          <w:tcPr/>
          <w:p>
            <w:pPr>
              <w:pStyle w:val="Compact"/>
              <w:jc w:val="left"/>
            </w:pPr>
            <w:r>
              <w:t xml:space="preserve">5568</w:t>
            </w:r>
          </w:p>
        </w:tc>
        <w:tc>
          <w:tcPr/>
          <w:p>
            <w:pPr>
              <w:pStyle w:val="Compact"/>
              <w:jc w:val="left"/>
            </w:pPr>
            <w:r>
              <w:t xml:space="preserve">3198</w:t>
            </w:r>
          </w:p>
        </w:tc>
        <w:tc>
          <w:tcPr/>
          <w:p>
            <w:pPr>
              <w:pStyle w:val="Compact"/>
              <w:jc w:val="left"/>
            </w:pPr>
            <w:r>
              <w:t xml:space="preserve">4317</w:t>
            </w:r>
          </w:p>
        </w:tc>
        <w:tc>
          <w:tcPr/>
          <w:p>
            <w:pPr>
              <w:pStyle w:val="Compact"/>
              <w:jc w:val="left"/>
            </w:pPr>
            <w:r>
              <w:t xml:space="preserve">297</w:t>
            </w:r>
          </w:p>
        </w:tc>
      </w:tr>
      <w:tr>
        <w:tc>
          <w:tcPr/>
          <w:p>
            <w:pPr>
              <w:pStyle w:val="Compact"/>
              <w:jc w:val="left"/>
            </w:pPr>
            <w:r>
              <w:t xml:space="preserve">15</w:t>
            </w:r>
          </w:p>
        </w:tc>
        <w:tc>
          <w:tcPr/>
          <w:p>
            <w:pPr>
              <w:pStyle w:val="Compact"/>
              <w:jc w:val="left"/>
            </w:pPr>
            <w:r>
              <w:t xml:space="preserve">3086</w:t>
            </w:r>
          </w:p>
        </w:tc>
        <w:tc>
          <w:tcPr/>
          <w:p>
            <w:pPr>
              <w:pStyle w:val="Compact"/>
              <w:jc w:val="left"/>
            </w:pPr>
            <w:r>
              <w:t xml:space="preserve">1427</w:t>
            </w:r>
          </w:p>
        </w:tc>
        <w:tc>
          <w:tcPr/>
          <w:p>
            <w:pPr>
              <w:pStyle w:val="Compact"/>
              <w:jc w:val="left"/>
            </w:pPr>
            <w:r>
              <w:t xml:space="preserve">3911</w:t>
            </w:r>
          </w:p>
        </w:tc>
        <w:tc>
          <w:tcPr/>
          <w:p>
            <w:pPr>
              <w:pStyle w:val="Compact"/>
              <w:jc w:val="left"/>
            </w:pPr>
            <w:r>
              <w:t xml:space="preserve">2358</w:t>
            </w:r>
          </w:p>
        </w:tc>
        <w:tc>
          <w:tcPr/>
          <w:p>
            <w:pPr>
              <w:pStyle w:val="Compact"/>
              <w:jc w:val="left"/>
            </w:pPr>
            <w:r>
              <w:t xml:space="preserve">2662</w:t>
            </w:r>
          </w:p>
        </w:tc>
        <w:tc>
          <w:tcPr/>
          <w:p>
            <w:pPr>
              <w:pStyle w:val="Compact"/>
              <w:jc w:val="left"/>
            </w:pPr>
            <w:r>
              <w:t xml:space="preserve">172</w:t>
            </w:r>
          </w:p>
        </w:tc>
      </w:tr>
      <w:tr>
        <w:tc>
          <w:tcPr/>
          <w:p>
            <w:pPr>
              <w:pStyle w:val="Compact"/>
              <w:jc w:val="left"/>
            </w:pPr>
            <w:r>
              <w:t xml:space="preserve">16</w:t>
            </w:r>
          </w:p>
        </w:tc>
        <w:tc>
          <w:tcPr/>
          <w:p>
            <w:pPr>
              <w:pStyle w:val="Compact"/>
              <w:jc w:val="left"/>
            </w:pPr>
            <w:r>
              <w:t xml:space="preserve">4274</w:t>
            </w:r>
          </w:p>
        </w:tc>
        <w:tc>
          <w:tcPr/>
          <w:p>
            <w:pPr>
              <w:pStyle w:val="Compact"/>
              <w:jc w:val="left"/>
            </w:pPr>
            <w:r>
              <w:t xml:space="preserve">1589</w:t>
            </w:r>
          </w:p>
        </w:tc>
        <w:tc>
          <w:tcPr/>
          <w:p>
            <w:pPr>
              <w:pStyle w:val="Compact"/>
              <w:jc w:val="left"/>
            </w:pPr>
            <w:r>
              <w:t xml:space="preserve">3407</w:t>
            </w:r>
          </w:p>
        </w:tc>
        <w:tc>
          <w:tcPr/>
          <w:p>
            <w:pPr>
              <w:pStyle w:val="Compact"/>
              <w:jc w:val="left"/>
            </w:pPr>
            <w:r>
              <w:t xml:space="preserve">1987</w:t>
            </w:r>
          </w:p>
        </w:tc>
        <w:tc>
          <w:tcPr/>
          <w:p>
            <w:pPr>
              <w:pStyle w:val="Compact"/>
              <w:jc w:val="left"/>
            </w:pPr>
            <w:r>
              <w:t xml:space="preserve">2058</w:t>
            </w:r>
          </w:p>
        </w:tc>
        <w:tc>
          <w:tcPr/>
          <w:p>
            <w:pPr>
              <w:pStyle w:val="Compact"/>
              <w:jc w:val="left"/>
            </w:pPr>
            <w:r>
              <w:t xml:space="preserve">302</w:t>
            </w:r>
          </w:p>
        </w:tc>
      </w:tr>
      <w:tr>
        <w:tc>
          <w:tcPr/>
          <w:p>
            <w:pPr>
              <w:pStyle w:val="Compact"/>
              <w:jc w:val="left"/>
            </w:pPr>
            <w:r>
              <w:t xml:space="preserve">17</w:t>
            </w:r>
          </w:p>
        </w:tc>
        <w:tc>
          <w:tcPr/>
          <w:p>
            <w:pPr>
              <w:pStyle w:val="Compact"/>
              <w:jc w:val="left"/>
            </w:pPr>
            <w:r>
              <w:t xml:space="preserve">3519</w:t>
            </w:r>
          </w:p>
        </w:tc>
        <w:tc>
          <w:tcPr/>
          <w:p>
            <w:pPr>
              <w:pStyle w:val="Compact"/>
              <w:jc w:val="left"/>
            </w:pPr>
            <w:r>
              <w:t xml:space="preserve">1657</w:t>
            </w:r>
          </w:p>
        </w:tc>
        <w:tc>
          <w:tcPr/>
          <w:p>
            <w:pPr>
              <w:pStyle w:val="Compact"/>
              <w:jc w:val="left"/>
            </w:pPr>
            <w:r>
              <w:t xml:space="preserve">3557</w:t>
            </w:r>
          </w:p>
        </w:tc>
        <w:tc>
          <w:tcPr/>
          <w:p>
            <w:pPr>
              <w:pStyle w:val="Compact"/>
              <w:jc w:val="left"/>
            </w:pPr>
            <w:r>
              <w:t xml:space="preserve">1888</w:t>
            </w:r>
          </w:p>
        </w:tc>
        <w:tc>
          <w:tcPr/>
          <w:p>
            <w:pPr>
              <w:pStyle w:val="Compact"/>
              <w:jc w:val="left"/>
            </w:pPr>
            <w:r>
              <w:t xml:space="preserve">2195</w:t>
            </w:r>
          </w:p>
        </w:tc>
        <w:tc>
          <w:tcPr/>
          <w:p>
            <w:pPr>
              <w:pStyle w:val="Compact"/>
              <w:jc w:val="left"/>
            </w:pPr>
            <w:r>
              <w:t xml:space="preserve">251</w:t>
            </w:r>
          </w:p>
        </w:tc>
      </w:tr>
      <w:tr>
        <w:tc>
          <w:tcPr/>
          <w:p>
            <w:pPr>
              <w:pStyle w:val="Compact"/>
              <w:jc w:val="left"/>
            </w:pPr>
            <w:r>
              <w:t xml:space="preserve">18</w:t>
            </w:r>
          </w:p>
        </w:tc>
        <w:tc>
          <w:tcPr/>
          <w:p>
            <w:pPr>
              <w:pStyle w:val="Compact"/>
              <w:jc w:val="left"/>
            </w:pPr>
            <w:r>
              <w:t xml:space="preserve">3568</w:t>
            </w:r>
          </w:p>
        </w:tc>
        <w:tc>
          <w:tcPr/>
          <w:p>
            <w:pPr>
              <w:pStyle w:val="Compact"/>
              <w:jc w:val="left"/>
            </w:pPr>
            <w:r>
              <w:t xml:space="preserve">1723</w:t>
            </w:r>
          </w:p>
        </w:tc>
        <w:tc>
          <w:tcPr/>
          <w:p>
            <w:pPr>
              <w:pStyle w:val="Compact"/>
              <w:jc w:val="left"/>
            </w:pPr>
            <w:r>
              <w:t xml:space="preserve">3775</w:t>
            </w:r>
          </w:p>
        </w:tc>
        <w:tc>
          <w:tcPr/>
          <w:p>
            <w:pPr>
              <w:pStyle w:val="Compact"/>
              <w:jc w:val="left"/>
            </w:pPr>
            <w:r>
              <w:t xml:space="preserve">2105</w:t>
            </w:r>
          </w:p>
        </w:tc>
        <w:tc>
          <w:tcPr/>
          <w:p>
            <w:pPr>
              <w:pStyle w:val="Compact"/>
              <w:jc w:val="left"/>
            </w:pPr>
            <w:r>
              <w:t xml:space="preserve">1826</w:t>
            </w:r>
          </w:p>
        </w:tc>
        <w:tc>
          <w:tcPr/>
          <w:p>
            <w:pPr>
              <w:pStyle w:val="Compact"/>
              <w:jc w:val="left"/>
            </w:pPr>
            <w:r>
              <w:t xml:space="preserve">133</w:t>
            </w:r>
          </w:p>
        </w:tc>
      </w:tr>
      <w:tr>
        <w:tc>
          <w:tcPr/>
          <w:p>
            <w:pPr>
              <w:pStyle w:val="Compact"/>
              <w:jc w:val="left"/>
            </w:pPr>
            <w:r>
              <w:t xml:space="preserve">19</w:t>
            </w:r>
          </w:p>
        </w:tc>
        <w:tc>
          <w:tcPr/>
          <w:p>
            <w:pPr>
              <w:pStyle w:val="Compact"/>
              <w:jc w:val="left"/>
            </w:pPr>
            <w:r>
              <w:t xml:space="preserve">4015</w:t>
            </w:r>
          </w:p>
        </w:tc>
        <w:tc>
          <w:tcPr/>
          <w:p>
            <w:pPr>
              <w:pStyle w:val="Compact"/>
              <w:jc w:val="left"/>
            </w:pPr>
            <w:r>
              <w:t xml:space="preserve">1860</w:t>
            </w:r>
          </w:p>
        </w:tc>
        <w:tc>
          <w:tcPr/>
          <w:p>
            <w:pPr>
              <w:pStyle w:val="Compact"/>
              <w:jc w:val="left"/>
            </w:pPr>
            <w:r>
              <w:t xml:space="preserve">3278</w:t>
            </w:r>
          </w:p>
        </w:tc>
        <w:tc>
          <w:tcPr/>
          <w:p>
            <w:pPr>
              <w:pStyle w:val="Compact"/>
              <w:jc w:val="left"/>
            </w:pPr>
            <w:r>
              <w:t xml:space="preserve">1716</w:t>
            </w:r>
          </w:p>
        </w:tc>
        <w:tc>
          <w:tcPr/>
          <w:p>
            <w:pPr>
              <w:pStyle w:val="Compact"/>
              <w:jc w:val="left"/>
            </w:pPr>
            <w:r>
              <w:t xml:space="preserve">1793</w:t>
            </w:r>
          </w:p>
        </w:tc>
        <w:tc>
          <w:tcPr/>
          <w:p>
            <w:pPr>
              <w:pStyle w:val="Compact"/>
              <w:jc w:val="left"/>
            </w:pPr>
            <w:r>
              <w:t xml:space="preserve">169</w:t>
            </w:r>
          </w:p>
        </w:tc>
      </w:tr>
      <w:tr>
        <w:tc>
          <w:tcPr/>
          <w:p>
            <w:pPr>
              <w:pStyle w:val="Compact"/>
              <w:jc w:val="left"/>
            </w:pPr>
            <w:r>
              <w:t xml:space="preserve">20</w:t>
            </w:r>
          </w:p>
        </w:tc>
        <w:tc>
          <w:tcPr/>
          <w:p>
            <w:pPr>
              <w:pStyle w:val="Compact"/>
              <w:jc w:val="left"/>
            </w:pPr>
            <w:r>
              <w:t xml:space="preserve">3687</w:t>
            </w:r>
          </w:p>
        </w:tc>
        <w:tc>
          <w:tcPr/>
          <w:p>
            <w:pPr>
              <w:pStyle w:val="Compact"/>
              <w:jc w:val="left"/>
            </w:pPr>
            <w:r>
              <w:t xml:space="preserve">1692</w:t>
            </w:r>
          </w:p>
        </w:tc>
        <w:tc>
          <w:tcPr/>
          <w:p>
            <w:pPr>
              <w:pStyle w:val="Compact"/>
              <w:jc w:val="left"/>
            </w:pPr>
            <w:r>
              <w:t xml:space="preserve">3795</w:t>
            </w:r>
          </w:p>
        </w:tc>
        <w:tc>
          <w:tcPr/>
          <w:p>
            <w:pPr>
              <w:pStyle w:val="Compact"/>
              <w:jc w:val="left"/>
            </w:pPr>
            <w:r>
              <w:t xml:space="preserve">1623</w:t>
            </w:r>
          </w:p>
        </w:tc>
        <w:tc>
          <w:tcPr/>
          <w:p>
            <w:pPr>
              <w:pStyle w:val="Compact"/>
              <w:jc w:val="left"/>
            </w:pPr>
            <w:r>
              <w:t xml:space="preserve">1893</w:t>
            </w:r>
          </w:p>
        </w:tc>
        <w:tc>
          <w:tcPr/>
          <w:p>
            <w:pPr>
              <w:pStyle w:val="Compact"/>
              <w:jc w:val="left"/>
            </w:pPr>
            <w:r>
              <w:t xml:space="preserve">133</w:t>
            </w:r>
          </w:p>
        </w:tc>
      </w:tr>
      <w:tr>
        <w:tc>
          <w:tcPr/>
          <w:p>
            <w:pPr>
              <w:pStyle w:val="Compact"/>
              <w:jc w:val="left"/>
            </w:pPr>
            <w:r>
              <w:t xml:space="preserve">Total</w:t>
            </w:r>
          </w:p>
        </w:tc>
        <w:tc>
          <w:tcPr/>
          <w:p>
            <w:pPr>
              <w:pStyle w:val="Compact"/>
              <w:jc w:val="left"/>
            </w:pPr>
            <w:r>
              <w:t xml:space="preserve">108279</w:t>
            </w:r>
          </w:p>
        </w:tc>
        <w:tc>
          <w:tcPr/>
          <w:p>
            <w:pPr>
              <w:pStyle w:val="Compact"/>
              <w:jc w:val="left"/>
            </w:pPr>
            <w:r>
              <w:t xml:space="preserve">47544</w:t>
            </w:r>
          </w:p>
        </w:tc>
        <w:tc>
          <w:tcPr/>
          <w:p>
            <w:pPr>
              <w:pStyle w:val="Compact"/>
              <w:jc w:val="left"/>
            </w:pPr>
            <w:r>
              <w:t xml:space="preserve">85345</w:t>
            </w:r>
          </w:p>
        </w:tc>
        <w:tc>
          <w:tcPr/>
          <w:p>
            <w:pPr>
              <w:pStyle w:val="Compact"/>
              <w:jc w:val="left"/>
            </w:pPr>
            <w:r>
              <w:t xml:space="preserve">46859</w:t>
            </w:r>
          </w:p>
        </w:tc>
        <w:tc>
          <w:tcPr/>
          <w:p>
            <w:pPr>
              <w:pStyle w:val="Compact"/>
              <w:jc w:val="left"/>
            </w:pPr>
            <w:r>
              <w:t xml:space="preserve">56598</w:t>
            </w:r>
          </w:p>
        </w:tc>
        <w:tc>
          <w:tcPr/>
          <w:p>
            <w:pPr>
              <w:pStyle w:val="Compact"/>
              <w:jc w:val="left"/>
            </w:pPr>
            <w:r>
              <w:t xml:space="preserve">4799</w:t>
            </w:r>
          </w:p>
        </w:tc>
      </w:tr>
    </w:tbl>
    <w:bookmarkEnd w:id="0"/>
    <w:bookmarkEnd w:id="40"/>
    <w:bookmarkStart w:id="47" w:name="X19a8b59ba5c59ea301b91443341fc723ae5f237"/>
    <w:p>
      <w:pPr>
        <w:pStyle w:val="Heading3"/>
      </w:pPr>
      <w:r>
        <w:t xml:space="preserve">Population Structure and Genetic Diversity</w:t>
      </w:r>
    </w:p>
    <w:bookmarkStart w:id="0" w:name="fig:struc"/>
    <w:p>
      <w:pPr>
        <w:pStyle w:val="CaptionedFigure"/>
      </w:pPr>
      <w:bookmarkStart w:id="42"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1"/>
                    <a:stretch>
                      <a:fillRect/>
                    </a:stretch>
                  </pic:blipFill>
                  <pic:spPr bwMode="auto">
                    <a:xfrm>
                      <a:off x="0" y="0"/>
                      <a:ext cx="5943600" cy="4245428"/>
                    </a:xfrm>
                    <a:prstGeom prst="rect">
                      <a:avLst/>
                    </a:prstGeom>
                    <a:noFill/>
                    <a:ln w="9525">
                      <a:noFill/>
                      <a:headEnd/>
                      <a:tailEnd/>
                    </a:ln>
                  </pic:spPr>
                </pic:pic>
              </a:graphicData>
            </a:graphic>
          </wp:inline>
        </w:drawing>
      </w:r>
      <w:bookmarkEnd w:id="42"/>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tbl:struc_info"/>
    <w:p>
      <w:pPr>
        <w:pStyle w:val="TableCaption"/>
      </w:pPr>
      <w:r>
        <w:t xml:space="preserve">Table 2: Commonalities among accessions in each group, most groupings are dictated by geography.</w:t>
      </w:r>
      <w:r>
        <w:t xml:space="preserve"> </w:t>
      </w:r>
    </w:p>
    <w:tbl>
      <w:tblPr>
        <w:tblStyle w:val="Table"/>
        <w:tblW w:type="pct" w:w="5000"/>
        <w:tblLook w:firstRow="1" w:lastRow="0" w:firstColumn="0" w:lastColumn="0" w:noHBand="0" w:noVBand="0" w:val="0020"/>
        <w:tblCaption w:val="Table 2: Commonalities among accessions in each group, most groupings are dictated by geography. "/>
      </w:tblPr>
      <w:tblGrid>
        <w:gridCol w:w="1980"/>
        <w:gridCol w:w="1980"/>
        <w:gridCol w:w="1980"/>
        <w:gridCol w:w="1980"/>
      </w:tblGrid>
      <w:tr>
        <w:trPr>
          <w:tblHeader w:val="true"/>
        </w:trPr>
        <w:tc>
          <w:tcPr/>
          <w:p>
            <w:pPr>
              <w:pStyle w:val="Compact"/>
              <w:jc w:val="left"/>
            </w:pPr>
            <w:r>
              <w:t xml:space="preserve">Group</w:t>
            </w:r>
          </w:p>
        </w:tc>
        <w:tc>
          <w:tcPr/>
          <w:p>
            <w:pPr>
              <w:pStyle w:val="Compact"/>
              <w:jc w:val="left"/>
            </w:pPr>
            <w:r>
              <w:t xml:space="preserve">Species</w:t>
            </w:r>
          </w:p>
        </w:tc>
        <w:tc>
          <w:tcPr/>
          <w:p>
            <w:pPr>
              <w:pStyle w:val="Compact"/>
            </w:pPr>
          </w:p>
        </w:tc>
        <w:tc>
          <w:tcPr/>
          <w:p>
            <w:pPr>
              <w:pStyle w:val="Compact"/>
            </w:pPr>
          </w:p>
        </w:tc>
      </w:tr>
      <w:tr>
        <w:tc>
          <w:tcPr/>
          <w:p>
            <w:pPr>
              <w:pStyle w:val="Compact"/>
            </w:pPr>
          </w:p>
        </w:tc>
        <w:tc>
          <w:tcPr/>
          <w:p>
            <w:pPr>
              <w:pStyle w:val="Compact"/>
              <w:jc w:val="left"/>
            </w:pPr>
            <w:r>
              <w:rPr>
                <w:iCs/>
                <w:i/>
              </w:rPr>
              <w:t xml:space="preserve">C. pepo</w:t>
            </w:r>
          </w:p>
        </w:tc>
        <w:tc>
          <w:tcPr/>
          <w:p>
            <w:pPr>
              <w:pStyle w:val="Compact"/>
              <w:jc w:val="left"/>
            </w:pPr>
            <w:r>
              <w:rPr>
                <w:iCs/>
                <w:i/>
              </w:rPr>
              <w:t xml:space="preserve">C. moschata</w:t>
            </w:r>
          </w:p>
        </w:tc>
        <w:tc>
          <w:tcPr/>
          <w:p>
            <w:pPr>
              <w:pStyle w:val="Compact"/>
              <w:jc w:val="left"/>
            </w:pPr>
            <w:r>
              <w:rPr>
                <w:iCs/>
                <w:i/>
              </w:rPr>
              <w:t xml:space="preserve">C. maxima</w:t>
            </w:r>
          </w:p>
        </w:tc>
      </w:tr>
      <w:tr>
        <w:tc>
          <w:tcPr/>
          <w:p>
            <w:pPr>
              <w:pStyle w:val="Compact"/>
              <w:jc w:val="left"/>
            </w:pPr>
            <w:r>
              <w:t xml:space="preserve">1</w:t>
            </w:r>
          </w:p>
        </w:tc>
        <w:tc>
          <w:tcPr/>
          <w:p>
            <w:pPr>
              <w:pStyle w:val="Compact"/>
              <w:jc w:val="left"/>
            </w:pPr>
            <w:r>
              <w:t xml:space="preserve">Europe/Asia, mostly for Turkey</w:t>
            </w:r>
          </w:p>
        </w:tc>
        <w:tc>
          <w:tcPr/>
          <w:p>
            <w:pPr>
              <w:pStyle w:val="Compact"/>
              <w:jc w:val="left"/>
            </w:pPr>
            <w:r>
              <w:t xml:space="preserve">South American/Latin American</w:t>
            </w:r>
          </w:p>
        </w:tc>
        <w:tc>
          <w:tcPr/>
          <w:p>
            <w:pPr>
              <w:pStyle w:val="Compact"/>
              <w:jc w:val="left"/>
            </w:pPr>
            <w:r>
              <w:t xml:space="preserve">Mixed origin; kobocha/turban types</w:t>
            </w:r>
          </w:p>
        </w:tc>
      </w:tr>
      <w:tr>
        <w:tc>
          <w:tcPr/>
          <w:p>
            <w:pPr>
              <w:pStyle w:val="Compact"/>
              <w:jc w:val="left"/>
            </w:pPr>
            <w:r>
              <w:t xml:space="preserve">2</w:t>
            </w:r>
          </w:p>
        </w:tc>
        <w:tc>
          <w:tcPr/>
          <w:p>
            <w:pPr>
              <w:pStyle w:val="Compact"/>
              <w:jc w:val="left"/>
            </w:pPr>
            <w:r>
              <w:t xml:space="preserve">Europe, mostly from Macedonia</w:t>
            </w:r>
          </w:p>
        </w:tc>
        <w:tc>
          <w:tcPr/>
          <w:p>
            <w:pPr>
              <w:pStyle w:val="Compact"/>
              <w:jc w:val="left"/>
            </w:pPr>
            <w:r>
              <w:t xml:space="preserve">South American/Latin American</w:t>
            </w:r>
          </w:p>
        </w:tc>
        <w:tc>
          <w:tcPr/>
          <w:p>
            <w:pPr>
              <w:pStyle w:val="Compact"/>
              <w:jc w:val="left"/>
            </w:pPr>
            <w:r>
              <w:t xml:space="preserve">European, mostly from Macedonia</w:t>
            </w:r>
          </w:p>
        </w:tc>
      </w:tr>
      <w:tr>
        <w:tc>
          <w:tcPr/>
          <w:p>
            <w:pPr>
              <w:pStyle w:val="Compact"/>
              <w:jc w:val="left"/>
            </w:pPr>
            <w:r>
              <w:t xml:space="preserve">3</w:t>
            </w:r>
          </w:p>
        </w:tc>
        <w:tc>
          <w:tcPr/>
          <w:p>
            <w:pPr>
              <w:pStyle w:val="Compact"/>
              <w:jc w:val="left"/>
            </w:pPr>
            <w:r>
              <w:t xml:space="preserve">North America, wild and landrace</w:t>
            </w:r>
            <w:r>
              <w:t xml:space="preserve"> </w:t>
            </w:r>
            <w:r>
              <w:rPr>
                <w:iCs/>
                <w:i/>
              </w:rPr>
              <w:t xml:space="preserve">ovifera</w:t>
            </w:r>
          </w:p>
        </w:tc>
        <w:tc>
          <w:tcPr/>
          <w:p>
            <w:pPr>
              <w:pStyle w:val="Compact"/>
              <w:jc w:val="left"/>
            </w:pPr>
            <w:r>
              <w:t xml:space="preserve">African</w:t>
            </w:r>
          </w:p>
        </w:tc>
        <w:tc>
          <w:tcPr/>
          <w:p>
            <w:pPr>
              <w:pStyle w:val="Compact"/>
              <w:jc w:val="left"/>
            </w:pPr>
            <w:r>
              <w:t xml:space="preserve">Asia</w:t>
            </w:r>
          </w:p>
        </w:tc>
      </w:tr>
      <w:tr>
        <w:tc>
          <w:tcPr/>
          <w:p>
            <w:pPr>
              <w:pStyle w:val="Compact"/>
              <w:jc w:val="left"/>
            </w:pPr>
            <w:r>
              <w:t xml:space="preserve">4</w:t>
            </w:r>
          </w:p>
        </w:tc>
        <w:tc>
          <w:tcPr/>
          <w:p>
            <w:pPr>
              <w:pStyle w:val="Compact"/>
              <w:jc w:val="left"/>
            </w:pPr>
            <w:r>
              <w:t xml:space="preserve">Mixed origin</w:t>
            </w:r>
          </w:p>
        </w:tc>
        <w:tc>
          <w:tcPr/>
          <w:p>
            <w:pPr>
              <w:pStyle w:val="Compact"/>
              <w:jc w:val="left"/>
            </w:pPr>
            <w:r>
              <w:t xml:space="preserve">India</w:t>
            </w:r>
          </w:p>
        </w:tc>
        <w:tc>
          <w:tcPr/>
          <w:p>
            <w:pPr>
              <w:pStyle w:val="Compact"/>
              <w:jc w:val="left"/>
            </w:pPr>
            <w:r>
              <w:t xml:space="preserve">South American</w:t>
            </w:r>
          </w:p>
        </w:tc>
      </w:tr>
      <w:tr>
        <w:tc>
          <w:tcPr/>
          <w:p>
            <w:pPr>
              <w:pStyle w:val="Compact"/>
              <w:jc w:val="left"/>
            </w:pPr>
            <w:r>
              <w:t xml:space="preserve">5</w:t>
            </w:r>
          </w:p>
        </w:tc>
        <w:tc>
          <w:tcPr/>
          <w:p>
            <w:pPr>
              <w:pStyle w:val="Compact"/>
              <w:jc w:val="left"/>
            </w:pPr>
            <w:r>
              <w:t xml:space="preserve">South America, mostly from Mexico</w:t>
            </w:r>
          </w:p>
        </w:tc>
        <w:tc>
          <w:tcPr/>
          <w:p>
            <w:pPr>
              <w:pStyle w:val="Compact"/>
              <w:jc w:val="left"/>
            </w:pPr>
            <w:r>
              <w:t xml:space="preserve">Mixed origin; elongated fruit type</w:t>
            </w:r>
          </w:p>
        </w:tc>
        <w:tc>
          <w:tcPr/>
          <w:p>
            <w:pPr>
              <w:pStyle w:val="Compact"/>
              <w:jc w:val="left"/>
            </w:pPr>
            <w:r>
              <w:t xml:space="preserve">African</w:t>
            </w:r>
          </w:p>
        </w:tc>
      </w:tr>
    </w:tbl>
    <w:bookmarkEnd w:id="0"/>
    <w:bookmarkStart w:id="0" w:name="fig:cult"/>
    <w:p>
      <w:pPr>
        <w:pStyle w:val="CaptionedFigure"/>
      </w:pPr>
      <w:bookmarkStart w:id="44"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3"/>
                    <a:stretch>
                      <a:fillRect/>
                    </a:stretch>
                  </pic:blipFill>
                  <pic:spPr bwMode="auto">
                    <a:xfrm>
                      <a:off x="0" y="0"/>
                      <a:ext cx="5943600" cy="4616196"/>
                    </a:xfrm>
                    <a:prstGeom prst="rect">
                      <a:avLst/>
                    </a:prstGeom>
                    <a:noFill/>
                    <a:ln w="9525">
                      <a:noFill/>
                      <a:headEnd/>
                      <a:tailEnd/>
                    </a:ln>
                  </pic:spPr>
                </pic:pic>
              </a:graphicData>
            </a:graphic>
          </wp:inline>
        </w:drawing>
      </w:r>
      <w:bookmarkEnd w:id="44"/>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w:t>
      </w:r>
      <w:r>
        <w:t xml:space="preserve"> </w:t>
      </w:r>
      <w:r>
        <w:t xml:space="preserve">Available geographical, phenotypic, and other metadata were retrieved from GRIN and were used to help interpret structure results.</w:t>
      </w:r>
      <w:r>
        <w:t xml:space="preserve"> </w:t>
      </w:r>
      <w:r>
        <w:t xml:space="preserve">Results from model-based admixture analysis are shown in Figure</w:t>
      </w:r>
      <w:r>
        <w:t xml:space="preserve"> </w:t>
      </w:r>
      <w:hyperlink w:anchor="fig:struc">
        <w:r>
          <w:rPr>
            <w:rStyle w:val="Hyperlink"/>
          </w:rPr>
          <w:t xml:space="preserve">2</w:t>
        </w:r>
      </w:hyperlink>
      <w:r>
        <w:t xml:space="preserve"> </w:t>
      </w:r>
      <w:r>
        <w:t xml:space="preserve">panel A.</w:t>
      </w:r>
      <w:r>
        <w:t xml:space="preserve"> </w:t>
      </w:r>
      <w:r>
        <w:t xml:space="preserve">These data support five ancestral groups (K=5) in each of the species.</w:t>
      </w:r>
      <w:r>
        <w:t xml:space="preserve"> </w:t>
      </w:r>
      <w:r>
        <w:t xml:space="preserve">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w:t>
      </w:r>
      <w:r>
        <w:t xml:space="preserve"> </w:t>
      </w:r>
      <w:r>
        <w:t xml:space="preserve">Commonalities among structure groups are described in Table</w:t>
      </w:r>
      <w:r>
        <w:t xml:space="preserve"> </w:t>
      </w:r>
      <w:hyperlink w:anchor="tbl:struc_info">
        <w:r>
          <w:rPr>
            <w:rStyle w:val="Hyperlink"/>
          </w:rPr>
          <w:t xml:space="preserve">2</w:t>
        </w:r>
      </w:hyperlink>
      <w:r>
        <w:t xml:space="preserve">.</w:t>
      </w:r>
      <w:r>
        <w:t xml:space="preserve"> </w:t>
      </w:r>
      <w:r>
        <w:t xml:space="preserve">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w:t>
      </w:r>
      <w:r>
        <w:t xml:space="preserve"> </w:t>
      </w:r>
      <w:r>
        <w:t xml:space="preserve">As with the model-based analysis, PCA showed geography as a main driver of population structure with accessions being derived from Africa, the Arab States, Asia, Europe, North America, and South/Latin America.</w:t>
      </w:r>
      <w:r>
        <w:t xml:space="preserve"> </w:t>
      </w:r>
      <w:r>
        <w:t xml:space="preserve">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6"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5"/>
                    <a:stretch>
                      <a:fillRect/>
                    </a:stretch>
                  </pic:blipFill>
                  <pic:spPr bwMode="auto">
                    <a:xfrm>
                      <a:off x="0" y="0"/>
                      <a:ext cx="5943600" cy="3566159"/>
                    </a:xfrm>
                    <a:prstGeom prst="rect">
                      <a:avLst/>
                    </a:prstGeom>
                    <a:noFill/>
                    <a:ln w="9525">
                      <a:noFill/>
                      <a:headEnd/>
                      <a:tailEnd/>
                    </a:ln>
                  </pic:spPr>
                </pic:pic>
              </a:graphicData>
            </a:graphic>
          </wp:inline>
        </w:drawing>
      </w:r>
      <w:bookmarkEnd w:id="46"/>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w:t>
      </w:r>
      <w:r>
        <w:t xml:space="preserve"> </w:t>
      </w:r>
      <w:r>
        <w:t xml:space="preserve">Cultivars were grouped according to known market class within species to help identify patterns in ancestry among and between market classes.</w:t>
      </w:r>
      <w:r>
        <w:t xml:space="preserve"> </w:t>
      </w:r>
      <w:r>
        <w:t xml:space="preserve">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w:t>
      </w:r>
      <w:r>
        <w:t xml:space="preserve"> </w:t>
      </w:r>
      <w:r>
        <w:t xml:space="preserve">These groupings are shown in Figure</w:t>
      </w:r>
      <w:r>
        <w:t xml:space="preserve"> </w:t>
      </w:r>
      <w:hyperlink w:anchor="fig:cult">
        <w:r>
          <w:rPr>
            <w:rStyle w:val="Hyperlink"/>
          </w:rPr>
          <w:t xml:space="preserve">3</w:t>
        </w:r>
      </w:hyperlink>
      <w:r>
        <w:t xml:space="preserve">.</w:t>
      </w:r>
      <w:r>
        <w:t xml:space="preserve"> </w:t>
      </w:r>
      <w:r>
        <w:t xml:space="preserve">In general, members of each market class exhibit similar ancestry proportions.</w:t>
      </w:r>
      <w:r>
        <w:t xml:space="preserve"> </w:t>
      </w:r>
      <w:r>
        <w:t xml:space="preserve">In</w:t>
      </w:r>
      <w:r>
        <w:t xml:space="preserve"> </w:t>
      </w:r>
      <w:r>
        <w:rPr>
          <w:iCs/>
          <w:i/>
        </w:rPr>
        <w:t xml:space="preserve">C. pepo</w:t>
      </w:r>
      <w:r>
        <w:t xml:space="preserve"> </w:t>
      </w:r>
      <w:r>
        <w:t xml:space="preserve">market classes from the two different subspecies had distinct ancestry patterns.</w:t>
      </w:r>
      <w:r>
        <w:t xml:space="preserve"> </w:t>
      </w:r>
      <w:r>
        <w:t xml:space="preserve">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w:t>
      </w:r>
      <w:r>
        <w:t xml:space="preserve"> </w:t>
      </w:r>
      <w:r>
        <w:t xml:space="preserve">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w:t>
      </w:r>
      <w:r>
        <w:t xml:space="preserve"> </w:t>
      </w:r>
      <w:r>
        <w:t xml:space="preserve">With</w:t>
      </w:r>
      <w:r>
        <w:t xml:space="preserve"> </w:t>
      </w:r>
      <w:r>
        <w:rPr>
          <w:iCs/>
          <w:i/>
        </w:rPr>
        <w:t xml:space="preserve">C. moschata</w:t>
      </w:r>
      <w:r>
        <w:t xml:space="preserve">, Neck and Cheese type market classes showed very similar ancestry patterns, whereas the Japonica and Calabaza types were more distinct.</w:t>
      </w:r>
      <w:r>
        <w:t xml:space="preserve"> </w:t>
      </w:r>
      <w:r>
        <w:t xml:space="preserve">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w:t>
      </w:r>
      <w:r>
        <w:t xml:space="preserve"> </w:t>
      </w:r>
      <w:r>
        <w:t xml:space="preserve">A group of 82 accessions with 11,065 high-quality SNPs was used for constructing an unrooted phylogenetic tree.</w:t>
      </w:r>
      <w:r>
        <w:t xml:space="preserve"> </w:t>
      </w:r>
      <w:r>
        <w:t xml:space="preserve">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17</w:t>
        </w:r>
      </w:hyperlink>
      <w:r>
        <w:t xml:space="preserve">]</w:t>
      </w:r>
      <w:r>
        <w:t xml:space="preserve">.</w:t>
      </w:r>
    </w:p>
    <w:bookmarkEnd w:id="47"/>
    <w:bookmarkStart w:id="48" w:name="analysis-of-phenotypic-data-1"/>
    <w:p>
      <w:pPr>
        <w:pStyle w:val="Heading3"/>
      </w:pPr>
      <w:r>
        <w:t xml:space="preserve">Analysis of Phenotypic Data</w:t>
      </w:r>
    </w:p>
    <w:p>
      <w:pPr>
        <w:pStyle w:val="FirstParagraph"/>
      </w:pPr>
      <w:r>
        <w:t xml:space="preserve">All available historical data from GRIN were compiled.</w:t>
      </w:r>
      <w:r>
        <w:t xml:space="preserve"> </w:t>
      </w:r>
      <w:r>
        <w:t xml:space="preserve">Only traits with</w:t>
      </w:r>
      <w:r>
        <w:t xml:space="preserve"> </w:t>
      </w:r>
      <m:oMath>
        <m:r>
          <m:rPr>
            <m:sty m:val="p"/>
          </m:rPr>
          <m:t>≥</m:t>
        </m:r>
      </m:oMath>
      <w:r>
        <w:t xml:space="preserve"> </w:t>
      </w:r>
      <w:r>
        <w:t xml:space="preserve">100 entries were considered for further analysis.</w:t>
      </w:r>
      <w:r>
        <w:t xml:space="preserve"> </w:t>
      </w:r>
      <w:r>
        <w:t xml:space="preserve">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w:t>
      </w:r>
      <w:r>
        <w:t xml:space="preserve"> </w:t>
      </w:r>
      <w:r>
        <w:t xml:space="preserve">Traits spanned fruit and agronomic-related characteristics, as well as pest resistances.</w:t>
      </w:r>
      <w:r>
        <w:t xml:space="preserve"> </w:t>
      </w:r>
      <w:r>
        <w:t xml:space="preserve">The number of records for a given trait ranged from 108 to 822, with an average of</w:t>
      </w:r>
      <w:r>
        <w:t xml:space="preserve"> </w:t>
      </w:r>
      <m:oMath>
        <m:r>
          <m:rPr>
            <m:sty m:val="p"/>
          </m:rPr>
          <m:t>∼</m:t>
        </m:r>
      </m:oMath>
      <w:r>
        <w:t xml:space="preserve"> </w:t>
      </w:r>
      <w:r>
        <w:t xml:space="preserve">270.</w:t>
      </w:r>
      <w:r>
        <w:t xml:space="preserve"> </w:t>
      </w:r>
      <w:r>
        <w:t xml:space="preserve">Fruit traits included fruit width, length, surface color and texture, and flesh color and thickness.</w:t>
      </w:r>
      <w:r>
        <w:t xml:space="preserve"> </w:t>
      </w:r>
      <w:r>
        <w:t xml:space="preserve">Agronomic data included plant vigor and vining habit, and several phenotypes related to maturity.</w:t>
      </w:r>
      <w:r>
        <w:t xml:space="preserve"> </w:t>
      </w:r>
      <w:r>
        <w:t xml:space="preserve">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Around half of the traits were quantitative/ordinal and half were categorical and coded as binary traits, see Table</w:t>
      </w:r>
      <w:r>
        <w:t xml:space="preserve"> </w:t>
      </w:r>
      <w:hyperlink w:anchor="tbl:params">
        <w:r>
          <w:rPr>
            <w:rStyle w:val="Hyperlink"/>
          </w:rPr>
          <w:t xml:space="preserve">3</w:t>
        </w:r>
      </w:hyperlink>
      <w:r>
        <w:t xml:space="preserve">.</w:t>
      </w:r>
      <w:r>
        <w:t xml:space="preserve"> </w:t>
      </w:r>
      <w:r>
        <w:t xml:space="preserve">The majority of traits measured on a quantitative scale were normally distributed.</w:t>
      </w:r>
      <w:r>
        <w:t xml:space="preserve"> </w:t>
      </w:r>
      <w:r>
        <w:t xml:space="preserve">Marker-based narrow-sense heritability (</w:t>
      </w:r>
      <m:oMath>
        <m:sSubSup>
          <m:e>
            <m:r>
              <m:t>h</m:t>
            </m:r>
          </m:e>
          <m:sub>
            <m:r>
              <m:t>G</m:t>
            </m:r>
          </m:sub>
          <m:sup>
            <m:r>
              <m:t>2</m:t>
            </m:r>
          </m:sup>
        </m:sSubSup>
      </m:oMath>
      <w:r>
        <w:t xml:space="preserve">) was calculated for each trait.</w:t>
      </w:r>
      <w:r>
        <w:t xml:space="preserve"> </w:t>
      </w:r>
      <w:r>
        <w:t xml:space="preserve">Values for</w:t>
      </w:r>
      <w:r>
        <w:t xml:space="preserve"> </w:t>
      </w:r>
      <m:oMath>
        <m:sSubSup>
          <m:e>
            <m:r>
              <m:t>h</m:t>
            </m:r>
          </m:e>
          <m:sub>
            <m:r>
              <m:t>G</m:t>
            </m:r>
          </m:sub>
          <m:sup>
            <m:r>
              <m:t>2</m:t>
            </m:r>
          </m:sup>
        </m:sSubSup>
      </m:oMath>
      <w:r>
        <w:t xml:space="preserve"> </w:t>
      </w:r>
      <w:r>
        <w:t xml:space="preserve">ranged from 0.12 to close to 1.</w:t>
      </w:r>
      <w:r>
        <w:t xml:space="preserve"> </w:t>
      </w:r>
      <w:r>
        <w:t xml:space="preserve">Most traits had moderate to high heritabilities (</w:t>
      </w:r>
      <m:oMath>
        <m:r>
          <m:rPr>
            <m:sty m:val="p"/>
          </m:rPr>
          <m:t>≥</m:t>
        </m:r>
      </m:oMath>
      <w:r>
        <w:t xml:space="preserve"> </w:t>
      </w:r>
      <w:r>
        <w:t xml:space="preserve">0.4).</w:t>
      </w:r>
      <w:r>
        <w:t xml:space="preserve"> </w:t>
      </w:r>
      <w:r>
        <w:t xml:space="preserve">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w:t>
      </w:r>
      <w:r>
        <w:t xml:space="preserve"> </w:t>
      </w:r>
      <w:r>
        <w:t xml:space="preserve">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w:t>
      </w:r>
      <w:r>
        <w:t xml:space="preserve"> </w:t>
      </w:r>
      <w:r>
        <w:t xml:space="preserve">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w:t>
      </w:r>
      <w:r>
        <w:t xml:space="preserve"> </w:t>
      </w:r>
      <w:r>
        <w:t xml:space="preserve">None of the 16 traits in</w:t>
      </w:r>
      <w:r>
        <w:t xml:space="preserve"> </w:t>
      </w:r>
      <w:r>
        <w:rPr>
          <w:iCs/>
          <w:i/>
        </w:rPr>
        <w:t xml:space="preserve">C. maxima</w:t>
      </w:r>
      <w:r>
        <w:t xml:space="preserve"> </w:t>
      </w:r>
      <w:r>
        <w:t xml:space="preserve">had a high correlation with population structure.</w:t>
      </w:r>
      <w:r>
        <w:t xml:space="preserve"> </w:t>
      </w:r>
      <w:r>
        <w:t xml:space="preserve">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Start w:id="0" w:name="tbl:params"/>
    <w:p>
      <w:pPr>
        <w:pStyle w:val="TableCaption"/>
      </w:pPr>
      <w:r>
        <w:t xml:space="preserve">Table 3: Summary of trait data used for association analysis. A brief description is given for each trait followed by the number of entries with records, the genomic heritability (</w:t>
      </w:r>
      <m:oMath>
        <m:sSubSup>
          <m:e>
            <m:r>
              <m:t>h</m:t>
            </m:r>
          </m:e>
          <m:sub>
            <m:r>
              <m:t>G</m:t>
            </m:r>
          </m:sub>
          <m:sup>
            <m:r>
              <m:t>2</m:t>
            </m:r>
          </m:sup>
        </m:sSubSup>
      </m:oMath>
      <w:r>
        <w:t xml:space="preserve">), and the R-square value from multiple linear regression of population structure on phenotype (</w:t>
      </w:r>
      <m:oMath>
        <m:sSubSup>
          <m:e>
            <m:r>
              <m:t>R</m:t>
            </m:r>
          </m:e>
          <m:sub>
            <m:r>
              <m:t>p</m:t>
            </m:r>
            <m:r>
              <m:t>o</m:t>
            </m:r>
            <m:r>
              <m:t>p</m:t>
            </m:r>
          </m:sub>
          <m:sup>
            <m:r>
              <m:t>2</m:t>
            </m:r>
          </m:sup>
        </m:sSubSup>
      </m:oMath>
      <w:r>
        <w:t xml:space="preserve">). Trait names followed by a number (e.g. Fruit Color1) are traits derived from alternative coding of multi-class categorical traits.</w:t>
      </w:r>
      <w:r>
        <w:t xml:space="preserve"> </w:t>
      </w:r>
    </w:p>
    <w:tbl>
      <w:tblPr>
        <w:tblStyle w:val="Table"/>
        <w:tblW w:type="pct" w:w="5000"/>
        <w:tblLook w:firstRow="1" w:lastRow="0" w:firstColumn="0" w:lastColumn="0" w:noHBand="0" w:noVBand="0" w:val="0020"/>
        <w:tblCaption w:val="Table 3: Summary of trait data used for association analysis. A brief description is given for each trait followed by the number of entries with records, the genomic heritability (h_{G}^{2}), and the R-square value from multiple linear regression of population structure on phenotype (R_{pop}^{2}). Trait names followed by a number (e.g. Fruit Color1) are traits derived from alternative coding of multi-class categorical traits. "/>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Trait</w:t>
            </w:r>
          </w:p>
        </w:tc>
        <w:tc>
          <w:tcPr/>
          <w:p>
            <w:pPr>
              <w:pStyle w:val="Compact"/>
              <w:jc w:val="left"/>
            </w:pPr>
            <w:r>
              <w:t xml:space="preserve">Description</w:t>
            </w:r>
          </w:p>
        </w:tc>
        <w:tc>
          <w:tcPr/>
          <w:p>
            <w:pPr>
              <w:pStyle w:val="Compact"/>
              <w:jc w:val="left"/>
            </w:pPr>
            <w:r>
              <w:t xml:space="preserve">Pop Size</w:t>
            </w:r>
          </w:p>
        </w:tc>
        <w:tc>
          <w:tcPr/>
          <w:p>
            <w:pPr>
              <w:pStyle w:val="Compact"/>
              <w:jc w:val="left"/>
            </w:pPr>
            <m:oMath>
              <m:sSubSup>
                <m:e>
                  <m:r>
                    <m:t>h</m:t>
                  </m:r>
                </m:e>
                <m:sub>
                  <m:r>
                    <m:t>G</m:t>
                  </m:r>
                </m:sub>
                <m:sup>
                  <m:r>
                    <m:t>2</m:t>
                  </m:r>
                </m:sup>
              </m:sSubSup>
            </m:oMath>
          </w:p>
        </w:tc>
        <w:tc>
          <w:tcPr/>
          <w:p>
            <w:pPr>
              <w:pStyle w:val="Compact"/>
              <w:jc w:val="left"/>
            </w:pPr>
            <m:oMath>
              <m:sSubSup>
                <m:e>
                  <m:r>
                    <m:t>R</m:t>
                  </m:r>
                </m:e>
                <m:sub>
                  <m:r>
                    <m:t>p</m:t>
                  </m:r>
                  <m:r>
                    <m:t>o</m:t>
                  </m:r>
                  <m:r>
                    <m:t>p</m:t>
                  </m:r>
                </m:sub>
                <m:sup>
                  <m:r>
                    <m:t>2</m:t>
                  </m:r>
                </m:sup>
              </m:sSubSup>
            </m:oMath>
          </w:p>
        </w:tc>
      </w:tr>
      <w:tr>
        <w:tc>
          <w:tcPr/>
          <w:p>
            <w:pPr>
              <w:pStyle w:val="Compact"/>
              <w:jc w:val="left"/>
            </w:pPr>
            <w:r>
              <w:rPr>
                <w:iCs/>
                <w:i/>
              </w:rPr>
              <w:t xml:space="preserve">C. pepo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Max Fruit Thickness</w:t>
            </w:r>
          </w:p>
        </w:tc>
        <w:tc>
          <w:tcPr/>
          <w:p>
            <w:pPr>
              <w:pStyle w:val="Compact"/>
              <w:jc w:val="left"/>
            </w:pPr>
            <w:r>
              <w:t xml:space="preserve">Maximum fruit thickness in centimeters</w:t>
            </w:r>
          </w:p>
        </w:tc>
        <w:tc>
          <w:tcPr/>
          <w:p>
            <w:pPr>
              <w:pStyle w:val="Compact"/>
              <w:jc w:val="left"/>
            </w:pPr>
            <w:r>
              <w:t xml:space="preserve">421</w:t>
            </w:r>
          </w:p>
        </w:tc>
        <w:tc>
          <w:tcPr/>
          <w:p>
            <w:pPr>
              <w:pStyle w:val="Compact"/>
              <w:jc w:val="left"/>
            </w:pPr>
            <w:r>
              <w:t xml:space="preserve">0.72</w:t>
            </w:r>
          </w:p>
        </w:tc>
        <w:tc>
          <w:tcPr/>
          <w:p>
            <w:pPr>
              <w:pStyle w:val="Compact"/>
              <w:jc w:val="left"/>
            </w:pPr>
            <w:r>
              <w:t xml:space="preserve">0.27</w:t>
            </w:r>
          </w:p>
        </w:tc>
      </w:tr>
      <w:tr>
        <w:tc>
          <w:tcPr/>
          <w:p>
            <w:pPr>
              <w:pStyle w:val="Compact"/>
            </w:pPr>
          </w:p>
        </w:tc>
        <w:tc>
          <w:tcPr/>
          <w:p>
            <w:pPr>
              <w:pStyle w:val="Compact"/>
              <w:jc w:val="left"/>
            </w:pPr>
            <w:r>
              <w:t xml:space="preserve">Min Fruit Thickness</w:t>
            </w:r>
          </w:p>
        </w:tc>
        <w:tc>
          <w:tcPr/>
          <w:p>
            <w:pPr>
              <w:pStyle w:val="Compact"/>
              <w:jc w:val="left"/>
            </w:pPr>
            <w:r>
              <w:t xml:space="preserve">Minimum fruit thickness in centimeters</w:t>
            </w:r>
          </w:p>
        </w:tc>
        <w:tc>
          <w:tcPr/>
          <w:p>
            <w:pPr>
              <w:pStyle w:val="Compact"/>
              <w:jc w:val="left"/>
            </w:pPr>
            <w:r>
              <w:t xml:space="preserve">174</w:t>
            </w:r>
          </w:p>
        </w:tc>
        <w:tc>
          <w:tcPr/>
          <w:p>
            <w:pPr>
              <w:pStyle w:val="Compact"/>
              <w:jc w:val="left"/>
            </w:pPr>
            <w:r>
              <w:t xml:space="preserve">0.58</w:t>
            </w:r>
          </w:p>
        </w:tc>
        <w:tc>
          <w:tcPr/>
          <w:p>
            <w:pPr>
              <w:pStyle w:val="Compact"/>
              <w:jc w:val="left"/>
            </w:pPr>
            <w:r>
              <w:t xml:space="preserve">0.14</w:t>
            </w:r>
          </w:p>
        </w:tc>
      </w:tr>
      <w:tr>
        <w:tc>
          <w:tcPr/>
          <w:p>
            <w:pPr>
              <w:pStyle w:val="Compact"/>
            </w:pPr>
          </w:p>
        </w:tc>
        <w:tc>
          <w:tcPr/>
          <w:p>
            <w:pPr>
              <w:pStyle w:val="Compact"/>
              <w:jc w:val="left"/>
            </w:pPr>
            <w:r>
              <w:t xml:space="preserve">Min Fruit Length</w:t>
            </w:r>
          </w:p>
        </w:tc>
        <w:tc>
          <w:tcPr/>
          <w:p>
            <w:pPr>
              <w:pStyle w:val="Compact"/>
              <w:jc w:val="left"/>
            </w:pPr>
            <w:r>
              <w:t xml:space="preserve">Minimum fruit length in centimeters</w:t>
            </w:r>
          </w:p>
        </w:tc>
        <w:tc>
          <w:tcPr/>
          <w:p>
            <w:pPr>
              <w:pStyle w:val="Compact"/>
              <w:jc w:val="left"/>
            </w:pPr>
            <w:r>
              <w:t xml:space="preserve">413</w:t>
            </w:r>
          </w:p>
        </w:tc>
        <w:tc>
          <w:tcPr/>
          <w:p>
            <w:pPr>
              <w:pStyle w:val="Compact"/>
              <w:jc w:val="left"/>
            </w:pPr>
            <w:r>
              <w:t xml:space="preserve">0.82</w:t>
            </w:r>
          </w:p>
        </w:tc>
        <w:tc>
          <w:tcPr/>
          <w:p>
            <w:pPr>
              <w:pStyle w:val="Compact"/>
              <w:jc w:val="left"/>
            </w:pPr>
            <w:r>
              <w:t xml:space="preserve">0.37</w:t>
            </w:r>
          </w:p>
        </w:tc>
      </w:tr>
      <w:tr>
        <w:tc>
          <w:tcPr/>
          <w:p>
            <w:pPr>
              <w:pStyle w:val="Compact"/>
            </w:pPr>
          </w:p>
        </w:tc>
        <w:tc>
          <w:tcPr/>
          <w:p>
            <w:pPr>
              <w:pStyle w:val="Compact"/>
              <w:jc w:val="left"/>
            </w:pPr>
            <w:r>
              <w:t xml:space="preserve">Max Fruit Length</w:t>
            </w:r>
          </w:p>
        </w:tc>
        <w:tc>
          <w:tcPr/>
          <w:p>
            <w:pPr>
              <w:pStyle w:val="Compact"/>
              <w:jc w:val="left"/>
            </w:pPr>
            <w:r>
              <w:t xml:space="preserve">Maximum fruit length in centimeters</w:t>
            </w:r>
          </w:p>
        </w:tc>
        <w:tc>
          <w:tcPr/>
          <w:p>
            <w:pPr>
              <w:pStyle w:val="Compact"/>
              <w:jc w:val="left"/>
            </w:pPr>
            <w:r>
              <w:t xml:space="preserve">315</w:t>
            </w:r>
          </w:p>
        </w:tc>
        <w:tc>
          <w:tcPr/>
          <w:p>
            <w:pPr>
              <w:pStyle w:val="Compact"/>
              <w:jc w:val="left"/>
            </w:pPr>
            <w:r>
              <w:t xml:space="preserve">0.91</w:t>
            </w:r>
          </w:p>
        </w:tc>
        <w:tc>
          <w:tcPr/>
          <w:p>
            <w:pPr>
              <w:pStyle w:val="Compact"/>
              <w:jc w:val="left"/>
            </w:pPr>
            <w:r>
              <w:t xml:space="preserve">0.33</w:t>
            </w:r>
          </w:p>
        </w:tc>
      </w:tr>
      <w:tr>
        <w:tc>
          <w:tcPr/>
          <w:p>
            <w:pPr>
              <w:pStyle w:val="Compact"/>
            </w:pPr>
          </w:p>
        </w:tc>
        <w:tc>
          <w:tcPr/>
          <w:p>
            <w:pPr>
              <w:pStyle w:val="Compact"/>
              <w:jc w:val="left"/>
            </w:pPr>
            <w:r>
              <w:t xml:space="preserve">Max Fruit Width</w:t>
            </w:r>
          </w:p>
        </w:tc>
        <w:tc>
          <w:tcPr/>
          <w:p>
            <w:pPr>
              <w:pStyle w:val="Compact"/>
              <w:jc w:val="left"/>
            </w:pPr>
            <w:r>
              <w:t xml:space="preserve">Minimum fruit width in centimeters</w:t>
            </w:r>
          </w:p>
        </w:tc>
        <w:tc>
          <w:tcPr/>
          <w:p>
            <w:pPr>
              <w:pStyle w:val="Compact"/>
              <w:jc w:val="left"/>
            </w:pPr>
            <w:r>
              <w:t xml:space="preserve">303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Min Fruit Width</w:t>
            </w:r>
          </w:p>
        </w:tc>
        <w:tc>
          <w:tcPr/>
          <w:p>
            <w:pPr>
              <w:pStyle w:val="Compact"/>
              <w:jc w:val="left"/>
            </w:pPr>
            <w:r>
              <w:t xml:space="preserve">Maximum fruit width in centimeters</w:t>
            </w:r>
          </w:p>
        </w:tc>
        <w:tc>
          <w:tcPr/>
          <w:p>
            <w:pPr>
              <w:pStyle w:val="Compact"/>
              <w:jc w:val="left"/>
            </w:pPr>
            <w:r>
              <w:t xml:space="preserve">413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Fruit Texture</w:t>
            </w:r>
          </w:p>
        </w:tc>
        <w:tc>
          <w:tcPr/>
          <w:p>
            <w:pPr>
              <w:pStyle w:val="Compact"/>
              <w:jc w:val="left"/>
            </w:pPr>
            <w:r>
              <w:t xml:space="preserve">Fruit texture coded as smooth or not smooth</w:t>
            </w:r>
          </w:p>
        </w:tc>
        <w:tc>
          <w:tcPr/>
          <w:p>
            <w:pPr>
              <w:pStyle w:val="Compact"/>
              <w:jc w:val="left"/>
            </w:pPr>
            <w:r>
              <w:t xml:space="preserve">130</w:t>
            </w:r>
          </w:p>
        </w:tc>
        <w:tc>
          <w:tcPr/>
          <w:p>
            <w:pPr>
              <w:pStyle w:val="Compact"/>
              <w:jc w:val="left"/>
            </w:pPr>
            <w:r>
              <w:t xml:space="preserve">0.55</w:t>
            </w:r>
          </w:p>
        </w:tc>
        <w:tc>
          <w:tcPr/>
          <w:p>
            <w:pPr>
              <w:pStyle w:val="Compact"/>
              <w:jc w:val="left"/>
            </w:pPr>
            <w:r>
              <w:t xml:space="preserve">0.23</w:t>
            </w:r>
          </w:p>
        </w:tc>
      </w:tr>
      <w:tr>
        <w:tc>
          <w:tcPr/>
          <w:p>
            <w:pPr>
              <w:pStyle w:val="Compact"/>
            </w:pPr>
          </w:p>
        </w:tc>
        <w:tc>
          <w:tcPr/>
          <w:p>
            <w:pPr>
              <w:pStyle w:val="Compact"/>
              <w:jc w:val="left"/>
            </w:pPr>
            <w:r>
              <w:t xml:space="preserve">Fruit Skin Pattern</w:t>
            </w:r>
          </w:p>
        </w:tc>
        <w:tc>
          <w:tcPr/>
          <w:p>
            <w:pPr>
              <w:pStyle w:val="Compact"/>
              <w:jc w:val="left"/>
            </w:pPr>
            <w:r>
              <w:t xml:space="preserve">Skin patterning coded as solid color or patterned</w:t>
            </w:r>
          </w:p>
        </w:tc>
        <w:tc>
          <w:tcPr/>
          <w:p>
            <w:pPr>
              <w:pStyle w:val="Compact"/>
              <w:jc w:val="left"/>
            </w:pPr>
            <w:r>
              <w:t xml:space="preserve">248</w:t>
            </w:r>
          </w:p>
        </w:tc>
        <w:tc>
          <w:tcPr/>
          <w:p>
            <w:pPr>
              <w:pStyle w:val="Compact"/>
              <w:jc w:val="left"/>
            </w:pPr>
            <w:r>
              <w:t xml:space="preserve">0.58</w:t>
            </w:r>
          </w:p>
        </w:tc>
        <w:tc>
          <w:tcPr/>
          <w:p>
            <w:pPr>
              <w:pStyle w:val="Compact"/>
              <w:jc w:val="left"/>
            </w:pPr>
            <w:r>
              <w:t xml:space="preserve">0.27</w:t>
            </w:r>
          </w:p>
        </w:tc>
      </w:tr>
      <w:tr>
        <w:tc>
          <w:tcPr/>
          <w:p>
            <w:pPr>
              <w:pStyle w:val="Compact"/>
            </w:pPr>
          </w:p>
        </w:tc>
        <w:tc>
          <w:tcPr/>
          <w:p>
            <w:pPr>
              <w:pStyle w:val="Compact"/>
              <w:jc w:val="left"/>
            </w:pPr>
            <w:r>
              <w:t xml:space="preserve">Fruit Shape1</w:t>
            </w:r>
          </w:p>
        </w:tc>
        <w:tc>
          <w:tcPr/>
          <w:p>
            <w:pPr>
              <w:pStyle w:val="Compact"/>
              <w:jc w:val="left"/>
            </w:pPr>
            <w:r>
              <w:t xml:space="preserve">Fruit shape coded as oblong or not oblong</w:t>
            </w:r>
          </w:p>
        </w:tc>
        <w:tc>
          <w:tcPr/>
          <w:p>
            <w:pPr>
              <w:pStyle w:val="Compact"/>
              <w:jc w:val="left"/>
            </w:pPr>
            <w:r>
              <w:t xml:space="preserve">331</w:t>
            </w:r>
          </w:p>
        </w:tc>
        <w:tc>
          <w:tcPr/>
          <w:p>
            <w:pPr>
              <w:pStyle w:val="Compact"/>
              <w:jc w:val="left"/>
            </w:pPr>
            <w:r>
              <w:t xml:space="preserve">0.69</w:t>
            </w:r>
          </w:p>
        </w:tc>
        <w:tc>
          <w:tcPr/>
          <w:p>
            <w:pPr>
              <w:pStyle w:val="Compact"/>
              <w:jc w:val="left"/>
            </w:pPr>
            <w:r>
              <w:t xml:space="preserve">0.60</w:t>
            </w:r>
          </w:p>
        </w:tc>
      </w:tr>
      <w:tr>
        <w:tc>
          <w:tcPr/>
          <w:p>
            <w:pPr>
              <w:pStyle w:val="Compact"/>
            </w:pPr>
          </w:p>
        </w:tc>
        <w:tc>
          <w:tcPr/>
          <w:p>
            <w:pPr>
              <w:pStyle w:val="Compact"/>
              <w:jc w:val="left"/>
            </w:pPr>
            <w:r>
              <w:t xml:space="preserve">Fruit Shape2</w:t>
            </w:r>
          </w:p>
        </w:tc>
        <w:tc>
          <w:tcPr/>
          <w:p>
            <w:pPr>
              <w:pStyle w:val="Compact"/>
              <w:jc w:val="left"/>
            </w:pPr>
            <w:r>
              <w:t xml:space="preserve">Fruit shape coded as globe or not globe</w:t>
            </w:r>
          </w:p>
        </w:tc>
        <w:tc>
          <w:tcPr/>
          <w:p>
            <w:pPr>
              <w:pStyle w:val="Compact"/>
              <w:jc w:val="left"/>
            </w:pPr>
            <w:r>
              <w:t xml:space="preserve">331</w:t>
            </w:r>
          </w:p>
        </w:tc>
        <w:tc>
          <w:tcPr/>
          <w:p>
            <w:pPr>
              <w:pStyle w:val="Compact"/>
              <w:jc w:val="left"/>
            </w:pPr>
            <w:r>
              <w:t xml:space="preserve">0.67</w:t>
            </w:r>
          </w:p>
        </w:tc>
        <w:tc>
          <w:tcPr/>
          <w:p>
            <w:pPr>
              <w:pStyle w:val="Compact"/>
              <w:jc w:val="left"/>
            </w:pPr>
            <w:r>
              <w:t xml:space="preserve">0.48</w:t>
            </w:r>
          </w:p>
        </w:tc>
      </w:tr>
      <w:tr>
        <w:tc>
          <w:tcPr/>
          <w:p>
            <w:pPr>
              <w:pStyle w:val="Compact"/>
            </w:pPr>
          </w:p>
        </w:tc>
        <w:tc>
          <w:tcPr/>
          <w:p>
            <w:pPr>
              <w:pStyle w:val="Compact"/>
              <w:jc w:val="left"/>
            </w:pPr>
            <w:r>
              <w:t xml:space="preserve">Flesh Color</w:t>
            </w:r>
          </w:p>
        </w:tc>
        <w:tc>
          <w:tcPr/>
          <w:p>
            <w:pPr>
              <w:pStyle w:val="Compact"/>
              <w:jc w:val="left"/>
            </w:pPr>
            <w:r>
              <w:t xml:space="preserve">Flesh color coded as either yellow or orange</w:t>
            </w:r>
          </w:p>
        </w:tc>
        <w:tc>
          <w:tcPr/>
          <w:p>
            <w:pPr>
              <w:pStyle w:val="Compact"/>
              <w:jc w:val="left"/>
            </w:pPr>
            <w:r>
              <w:t xml:space="preserve">377</w:t>
            </w:r>
          </w:p>
        </w:tc>
        <w:tc>
          <w:tcPr/>
          <w:p>
            <w:pPr>
              <w:pStyle w:val="Compact"/>
              <w:jc w:val="left"/>
            </w:pPr>
            <w:r>
              <w:t xml:space="preserve">0.53</w:t>
            </w:r>
          </w:p>
        </w:tc>
        <w:tc>
          <w:tcPr/>
          <w:p>
            <w:pPr>
              <w:pStyle w:val="Compact"/>
              <w:jc w:val="left"/>
            </w:pPr>
            <w:r>
              <w:t xml:space="preserve">0.19</w:t>
            </w:r>
          </w:p>
        </w:tc>
      </w:tr>
      <w:tr>
        <w:tc>
          <w:tcPr/>
          <w:p>
            <w:pPr>
              <w:pStyle w:val="Compact"/>
            </w:pPr>
          </w:p>
        </w:tc>
        <w:tc>
          <w:tcPr/>
          <w:p>
            <w:pPr>
              <w:pStyle w:val="Compact"/>
              <w:jc w:val="left"/>
            </w:pPr>
            <w:r>
              <w:t xml:space="preserve">Fruit Color1</w:t>
            </w:r>
          </w:p>
        </w:tc>
        <w:tc>
          <w:tcPr/>
          <w:p>
            <w:pPr>
              <w:pStyle w:val="Compact"/>
              <w:jc w:val="left"/>
            </w:pPr>
            <w:r>
              <w:t xml:space="preserve">Color of fruit coded as yellow or not yellow</w:t>
            </w:r>
          </w:p>
        </w:tc>
        <w:tc>
          <w:tcPr/>
          <w:p>
            <w:pPr>
              <w:pStyle w:val="Compact"/>
              <w:jc w:val="left"/>
            </w:pPr>
            <w:r>
              <w:t xml:space="preserve">181</w:t>
            </w:r>
          </w:p>
        </w:tc>
        <w:tc>
          <w:tcPr/>
          <w:p>
            <w:pPr>
              <w:pStyle w:val="Compact"/>
              <w:jc w:val="left"/>
            </w:pPr>
            <w:r>
              <w:t xml:space="preserve">0.55</w:t>
            </w:r>
          </w:p>
        </w:tc>
        <w:tc>
          <w:tcPr/>
          <w:p>
            <w:pPr>
              <w:pStyle w:val="Compact"/>
              <w:jc w:val="left"/>
            </w:pPr>
            <w:r>
              <w:t xml:space="preserve">0.19</w:t>
            </w:r>
          </w:p>
        </w:tc>
      </w:tr>
      <w:tr>
        <w:tc>
          <w:tcPr/>
          <w:p>
            <w:pPr>
              <w:pStyle w:val="Compact"/>
            </w:pPr>
          </w:p>
        </w:tc>
        <w:tc>
          <w:tcPr/>
          <w:p>
            <w:pPr>
              <w:pStyle w:val="Compact"/>
              <w:jc w:val="left"/>
            </w:pPr>
            <w:r>
              <w:t xml:space="preserve">Fruit Color2</w:t>
            </w:r>
          </w:p>
        </w:tc>
        <w:tc>
          <w:tcPr/>
          <w:p>
            <w:pPr>
              <w:pStyle w:val="Compact"/>
              <w:jc w:val="left"/>
            </w:pPr>
            <w:r>
              <w:t xml:space="preserve">Color of fruit coded as green or not green</w:t>
            </w:r>
          </w:p>
        </w:tc>
        <w:tc>
          <w:tcPr/>
          <w:p>
            <w:pPr>
              <w:pStyle w:val="Compact"/>
              <w:jc w:val="left"/>
            </w:pPr>
            <w:r>
              <w:t xml:space="preserve">181</w:t>
            </w:r>
          </w:p>
        </w:tc>
        <w:tc>
          <w:tcPr/>
          <w:p>
            <w:pPr>
              <w:pStyle w:val="Compact"/>
              <w:jc w:val="left"/>
            </w:pPr>
            <w:r>
              <w:t xml:space="preserve">0.68</w:t>
            </w:r>
          </w:p>
        </w:tc>
        <w:tc>
          <w:tcPr/>
          <w:p>
            <w:pPr>
              <w:pStyle w:val="Compact"/>
              <w:jc w:val="left"/>
            </w:pPr>
            <w:r>
              <w:t xml:space="preserve">0.55</w:t>
            </w:r>
          </w:p>
        </w:tc>
      </w:tr>
      <w:tr>
        <w:tc>
          <w:tcPr/>
          <w:p>
            <w:pPr>
              <w:pStyle w:val="Compact"/>
            </w:pPr>
          </w:p>
        </w:tc>
        <w:tc>
          <w:tcPr/>
          <w:p>
            <w:pPr>
              <w:pStyle w:val="Compact"/>
              <w:jc w:val="left"/>
            </w:pPr>
            <w:r>
              <w:t xml:space="preserve">Cucumber Beetle Damage</w:t>
            </w:r>
          </w:p>
        </w:tc>
        <w:tc>
          <w:tcPr/>
          <w:p>
            <w:pPr>
              <w:pStyle w:val="Compact"/>
              <w:jc w:val="left"/>
            </w:pPr>
            <w:r>
              <w:t xml:space="preserve">Severity of beetle damage on a 0-4 scale</w:t>
            </w:r>
          </w:p>
        </w:tc>
        <w:tc>
          <w:tcPr/>
          <w:p>
            <w:pPr>
              <w:pStyle w:val="Compact"/>
              <w:jc w:val="left"/>
            </w:pPr>
            <w:r>
              <w:t xml:space="preserve">248</w:t>
            </w:r>
          </w:p>
        </w:tc>
        <w:tc>
          <w:tcPr/>
          <w:p>
            <w:pPr>
              <w:pStyle w:val="Compact"/>
              <w:jc w:val="left"/>
            </w:pPr>
            <w:r>
              <w:t xml:space="preserve">0.32</w:t>
            </w:r>
          </w:p>
        </w:tc>
        <w:tc>
          <w:tcPr/>
          <w:p>
            <w:pPr>
              <w:pStyle w:val="Compact"/>
              <w:jc w:val="left"/>
            </w:pPr>
            <w:r>
              <w:t xml:space="preserve">0.08</w:t>
            </w:r>
          </w:p>
        </w:tc>
      </w:tr>
      <w:tr>
        <w:tc>
          <w:tcPr/>
          <w:p>
            <w:pPr>
              <w:pStyle w:val="Compact"/>
            </w:pPr>
          </w:p>
        </w:tc>
        <w:tc>
          <w:tcPr/>
          <w:p>
            <w:pPr>
              <w:pStyle w:val="Compact"/>
              <w:jc w:val="left"/>
            </w:pPr>
            <w:r>
              <w:t xml:space="preserve">Adult Squash Bug</w:t>
            </w:r>
          </w:p>
        </w:tc>
        <w:tc>
          <w:tcPr/>
          <w:p>
            <w:pPr>
              <w:pStyle w:val="Compact"/>
              <w:jc w:val="left"/>
            </w:pPr>
            <w:r>
              <w:t xml:space="preserve">Number of adult squash bugs on plant</w:t>
            </w:r>
          </w:p>
        </w:tc>
        <w:tc>
          <w:tcPr/>
          <w:p>
            <w:pPr>
              <w:pStyle w:val="Compact"/>
              <w:jc w:val="left"/>
            </w:pPr>
            <w:r>
              <w:t xml:space="preserve">237</w:t>
            </w:r>
          </w:p>
        </w:tc>
        <w:tc>
          <w:tcPr/>
          <w:p>
            <w:pPr>
              <w:pStyle w:val="Compact"/>
              <w:jc w:val="left"/>
            </w:pPr>
            <w:r>
              <w:t xml:space="preserve">0.88</w:t>
            </w:r>
          </w:p>
        </w:tc>
        <w:tc>
          <w:tcPr/>
          <w:p>
            <w:pPr>
              <w:pStyle w:val="Compact"/>
              <w:jc w:val="left"/>
            </w:pPr>
            <w:r>
              <w:t xml:space="preserve">0.07</w:t>
            </w:r>
          </w:p>
        </w:tc>
      </w:tr>
      <w:tr>
        <w:tc>
          <w:tcPr/>
          <w:p>
            <w:pPr>
              <w:pStyle w:val="Compact"/>
            </w:pPr>
          </w:p>
        </w:tc>
        <w:tc>
          <w:tcPr/>
          <w:p>
            <w:pPr>
              <w:pStyle w:val="Compact"/>
              <w:jc w:val="left"/>
            </w:pPr>
            <w:r>
              <w:t xml:space="preserve">Nymph Squash Bug</w:t>
            </w:r>
          </w:p>
        </w:tc>
        <w:tc>
          <w:tcPr/>
          <w:p>
            <w:pPr>
              <w:pStyle w:val="Compact"/>
              <w:jc w:val="left"/>
            </w:pPr>
            <w:r>
              <w:t xml:space="preserve">Number of squash bug nymphs on plant</w:t>
            </w:r>
          </w:p>
        </w:tc>
        <w:tc>
          <w:tcPr/>
          <w:p>
            <w:pPr>
              <w:pStyle w:val="Compact"/>
              <w:jc w:val="left"/>
            </w:pPr>
            <w:r>
              <w:t xml:space="preserve">166</w:t>
            </w:r>
          </w:p>
        </w:tc>
        <w:tc>
          <w:tcPr/>
          <w:p>
            <w:pPr>
              <w:pStyle w:val="Compact"/>
              <w:jc w:val="left"/>
            </w:pPr>
            <w:r>
              <w:t xml:space="preserve">0.46</w:t>
            </w:r>
          </w:p>
        </w:tc>
        <w:tc>
          <w:tcPr/>
          <w:p>
            <w:pPr>
              <w:pStyle w:val="Compact"/>
              <w:jc w:val="left"/>
            </w:pPr>
            <w:r>
              <w:t xml:space="preserve">0.02</w:t>
            </w:r>
          </w:p>
        </w:tc>
      </w:tr>
      <w:tr>
        <w:tc>
          <w:tcPr/>
          <w:p>
            <w:pPr>
              <w:pStyle w:val="Compact"/>
            </w:pPr>
          </w:p>
        </w:tc>
        <w:tc>
          <w:tcPr/>
          <w:p>
            <w:pPr>
              <w:pStyle w:val="Compact"/>
              <w:jc w:val="left"/>
            </w:pPr>
            <w:r>
              <w:t xml:space="preserve">Plant Type1</w:t>
            </w:r>
          </w:p>
        </w:tc>
        <w:tc>
          <w:tcPr/>
          <w:p>
            <w:pPr>
              <w:pStyle w:val="Compact"/>
              <w:jc w:val="left"/>
            </w:pPr>
            <w:r>
              <w:t xml:space="preserve">Historical plant architecture data coded as vining or bush</w:t>
            </w:r>
          </w:p>
        </w:tc>
        <w:tc>
          <w:tcPr/>
          <w:p>
            <w:pPr>
              <w:pStyle w:val="Compact"/>
              <w:jc w:val="left"/>
            </w:pPr>
            <w:r>
              <w:t xml:space="preserve">404</w:t>
            </w:r>
          </w:p>
        </w:tc>
        <w:tc>
          <w:tcPr/>
          <w:p>
            <w:pPr>
              <w:pStyle w:val="Compact"/>
              <w:jc w:val="left"/>
            </w:pPr>
            <w:r>
              <w:t xml:space="preserve">0.64</w:t>
            </w:r>
          </w:p>
        </w:tc>
        <w:tc>
          <w:tcPr/>
          <w:p>
            <w:pPr>
              <w:pStyle w:val="Compact"/>
              <w:jc w:val="left"/>
            </w:pPr>
            <w:r>
              <w:t xml:space="preserve">0.37</w:t>
            </w:r>
          </w:p>
        </w:tc>
      </w:tr>
      <w:tr>
        <w:tc>
          <w:tcPr/>
          <w:p>
            <w:pPr>
              <w:pStyle w:val="Compact"/>
            </w:pPr>
          </w:p>
        </w:tc>
        <w:tc>
          <w:tcPr/>
          <w:p>
            <w:pPr>
              <w:pStyle w:val="Compact"/>
              <w:jc w:val="left"/>
            </w:pPr>
            <w:r>
              <w:t xml:space="preserve">Plant Type2</w:t>
            </w:r>
          </w:p>
        </w:tc>
        <w:tc>
          <w:tcPr/>
          <w:p>
            <w:pPr>
              <w:pStyle w:val="Compact"/>
              <w:jc w:val="left"/>
            </w:pPr>
            <w:r>
              <w:t xml:space="preserve">Contemporary plant architecture data coded as vining or bush</w:t>
            </w:r>
          </w:p>
        </w:tc>
        <w:tc>
          <w:tcPr/>
          <w:p>
            <w:pPr>
              <w:pStyle w:val="Compact"/>
              <w:jc w:val="left"/>
            </w:pPr>
            <w:r>
              <w:t xml:space="preserve">293</w:t>
            </w:r>
          </w:p>
        </w:tc>
        <w:tc>
          <w:tcPr/>
          <w:p>
            <w:pPr>
              <w:pStyle w:val="Compact"/>
              <w:jc w:val="left"/>
            </w:pPr>
            <w:r>
              <w:t xml:space="preserve">1.00</w:t>
            </w:r>
          </w:p>
        </w:tc>
        <w:tc>
          <w:tcPr/>
          <w:p>
            <w:pPr>
              <w:pStyle w:val="Compact"/>
              <w:jc w:val="left"/>
            </w:pPr>
            <w:r>
              <w:t xml:space="preserve">0.36</w:t>
            </w:r>
          </w:p>
        </w:tc>
      </w:tr>
      <w:tr>
        <w:tc>
          <w:tcPr/>
          <w:p>
            <w:pPr>
              <w:pStyle w:val="Compact"/>
            </w:pPr>
          </w:p>
        </w:tc>
        <w:tc>
          <w:tcPr/>
          <w:p>
            <w:pPr>
              <w:pStyle w:val="Compact"/>
              <w:jc w:val="left"/>
            </w:pPr>
            <w:r>
              <w:t xml:space="preserve">Plant Vigor1</w:t>
            </w:r>
          </w:p>
        </w:tc>
        <w:tc>
          <w:tcPr/>
          <w:p>
            <w:pPr>
              <w:pStyle w:val="Compact"/>
              <w:jc w:val="left"/>
            </w:pPr>
            <w:r>
              <w:t xml:space="preserve">Minimum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Plant Vigor2</w:t>
            </w:r>
          </w:p>
        </w:tc>
        <w:tc>
          <w:tcPr/>
          <w:p>
            <w:pPr>
              <w:pStyle w:val="Compact"/>
              <w:jc w:val="left"/>
            </w:pPr>
            <w:r>
              <w:t xml:space="preserve">Maximum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100 Seed Wt.</w:t>
            </w:r>
          </w:p>
        </w:tc>
        <w:tc>
          <w:tcPr/>
          <w:p>
            <w:pPr>
              <w:pStyle w:val="Compact"/>
              <w:jc w:val="left"/>
            </w:pPr>
            <w:r>
              <w:t xml:space="preserve">Weight of 100 seeds in grams</w:t>
            </w:r>
          </w:p>
        </w:tc>
        <w:tc>
          <w:tcPr/>
          <w:p>
            <w:pPr>
              <w:pStyle w:val="Compact"/>
              <w:jc w:val="left"/>
            </w:pPr>
            <w:r>
              <w:t xml:space="preserve">822</w:t>
            </w:r>
          </w:p>
        </w:tc>
        <w:tc>
          <w:tcPr/>
          <w:p>
            <w:pPr>
              <w:pStyle w:val="Compact"/>
              <w:jc w:val="left"/>
            </w:pPr>
            <w:r>
              <w:t xml:space="preserve">0.90</w:t>
            </w:r>
          </w:p>
        </w:tc>
        <w:tc>
          <w:tcPr/>
          <w:p>
            <w:pPr>
              <w:pStyle w:val="Compact"/>
              <w:jc w:val="left"/>
            </w:pPr>
            <w:r>
              <w:t xml:space="preserve">0.60</w:t>
            </w:r>
          </w:p>
        </w:tc>
      </w:tr>
      <w:tr>
        <w:tc>
          <w:tcPr/>
          <w:p>
            <w:pPr>
              <w:pStyle w:val="Compact"/>
              <w:jc w:val="left"/>
            </w:pPr>
            <w:r>
              <w:rPr>
                <w:iCs/>
                <w:i/>
              </w:rPr>
              <w:t xml:space="preserve">C. moscahta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w:t>
            </w:r>
          </w:p>
        </w:tc>
        <w:tc>
          <w:tcPr/>
          <w:p>
            <w:pPr>
              <w:pStyle w:val="Compact"/>
              <w:jc w:val="left"/>
            </w:pPr>
            <w:r>
              <w:t xml:space="preserve">Fruit color coded as orange or not orange</w:t>
            </w:r>
          </w:p>
        </w:tc>
        <w:tc>
          <w:tcPr/>
          <w:p>
            <w:pPr>
              <w:pStyle w:val="Compact"/>
              <w:jc w:val="left"/>
            </w:pPr>
            <w:r>
              <w:t xml:space="preserve">140</w:t>
            </w:r>
          </w:p>
        </w:tc>
        <w:tc>
          <w:tcPr/>
          <w:p>
            <w:pPr>
              <w:pStyle w:val="Compact"/>
              <w:jc w:val="left"/>
            </w:pPr>
            <w:r>
              <w:t xml:space="preserve">0.43</w:t>
            </w:r>
          </w:p>
        </w:tc>
        <w:tc>
          <w:tcPr/>
          <w:p>
            <w:pPr>
              <w:pStyle w:val="Compact"/>
              <w:jc w:val="left"/>
            </w:pPr>
            <w:r>
              <w:t xml:space="preserve">0.13</w:t>
            </w:r>
          </w:p>
        </w:tc>
      </w:tr>
      <w:tr>
        <w:tc>
          <w:tcPr/>
          <w:p>
            <w:pPr>
              <w:pStyle w:val="Compact"/>
            </w:pPr>
          </w:p>
        </w:tc>
        <w:tc>
          <w:tcPr/>
          <w:p>
            <w:pPr>
              <w:pStyle w:val="Compact"/>
              <w:jc w:val="left"/>
            </w:pPr>
            <w:r>
              <w:t xml:space="preserve">Fruit Surface Texture</w:t>
            </w:r>
          </w:p>
        </w:tc>
        <w:tc>
          <w:tcPr/>
          <w:p>
            <w:pPr>
              <w:pStyle w:val="Compact"/>
              <w:jc w:val="left"/>
            </w:pPr>
            <w:r>
              <w:t xml:space="preserve">Fruit surface texture encoded as smooth or not smooth</w:t>
            </w:r>
          </w:p>
        </w:tc>
        <w:tc>
          <w:tcPr/>
          <w:p>
            <w:pPr>
              <w:pStyle w:val="Compact"/>
              <w:jc w:val="left"/>
            </w:pPr>
            <w:r>
              <w:t xml:space="preserve">127</w:t>
            </w:r>
          </w:p>
        </w:tc>
        <w:tc>
          <w:tcPr/>
          <w:p>
            <w:pPr>
              <w:pStyle w:val="Compact"/>
              <w:jc w:val="left"/>
            </w:pPr>
            <w:r>
              <w:t xml:space="preserve">0.18</w:t>
            </w:r>
          </w:p>
        </w:tc>
        <w:tc>
          <w:tcPr/>
          <w:p>
            <w:pPr>
              <w:pStyle w:val="Compact"/>
              <w:jc w:val="left"/>
            </w:pPr>
            <w:r>
              <w:t xml:space="preserve">0.07</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122</w:t>
            </w:r>
          </w:p>
        </w:tc>
        <w:tc>
          <w:tcPr/>
          <w:p>
            <w:pPr>
              <w:pStyle w:val="Compact"/>
              <w:jc w:val="left"/>
            </w:pPr>
            <w:r>
              <w:t xml:space="preserve">0.62</w:t>
            </w:r>
          </w:p>
        </w:tc>
        <w:tc>
          <w:tcPr/>
          <w:p>
            <w:pPr>
              <w:pStyle w:val="Compact"/>
              <w:jc w:val="left"/>
            </w:pPr>
            <w:r>
              <w:t xml:space="preserve">0.18</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121</w:t>
            </w:r>
          </w:p>
        </w:tc>
        <w:tc>
          <w:tcPr/>
          <w:p>
            <w:pPr>
              <w:pStyle w:val="Compact"/>
              <w:jc w:val="left"/>
            </w:pPr>
            <w:r>
              <w:t xml:space="preserve">1.00</w:t>
            </w:r>
          </w:p>
        </w:tc>
        <w:tc>
          <w:tcPr/>
          <w:p>
            <w:pPr>
              <w:pStyle w:val="Compact"/>
              <w:jc w:val="left"/>
            </w:pPr>
            <w:r>
              <w:t xml:space="preserve">0.18</w:t>
            </w:r>
          </w:p>
        </w:tc>
      </w:tr>
      <w:tr>
        <w:tc>
          <w:tcPr/>
          <w:p>
            <w:pPr>
              <w:pStyle w:val="Compact"/>
            </w:pPr>
          </w:p>
        </w:tc>
        <w:tc>
          <w:tcPr/>
          <w:p>
            <w:pPr>
              <w:pStyle w:val="Compact"/>
              <w:jc w:val="left"/>
            </w:pPr>
            <w:r>
              <w:t xml:space="preserve">Maturity</w:t>
            </w:r>
          </w:p>
        </w:tc>
        <w:tc>
          <w:tcPr/>
          <w:p>
            <w:pPr>
              <w:pStyle w:val="Compact"/>
              <w:jc w:val="left"/>
            </w:pPr>
            <w:r>
              <w:t xml:space="preserve">Fruit maturity on scale of early to late (1-8)</w:t>
            </w:r>
          </w:p>
        </w:tc>
        <w:tc>
          <w:tcPr/>
          <w:p>
            <w:pPr>
              <w:pStyle w:val="Compact"/>
              <w:jc w:val="left"/>
            </w:pPr>
            <w:r>
              <w:t xml:space="preserve">108</w:t>
            </w:r>
          </w:p>
        </w:tc>
        <w:tc>
          <w:tcPr/>
          <w:p>
            <w:pPr>
              <w:pStyle w:val="Compact"/>
              <w:jc w:val="left"/>
            </w:pPr>
            <w:r>
              <w:t xml:space="preserve">1.00</w:t>
            </w:r>
          </w:p>
        </w:tc>
        <w:tc>
          <w:tcPr/>
          <w:p>
            <w:pPr>
              <w:pStyle w:val="Compact"/>
              <w:jc w:val="left"/>
            </w:pPr>
            <w:r>
              <w:t xml:space="preserve">0.52</w:t>
            </w:r>
          </w:p>
        </w:tc>
      </w:tr>
      <w:tr>
        <w:tc>
          <w:tcPr/>
          <w:p>
            <w:pPr>
              <w:pStyle w:val="Compact"/>
              <w:jc w:val="left"/>
            </w:pPr>
            <w:r>
              <w:rPr>
                <w:iCs/>
                <w:i/>
              </w:rPr>
              <w:t xml:space="preserve">C. maxima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Color1</w:t>
            </w:r>
          </w:p>
        </w:tc>
        <w:tc>
          <w:tcPr/>
          <w:p>
            <w:pPr>
              <w:pStyle w:val="Compact"/>
              <w:jc w:val="left"/>
            </w:pPr>
            <w:r>
              <w:t xml:space="preserve">Fruit color encoded as gray or not gray</w:t>
            </w:r>
          </w:p>
        </w:tc>
        <w:tc>
          <w:tcPr/>
          <w:p>
            <w:pPr>
              <w:pStyle w:val="Compact"/>
              <w:jc w:val="left"/>
            </w:pPr>
            <w:r>
              <w:t xml:space="preserve">183</w:t>
            </w:r>
          </w:p>
        </w:tc>
        <w:tc>
          <w:tcPr/>
          <w:p>
            <w:pPr>
              <w:pStyle w:val="Compact"/>
              <w:jc w:val="left"/>
            </w:pPr>
            <w:r>
              <w:t xml:space="preserve">0.53</w:t>
            </w:r>
          </w:p>
        </w:tc>
        <w:tc>
          <w:tcPr/>
          <w:p>
            <w:pPr>
              <w:pStyle w:val="Compact"/>
              <w:jc w:val="left"/>
            </w:pPr>
            <w:r>
              <w:t xml:space="preserve">0.17</w:t>
            </w:r>
          </w:p>
        </w:tc>
      </w:tr>
      <w:tr>
        <w:tc>
          <w:tcPr/>
          <w:p>
            <w:pPr>
              <w:pStyle w:val="Compact"/>
            </w:pPr>
          </w:p>
        </w:tc>
        <w:tc>
          <w:tcPr/>
          <w:p>
            <w:pPr>
              <w:pStyle w:val="Compact"/>
              <w:jc w:val="left"/>
            </w:pPr>
            <w:r>
              <w:t xml:space="preserve">Fruit Color2</w:t>
            </w:r>
          </w:p>
        </w:tc>
        <w:tc>
          <w:tcPr/>
          <w:p>
            <w:pPr>
              <w:pStyle w:val="Compact"/>
              <w:jc w:val="left"/>
            </w:pPr>
            <w:r>
              <w:t xml:space="preserve">Fruit color encoded as orange or not orange</w:t>
            </w:r>
          </w:p>
        </w:tc>
        <w:tc>
          <w:tcPr/>
          <w:p>
            <w:pPr>
              <w:pStyle w:val="Compact"/>
              <w:jc w:val="left"/>
            </w:pPr>
            <w:r>
              <w:t xml:space="preserve">183</w:t>
            </w:r>
          </w:p>
        </w:tc>
        <w:tc>
          <w:tcPr/>
          <w:p>
            <w:pPr>
              <w:pStyle w:val="Compact"/>
              <w:jc w:val="left"/>
            </w:pPr>
            <w:r>
              <w:t xml:space="preserve">0.57</w:t>
            </w:r>
          </w:p>
        </w:tc>
        <w:tc>
          <w:tcPr/>
          <w:p>
            <w:pPr>
              <w:pStyle w:val="Compact"/>
              <w:jc w:val="left"/>
            </w:pPr>
            <w:r>
              <w:t xml:space="preserve">0.08</w:t>
            </w:r>
          </w:p>
        </w:tc>
      </w:tr>
      <w:tr>
        <w:tc>
          <w:tcPr/>
          <w:p>
            <w:pPr>
              <w:pStyle w:val="Compact"/>
            </w:pPr>
          </w:p>
        </w:tc>
        <w:tc>
          <w:tcPr/>
          <w:p>
            <w:pPr>
              <w:pStyle w:val="Compact"/>
              <w:jc w:val="left"/>
            </w:pPr>
            <w:r>
              <w:t xml:space="preserve">Fruit Color3</w:t>
            </w:r>
          </w:p>
        </w:tc>
        <w:tc>
          <w:tcPr/>
          <w:p>
            <w:pPr>
              <w:pStyle w:val="Compact"/>
              <w:jc w:val="left"/>
            </w:pPr>
            <w:r>
              <w:t xml:space="preserve">Fruit color encoded as green or not green</w:t>
            </w:r>
          </w:p>
        </w:tc>
        <w:tc>
          <w:tcPr/>
          <w:p>
            <w:pPr>
              <w:pStyle w:val="Compact"/>
              <w:jc w:val="left"/>
            </w:pPr>
            <w:r>
              <w:t xml:space="preserve">183</w:t>
            </w:r>
          </w:p>
        </w:tc>
        <w:tc>
          <w:tcPr/>
          <w:p>
            <w:pPr>
              <w:pStyle w:val="Compact"/>
              <w:jc w:val="left"/>
            </w:pPr>
            <w:r>
              <w:t xml:space="preserve">0.46</w:t>
            </w:r>
          </w:p>
        </w:tc>
        <w:tc>
          <w:tcPr/>
          <w:p>
            <w:pPr>
              <w:pStyle w:val="Compact"/>
              <w:jc w:val="left"/>
            </w:pPr>
            <w:r>
              <w:t xml:space="preserve">0.15</w:t>
            </w:r>
          </w:p>
        </w:tc>
      </w:tr>
      <w:tr>
        <w:tc>
          <w:tcPr/>
          <w:p>
            <w:pPr>
              <w:pStyle w:val="Compact"/>
            </w:pPr>
          </w:p>
        </w:tc>
        <w:tc>
          <w:tcPr/>
          <w:p>
            <w:pPr>
              <w:pStyle w:val="Compact"/>
              <w:jc w:val="left"/>
            </w:pPr>
            <w:r>
              <w:t xml:space="preserve">Flesh Color</w:t>
            </w:r>
          </w:p>
        </w:tc>
        <w:tc>
          <w:tcPr/>
          <w:p>
            <w:pPr>
              <w:pStyle w:val="Compact"/>
              <w:jc w:val="left"/>
            </w:pPr>
            <w:r>
              <w:t xml:space="preserve">Flesh color on a scale of yellow to dark orange (1-5)</w:t>
            </w:r>
          </w:p>
        </w:tc>
        <w:tc>
          <w:tcPr/>
          <w:p>
            <w:pPr>
              <w:pStyle w:val="Compact"/>
              <w:jc w:val="left"/>
            </w:pPr>
            <w:r>
              <w:t xml:space="preserve">231</w:t>
            </w:r>
          </w:p>
        </w:tc>
        <w:tc>
          <w:tcPr/>
          <w:p>
            <w:pPr>
              <w:pStyle w:val="Compact"/>
              <w:jc w:val="left"/>
            </w:pPr>
            <w:r>
              <w:t xml:space="preserve">0.44</w:t>
            </w:r>
          </w:p>
        </w:tc>
        <w:tc>
          <w:tcPr/>
          <w:p>
            <w:pPr>
              <w:pStyle w:val="Compact"/>
              <w:jc w:val="left"/>
            </w:pPr>
            <w:r>
              <w:t xml:space="preserve">0.09</w:t>
            </w:r>
          </w:p>
        </w:tc>
      </w:tr>
      <w:tr>
        <w:tc>
          <w:tcPr/>
          <w:p>
            <w:pPr>
              <w:pStyle w:val="Compact"/>
            </w:pPr>
          </w:p>
        </w:tc>
        <w:tc>
          <w:tcPr/>
          <w:p>
            <w:pPr>
              <w:pStyle w:val="Compact"/>
              <w:jc w:val="left"/>
            </w:pPr>
            <w:r>
              <w:t xml:space="preserve">Flesh Depth</w:t>
            </w:r>
          </w:p>
        </w:tc>
        <w:tc>
          <w:tcPr/>
          <w:p>
            <w:pPr>
              <w:pStyle w:val="Compact"/>
              <w:jc w:val="left"/>
            </w:pPr>
            <w:r>
              <w:t xml:space="preserve">Flesh thickness in centimeters</w:t>
            </w:r>
          </w:p>
        </w:tc>
        <w:tc>
          <w:tcPr/>
          <w:p>
            <w:pPr>
              <w:pStyle w:val="Compact"/>
              <w:jc w:val="left"/>
            </w:pPr>
            <w:r>
              <w:t xml:space="preserve">251</w:t>
            </w:r>
          </w:p>
        </w:tc>
        <w:tc>
          <w:tcPr/>
          <w:p>
            <w:pPr>
              <w:pStyle w:val="Compact"/>
              <w:jc w:val="left"/>
            </w:pPr>
            <w:r>
              <w:t xml:space="preserve">0.29</w:t>
            </w:r>
          </w:p>
        </w:tc>
        <w:tc>
          <w:tcPr/>
          <w:p>
            <w:pPr>
              <w:pStyle w:val="Compact"/>
              <w:jc w:val="left"/>
            </w:pPr>
            <w:r>
              <w:t xml:space="preserve">0.01</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248</w:t>
            </w:r>
          </w:p>
        </w:tc>
        <w:tc>
          <w:tcPr/>
          <w:p>
            <w:pPr>
              <w:pStyle w:val="Compact"/>
              <w:jc w:val="left"/>
            </w:pPr>
            <w:r>
              <w:t xml:space="preserve">0.37</w:t>
            </w:r>
          </w:p>
        </w:tc>
        <w:tc>
          <w:tcPr/>
          <w:p>
            <w:pPr>
              <w:pStyle w:val="Compact"/>
              <w:jc w:val="left"/>
            </w:pPr>
            <w:r>
              <w:t xml:space="preserve">0.29</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248</w:t>
            </w:r>
          </w:p>
        </w:tc>
        <w:tc>
          <w:tcPr/>
          <w:p>
            <w:pPr>
              <w:pStyle w:val="Compact"/>
              <w:jc w:val="left"/>
            </w:pPr>
            <w:r>
              <w:t xml:space="preserve">0.49</w:t>
            </w:r>
          </w:p>
        </w:tc>
        <w:tc>
          <w:tcPr/>
          <w:p>
            <w:pPr>
              <w:pStyle w:val="Compact"/>
              <w:jc w:val="left"/>
            </w:pPr>
            <w:r>
              <w:t xml:space="preserve">0.27</w:t>
            </w:r>
          </w:p>
        </w:tc>
      </w:tr>
      <w:tr>
        <w:tc>
          <w:tcPr/>
          <w:p>
            <w:pPr>
              <w:pStyle w:val="Compact"/>
            </w:pPr>
          </w:p>
        </w:tc>
        <w:tc>
          <w:tcPr/>
          <w:p>
            <w:pPr>
              <w:pStyle w:val="Compact"/>
              <w:jc w:val="left"/>
            </w:pPr>
            <w:r>
              <w:t xml:space="preserve">Fruit Spot</w:t>
            </w:r>
          </w:p>
        </w:tc>
        <w:tc>
          <w:tcPr/>
          <w:p>
            <w:pPr>
              <w:pStyle w:val="Compact"/>
              <w:jc w:val="left"/>
            </w:pPr>
            <w:r>
              <w:t xml:space="preserve">Fruit spotting from slight to pronounced (1-9)</w:t>
            </w:r>
          </w:p>
        </w:tc>
        <w:tc>
          <w:tcPr/>
          <w:p>
            <w:pPr>
              <w:pStyle w:val="Compact"/>
              <w:jc w:val="left"/>
            </w:pPr>
            <w:r>
              <w:t xml:space="preserve">193</w:t>
            </w:r>
          </w:p>
        </w:tc>
        <w:tc>
          <w:tcPr/>
          <w:p>
            <w:pPr>
              <w:pStyle w:val="Compact"/>
              <w:jc w:val="left"/>
            </w:pPr>
            <w:r>
              <w:t xml:space="preserve">0.40</w:t>
            </w:r>
          </w:p>
        </w:tc>
        <w:tc>
          <w:tcPr/>
          <w:p>
            <w:pPr>
              <w:pStyle w:val="Compact"/>
              <w:jc w:val="left"/>
            </w:pPr>
            <w:r>
              <w:t xml:space="preserve">0.01</w:t>
            </w:r>
          </w:p>
        </w:tc>
      </w:tr>
      <w:tr>
        <w:tc>
          <w:tcPr/>
          <w:p>
            <w:pPr>
              <w:pStyle w:val="Compact"/>
            </w:pPr>
          </w:p>
        </w:tc>
        <w:tc>
          <w:tcPr/>
          <w:p>
            <w:pPr>
              <w:pStyle w:val="Compact"/>
              <w:jc w:val="left"/>
            </w:pPr>
            <w:r>
              <w:t xml:space="preserve">Fruit Ribbing</w:t>
            </w:r>
          </w:p>
        </w:tc>
        <w:tc>
          <w:tcPr/>
          <w:p>
            <w:pPr>
              <w:pStyle w:val="Compact"/>
              <w:jc w:val="left"/>
            </w:pPr>
            <w:r>
              <w:t xml:space="preserve">Fruit ribbing from slight to pronounced (1-9)</w:t>
            </w:r>
          </w:p>
        </w:tc>
        <w:tc>
          <w:tcPr/>
          <w:p>
            <w:pPr>
              <w:pStyle w:val="Compact"/>
              <w:jc w:val="left"/>
            </w:pPr>
            <w:r>
              <w:t xml:space="preserve">243</w:t>
            </w:r>
          </w:p>
        </w:tc>
        <w:tc>
          <w:tcPr/>
          <w:p>
            <w:pPr>
              <w:pStyle w:val="Compact"/>
              <w:jc w:val="left"/>
            </w:pPr>
            <w:r>
              <w:t xml:space="preserve">0.64</w:t>
            </w:r>
          </w:p>
        </w:tc>
        <w:tc>
          <w:tcPr/>
          <w:p>
            <w:pPr>
              <w:pStyle w:val="Compact"/>
              <w:jc w:val="left"/>
            </w:pPr>
            <w:r>
              <w:t xml:space="preserve">0.14</w:t>
            </w:r>
          </w:p>
        </w:tc>
      </w:tr>
      <w:tr>
        <w:tc>
          <w:tcPr/>
          <w:p>
            <w:pPr>
              <w:pStyle w:val="Compact"/>
            </w:pPr>
          </w:p>
        </w:tc>
        <w:tc>
          <w:tcPr/>
          <w:p>
            <w:pPr>
              <w:pStyle w:val="Compact"/>
              <w:jc w:val="left"/>
            </w:pPr>
            <w:r>
              <w:t xml:space="preserve">Powdery Mildew Susceptibility</w:t>
            </w:r>
          </w:p>
        </w:tc>
        <w:tc>
          <w:tcPr/>
          <w:p>
            <w:pPr>
              <w:pStyle w:val="Compact"/>
              <w:jc w:val="left"/>
            </w:pPr>
            <w:r>
              <w:t xml:space="preserve">Susceptibility to PM from slight to severe (0-9)</w:t>
            </w:r>
          </w:p>
        </w:tc>
        <w:tc>
          <w:tcPr/>
          <w:p>
            <w:pPr>
              <w:pStyle w:val="Compact"/>
              <w:jc w:val="left"/>
            </w:pPr>
            <w:r>
              <w:t xml:space="preserve">211</w:t>
            </w:r>
          </w:p>
        </w:tc>
        <w:tc>
          <w:tcPr/>
          <w:p>
            <w:pPr>
              <w:pStyle w:val="Compact"/>
              <w:jc w:val="left"/>
            </w:pPr>
            <w:r>
              <w:t xml:space="preserve">0.33</w:t>
            </w:r>
          </w:p>
        </w:tc>
        <w:tc>
          <w:tcPr/>
          <w:p>
            <w:pPr>
              <w:pStyle w:val="Compact"/>
              <w:jc w:val="left"/>
            </w:pPr>
            <w:r>
              <w:t xml:space="preserve">0.06</w:t>
            </w:r>
          </w:p>
        </w:tc>
      </w:tr>
      <w:tr>
        <w:tc>
          <w:tcPr/>
          <w:p>
            <w:pPr>
              <w:pStyle w:val="Compact"/>
            </w:pPr>
          </w:p>
        </w:tc>
        <w:tc>
          <w:tcPr/>
          <w:p>
            <w:pPr>
              <w:pStyle w:val="Compact"/>
              <w:jc w:val="left"/>
            </w:pPr>
            <w:r>
              <w:t xml:space="preserve">WMV Susceptibility</w:t>
            </w:r>
          </w:p>
        </w:tc>
        <w:tc>
          <w:tcPr/>
          <w:p>
            <w:pPr>
              <w:pStyle w:val="Compact"/>
              <w:jc w:val="left"/>
            </w:pPr>
            <w:r>
              <w:t xml:space="preserve">Susceptibility to WMV from slight to severe (0-9)</w:t>
            </w:r>
          </w:p>
        </w:tc>
        <w:tc>
          <w:tcPr/>
          <w:p>
            <w:pPr>
              <w:pStyle w:val="Compact"/>
              <w:jc w:val="left"/>
            </w:pPr>
            <w:r>
              <w:t xml:space="preserve">212</w:t>
            </w:r>
          </w:p>
        </w:tc>
        <w:tc>
          <w:tcPr/>
          <w:p>
            <w:pPr>
              <w:pStyle w:val="Compact"/>
              <w:jc w:val="left"/>
            </w:pPr>
            <w:r>
              <w:t xml:space="preserve">0.19</w:t>
            </w:r>
          </w:p>
        </w:tc>
        <w:tc>
          <w:tcPr/>
          <w:p>
            <w:pPr>
              <w:pStyle w:val="Compact"/>
              <w:jc w:val="left"/>
            </w:pPr>
            <w:r>
              <w:t xml:space="preserve">0.05</w:t>
            </w:r>
          </w:p>
        </w:tc>
      </w:tr>
      <w:tr>
        <w:tc>
          <w:tcPr/>
          <w:p>
            <w:pPr>
              <w:pStyle w:val="Compact"/>
            </w:pPr>
          </w:p>
        </w:tc>
        <w:tc>
          <w:tcPr/>
          <w:p>
            <w:pPr>
              <w:pStyle w:val="Compact"/>
              <w:jc w:val="left"/>
            </w:pPr>
            <w:r>
              <w:t xml:space="preserve">Fruit Set</w:t>
            </w:r>
          </w:p>
        </w:tc>
        <w:tc>
          <w:tcPr/>
          <w:p>
            <w:pPr>
              <w:pStyle w:val="Compact"/>
              <w:jc w:val="left"/>
            </w:pPr>
            <w:r>
              <w:t xml:space="preserve">Fruit set from poor to excellent (1-9)</w:t>
            </w:r>
          </w:p>
        </w:tc>
        <w:tc>
          <w:tcPr/>
          <w:p>
            <w:pPr>
              <w:pStyle w:val="Compact"/>
              <w:jc w:val="left"/>
            </w:pPr>
            <w:r>
              <w:t xml:space="preserve">251</w:t>
            </w:r>
          </w:p>
        </w:tc>
        <w:tc>
          <w:tcPr/>
          <w:p>
            <w:pPr>
              <w:pStyle w:val="Compact"/>
              <w:jc w:val="left"/>
            </w:pPr>
            <w:r>
              <w:t xml:space="preserve">0.36</w:t>
            </w:r>
          </w:p>
        </w:tc>
        <w:tc>
          <w:tcPr/>
          <w:p>
            <w:pPr>
              <w:pStyle w:val="Compact"/>
              <w:jc w:val="left"/>
            </w:pPr>
            <w:r>
              <w:t xml:space="preserve">0.15</w:t>
            </w:r>
          </w:p>
        </w:tc>
      </w:tr>
      <w:tr>
        <w:tc>
          <w:tcPr/>
          <w:p>
            <w:pPr>
              <w:pStyle w:val="Compact"/>
            </w:pPr>
          </w:p>
        </w:tc>
        <w:tc>
          <w:tcPr/>
          <w:p>
            <w:pPr>
              <w:pStyle w:val="Compact"/>
              <w:jc w:val="left"/>
            </w:pPr>
            <w:r>
              <w:t xml:space="preserve">Uniformity</w:t>
            </w:r>
          </w:p>
        </w:tc>
        <w:tc>
          <w:tcPr/>
          <w:p>
            <w:pPr>
              <w:pStyle w:val="Compact"/>
              <w:jc w:val="left"/>
            </w:pPr>
            <w:r>
              <w:t xml:space="preserve">Fruit uniformity from poor to excellent (1-9)</w:t>
            </w:r>
          </w:p>
        </w:tc>
        <w:tc>
          <w:tcPr/>
          <w:p>
            <w:pPr>
              <w:pStyle w:val="Compact"/>
              <w:jc w:val="left"/>
            </w:pPr>
            <w:r>
              <w:t xml:space="preserve">244</w:t>
            </w:r>
          </w:p>
        </w:tc>
        <w:tc>
          <w:tcPr/>
          <w:p>
            <w:pPr>
              <w:pStyle w:val="Compact"/>
              <w:jc w:val="left"/>
            </w:pPr>
            <w:r>
              <w:t xml:space="preserve">0.35</w:t>
            </w:r>
          </w:p>
        </w:tc>
        <w:tc>
          <w:tcPr/>
          <w:p>
            <w:pPr>
              <w:pStyle w:val="Compact"/>
              <w:jc w:val="left"/>
            </w:pPr>
            <w:r>
              <w:t xml:space="preserve">0.07</w:t>
            </w:r>
          </w:p>
        </w:tc>
      </w:tr>
      <w:tr>
        <w:tc>
          <w:tcPr/>
          <w:p>
            <w:pPr>
              <w:pStyle w:val="Compact"/>
            </w:pPr>
          </w:p>
        </w:tc>
        <w:tc>
          <w:tcPr/>
          <w:p>
            <w:pPr>
              <w:pStyle w:val="Compact"/>
              <w:jc w:val="left"/>
            </w:pPr>
            <w:r>
              <w:t xml:space="preserve">Vigor</w:t>
            </w:r>
          </w:p>
        </w:tc>
        <w:tc>
          <w:tcPr/>
          <w:p>
            <w:pPr>
              <w:pStyle w:val="Compact"/>
              <w:jc w:val="left"/>
            </w:pPr>
            <w:r>
              <w:t xml:space="preserve">Plant vigor from poor to excellent (1-9)</w:t>
            </w:r>
          </w:p>
        </w:tc>
        <w:tc>
          <w:tcPr/>
          <w:p>
            <w:pPr>
              <w:pStyle w:val="Compact"/>
              <w:jc w:val="left"/>
            </w:pPr>
            <w:r>
              <w:t xml:space="preserve">251</w:t>
            </w:r>
          </w:p>
        </w:tc>
        <w:tc>
          <w:tcPr/>
          <w:p>
            <w:pPr>
              <w:pStyle w:val="Compact"/>
              <w:jc w:val="left"/>
            </w:pPr>
            <w:r>
              <w:t xml:space="preserve">0.12</w:t>
            </w:r>
          </w:p>
        </w:tc>
        <w:tc>
          <w:tcPr/>
          <w:p>
            <w:pPr>
              <w:pStyle w:val="Compact"/>
              <w:jc w:val="left"/>
            </w:pPr>
            <w:r>
              <w:t xml:space="preserve">0.00</w:t>
            </w:r>
          </w:p>
        </w:tc>
      </w:tr>
      <w:tr>
        <w:tc>
          <w:tcPr/>
          <w:p>
            <w:pPr>
              <w:pStyle w:val="Compact"/>
            </w:pPr>
          </w:p>
        </w:tc>
        <w:tc>
          <w:tcPr/>
          <w:p>
            <w:pPr>
              <w:pStyle w:val="Compact"/>
              <w:jc w:val="left"/>
            </w:pPr>
            <w:r>
              <w:t xml:space="preserve">Plant Type</w:t>
            </w:r>
          </w:p>
        </w:tc>
        <w:tc>
          <w:tcPr/>
          <w:p>
            <w:pPr>
              <w:pStyle w:val="Compact"/>
              <w:jc w:val="left"/>
            </w:pPr>
            <w:r>
              <w:t xml:space="preserve">Plant type as vining or not vining</w:t>
            </w:r>
          </w:p>
        </w:tc>
        <w:tc>
          <w:tcPr/>
          <w:p>
            <w:pPr>
              <w:pStyle w:val="Compact"/>
              <w:jc w:val="left"/>
            </w:pPr>
            <w:r>
              <w:t xml:space="preserve">251</w:t>
            </w:r>
          </w:p>
        </w:tc>
        <w:tc>
          <w:tcPr/>
          <w:p>
            <w:pPr>
              <w:pStyle w:val="Compact"/>
              <w:jc w:val="left"/>
            </w:pPr>
            <w:r>
              <w:t xml:space="preserve">0.74</w:t>
            </w:r>
          </w:p>
        </w:tc>
        <w:tc>
          <w:tcPr/>
          <w:p>
            <w:pPr>
              <w:pStyle w:val="Compact"/>
              <w:jc w:val="left"/>
            </w:pPr>
            <w:r>
              <w:t xml:space="preserve">1.19</w:t>
            </w:r>
          </w:p>
        </w:tc>
      </w:tr>
      <w:tr>
        <w:tc>
          <w:tcPr/>
          <w:p>
            <w:pPr>
              <w:pStyle w:val="Compact"/>
            </w:pPr>
          </w:p>
        </w:tc>
        <w:tc>
          <w:tcPr/>
          <w:p>
            <w:pPr>
              <w:pStyle w:val="Compact"/>
              <w:jc w:val="left"/>
            </w:pPr>
            <w:r>
              <w:t xml:space="preserve">Days to Pollen</w:t>
            </w:r>
          </w:p>
        </w:tc>
        <w:tc>
          <w:tcPr/>
          <w:p>
            <w:pPr>
              <w:pStyle w:val="Compact"/>
              <w:jc w:val="left"/>
            </w:pPr>
            <w:r>
              <w:t xml:space="preserve">Number of days from field transplanting to date of first pollination</w:t>
            </w:r>
          </w:p>
        </w:tc>
        <w:tc>
          <w:tcPr/>
          <w:p>
            <w:pPr>
              <w:pStyle w:val="Compact"/>
              <w:jc w:val="left"/>
            </w:pPr>
            <w:r>
              <w:t xml:space="preserve">236</w:t>
            </w:r>
          </w:p>
        </w:tc>
        <w:tc>
          <w:tcPr/>
          <w:p>
            <w:pPr>
              <w:pStyle w:val="Compact"/>
              <w:jc w:val="left"/>
            </w:pPr>
            <w:r>
              <w:t xml:space="preserve">0.52</w:t>
            </w:r>
          </w:p>
        </w:tc>
        <w:tc>
          <w:tcPr/>
          <w:p>
            <w:pPr>
              <w:pStyle w:val="Compact"/>
              <w:jc w:val="left"/>
            </w:pPr>
            <w:r>
              <w:t xml:space="preserve">0.15</w:t>
            </w:r>
          </w:p>
        </w:tc>
      </w:tr>
    </w:tbl>
    <w:bookmarkEnd w:id="0"/>
    <w:bookmarkEnd w:id="48"/>
    <w:bookmarkStart w:id="51" w:name="genome-wide-association"/>
    <w:p>
      <w:pPr>
        <w:pStyle w:val="Heading3"/>
      </w:pPr>
      <w:r>
        <w:t xml:space="preserve">Genome-wide Association</w:t>
      </w:r>
    </w:p>
    <w:bookmarkStart w:id="0" w:name="fig:gwas"/>
    <w:p>
      <w:pPr>
        <w:pStyle w:val="CaptionedFigure"/>
      </w:pPr>
      <w:bookmarkStart w:id="50"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9"/>
                    <a:stretch>
                      <a:fillRect/>
                    </a:stretch>
                  </pic:blipFill>
                  <pic:spPr bwMode="auto">
                    <a:xfrm>
                      <a:off x="0" y="0"/>
                      <a:ext cx="5943600" cy="3462147"/>
                    </a:xfrm>
                    <a:prstGeom prst="rect">
                      <a:avLst/>
                    </a:prstGeom>
                    <a:noFill/>
                    <a:ln w="9525">
                      <a:noFill/>
                      <a:headEnd/>
                      <a:tailEnd/>
                    </a:ln>
                  </pic:spPr>
                </pic:pic>
              </a:graphicData>
            </a:graphic>
          </wp:inline>
        </w:drawing>
      </w:r>
      <w:bookmarkEnd w:id="50"/>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w:t>
      </w:r>
      <w:r>
        <w:t xml:space="preserve"> </w:t>
      </w:r>
      <w:r>
        <w:t xml:space="preserve">No significant signals were detected in</w:t>
      </w:r>
      <w:r>
        <w:t xml:space="preserve"> </w:t>
      </w:r>
      <w:r>
        <w:rPr>
          <w:iCs/>
          <w:i/>
        </w:rPr>
        <w:t xml:space="preserve">C. moschata</w:t>
      </w:r>
      <w:r>
        <w:t xml:space="preserve">.</w:t>
      </w:r>
      <w:r>
        <w:t xml:space="preserve"> </w:t>
      </w:r>
      <w:r>
        <w:t xml:space="preserve">A weak signal was detected in</w:t>
      </w:r>
      <w:r>
        <w:t xml:space="preserve"> </w:t>
      </w:r>
      <w:r>
        <w:rPr>
          <w:iCs/>
          <w:i/>
        </w:rPr>
        <w:t xml:space="preserve">C. maxima</w:t>
      </w:r>
      <w:r>
        <w:t xml:space="preserve"> </w:t>
      </w:r>
      <w:r>
        <w:t xml:space="preserve">for fruit set on chromosome 12 and fruit ribbing on chromosome 17.</w:t>
      </w:r>
      <w:r>
        <w:t xml:space="preserve"> </w:t>
      </w:r>
      <w:r>
        <w:t xml:space="preserve">Three phenotypes were significantly associated with SNPs in</w:t>
      </w:r>
      <w:r>
        <w:t xml:space="preserve"> </w:t>
      </w:r>
      <w:r>
        <w:rPr>
          <w:iCs/>
          <w:i/>
        </w:rPr>
        <w:t xml:space="preserve">C. pepo</w:t>
      </w:r>
      <w:r>
        <w:t xml:space="preserve">: bush/vine plant architecture on chromosome 10, fruit flesh color on chromosome 5, and fruit width on chromosome 3.</w:t>
      </w:r>
      <w:r>
        <w:t xml:space="preserve"> </w:t>
      </w:r>
      <w:r>
        <w:t xml:space="preserve">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1"/>
    <w:bookmarkStart w:id="52"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p>
      <w:pPr>
        <w:pStyle w:val="FirstParagraph"/>
      </w:pPr>
      <w:r>
        <w:t xml:space="preserve">A candidate gene for dwarfism found in the species</w:t>
      </w:r>
      <w:r>
        <w:t xml:space="preserve"> </w:t>
      </w:r>
      <w:r>
        <w:rPr>
          <w:iCs/>
          <w:i/>
        </w:rPr>
        <w:t xml:space="preserve">C. maxima</w:t>
      </w:r>
      <w:r>
        <w:t xml:space="preserve"> </w:t>
      </w:r>
      <w:r>
        <w:t xml:space="preserve">was named Cma_004516 {</w:t>
      </w:r>
      <w:r>
        <w:t xml:space="preserve">[</w:t>
      </w:r>
      <w:hyperlink w:anchor="ref-hjX723Qb">
        <w:r>
          <w:rPr>
            <w:rStyle w:val="Hyperlink"/>
          </w:rPr>
          <w:t xml:space="preserve">34</w:t>
        </w:r>
      </w:hyperlink>
      <w:r>
        <w:t xml:space="preserve">]</w:t>
      </w:r>
      <w:r>
        <w:t xml:space="preserve">} and corresponds to the gene ID CmaCh03G013600 in the Cucurbit Genomics Database. The gene Cp4.1LG10g05740 on chromosome 10 in</w:t>
      </w:r>
      <w:r>
        <w:t xml:space="preserve"> </w:t>
      </w:r>
      <w:r>
        <w:rPr>
          <w:iCs/>
          <w:i/>
        </w:rPr>
        <w:t xml:space="preserve">C. pepo</w:t>
      </w:r>
      <w:r>
        <w:t xml:space="preserve"> </w:t>
      </w:r>
      <w:r>
        <w:t xml:space="preserve">was found to be orthologous to CmaCh03G013600 and coincides with the region significantly associated with the bush/vine plant architecture phenotype identified by GWAS in the</w:t>
      </w:r>
      <w:r>
        <w:t xml:space="preserve"> </w:t>
      </w:r>
      <w:r>
        <w:rPr>
          <w:iCs/>
          <w:i/>
        </w:rPr>
        <w:t xml:space="preserve">C. pepo</w:t>
      </w:r>
      <w:r>
        <w:t xml:space="preserve"> </w:t>
      </w:r>
      <w:r>
        <w:t xml:space="preserve">collection.</w:t>
      </w:r>
    </w:p>
    <w:bookmarkEnd w:id="52"/>
    <w:bookmarkStart w:id="53"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w:t>
      </w:r>
      <w:r>
        <w:t xml:space="preserve"> </w:t>
      </w:r>
      <w:r>
        <w:t xml:space="preserve">Roughly 10 to 20% of the accessions were required to capture the genetic diversity in the panels (See Supplemental Figures).</w:t>
      </w:r>
      <w:r>
        <w:t xml:space="preserve"> </w:t>
      </w:r>
      <w:r>
        <w:t xml:space="preserve">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w:t>
      </w:r>
      <w:r>
        <w:t xml:space="preserve"> </w:t>
      </w:r>
      <w:r>
        <w:t xml:space="preserve">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w:t>
      </w:r>
      <w:r>
        <w:t xml:space="preserve"> </w:t>
      </w:r>
      <w:r>
        <w:t xml:space="preserve">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w:t>
      </w:r>
      <w:r>
        <w:t xml:space="preserve"> </w:t>
      </w:r>
      <w:r>
        <w:t xml:space="preserve">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3"/>
    <w:bookmarkEnd w:id="54"/>
    <w:bookmarkStart w:id="55" w:name="discussion"/>
    <w:p>
      <w:pPr>
        <w:pStyle w:val="Heading2"/>
      </w:pPr>
      <w:r>
        <w:t xml:space="preserve">Discussion</w:t>
      </w:r>
    </w:p>
    <w:p>
      <w:pPr>
        <w:pStyle w:val="FirstParagraph"/>
      </w:pP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exhibit a wide range of phenotypic diversity.</w:t>
      </w:r>
      <w:r>
        <w:t xml:space="preserve"> </w:t>
      </w:r>
      <w:r>
        <w:t xml:space="preserve">This diversity was evident in the GRIN phenotypic records for these species.</w:t>
      </w:r>
      <w:r>
        <w:t xml:space="preserve"> </w:t>
      </w:r>
      <w:r>
        <w:t xml:space="preserve">We have demonstrated that there is also a wide range of genetic diversity through</w:t>
      </w:r>
      <w:r>
        <w:t xml:space="preserve"> </w:t>
      </w:r>
      <w:r>
        <w:t xml:space="preserve">genotyping-by-sequencing and genetic analysis of available specimens from</w:t>
      </w:r>
      <w:r>
        <w:t xml:space="preserve"> </w:t>
      </w:r>
      <w:r>
        <w:t xml:space="preserve">the germplasm collections. Thousands to tens of thousands of whole-genome markers</w:t>
      </w:r>
      <w:r>
        <w:t xml:space="preserve"> </w:t>
      </w:r>
      <w:r>
        <w:t xml:space="preserve">where discovered for each species. Clustering of samples and admixture analysis</w:t>
      </w:r>
      <w:r>
        <w:t xml:space="preserve"> </w:t>
      </w:r>
      <w:r>
        <w:t xml:space="preserve">produced results that align closely with known secondary centers of origin in all species.</w:t>
      </w:r>
      <w:r>
        <w:t xml:space="preserve"> </w:t>
      </w:r>
      <w:r>
        <w:t xml:space="preserve">This was especially clear in our analysis of the</w:t>
      </w:r>
      <w:r>
        <w:t xml:space="preserve"> </w:t>
      </w:r>
      <w:r>
        <w:rPr>
          <w:iCs/>
          <w:i/>
        </w:rPr>
        <w:t xml:space="preserve">Cucurbita pepo</w:t>
      </w:r>
      <w:r>
        <w:t xml:space="preserve"> </w:t>
      </w:r>
      <w:r>
        <w:t xml:space="preserve">collection.</w:t>
      </w:r>
      <w:r>
        <w:t xml:space="preserve"> </w:t>
      </w:r>
      <w:r>
        <w:rPr>
          <w:iCs/>
          <w:i/>
        </w:rPr>
        <w:t xml:space="preserve">Cucurbita pepo</w:t>
      </w:r>
      <w:r>
        <w:t xml:space="preserve"> </w:t>
      </w:r>
      <w:r>
        <w:t xml:space="preserve">has its origin in the new world, with a secondary center of</w:t>
      </w:r>
      <w:r>
        <w:t xml:space="preserve"> </w:t>
      </w:r>
      <w:r>
        <w:t xml:space="preserve">diversification in Europe. This pattern was conspicuous in the our PCA analysis.</w:t>
      </w:r>
      <w:r>
        <w:br/>
      </w:r>
      <w:r>
        <w:t xml:space="preserve">Phylogenetic anlaysis of</w:t>
      </w:r>
      <w:r>
        <w:t xml:space="preserve"> </w:t>
      </w:r>
      <w:r>
        <w:rPr>
          <w:iCs/>
          <w:i/>
        </w:rPr>
        <w:t xml:space="preserve">Cucurbita pepo</w:t>
      </w:r>
      <w:r>
        <w:t xml:space="preserve"> </w:t>
      </w:r>
      <w:r>
        <w:t xml:space="preserve">using the whole-genome</w:t>
      </w:r>
      <w:r>
        <w:t xml:space="preserve"> </w:t>
      </w:r>
      <w:r>
        <w:t xml:space="preserve">markers also supported the known relationships between the various subspecies in</w:t>
      </w:r>
      <w:r>
        <w:t xml:space="preserve"> </w:t>
      </w:r>
      <w:r>
        <w:rPr>
          <w:iCs/>
          <w:i/>
        </w:rPr>
        <w:t xml:space="preserve">pepo</w:t>
      </w:r>
      <w:r>
        <w:t xml:space="preserve">.</w:t>
      </w:r>
      <w:r>
        <w:t xml:space="preserve"> </w:t>
      </w:r>
      <w:r>
        <w:t xml:space="preserve">Together with the mapping of a putative bush gene (</w:t>
      </w:r>
      <w:r>
        <w:rPr>
          <w:iCs/>
          <w:i/>
        </w:rPr>
        <w:t xml:space="preserve">Bu</w:t>
      </w:r>
      <w:r>
        <w:t xml:space="preserve">) that appears to be syntenic</w:t>
      </w:r>
      <w:r>
        <w:t xml:space="preserve"> </w:t>
      </w:r>
      <w:r>
        <w:t xml:space="preserve">with the bush gene mapped in</w:t>
      </w:r>
      <w:r>
        <w:t xml:space="preserve"> </w:t>
      </w:r>
      <w:r>
        <w:rPr>
          <w:iCs/>
          <w:i/>
        </w:rPr>
        <w:t xml:space="preserve">C. maxima</w:t>
      </w:r>
      <w:r>
        <w:t xml:space="preserve">, we have demonstrated that these data</w:t>
      </w:r>
      <w:r>
        <w:t xml:space="preserve"> </w:t>
      </w:r>
      <w:r>
        <w:t xml:space="preserve">constitute a new, high quality genetic resource for the Cucurbit community.</w:t>
      </w:r>
      <w:r>
        <w:t xml:space="preserve"> </w:t>
      </w:r>
      <w:r>
        <w:t xml:space="preserve">These markers and our analysis of available germplasm</w:t>
      </w:r>
      <w:r>
        <w:t xml:space="preserve"> </w:t>
      </w:r>
      <w:r>
        <w:t xml:space="preserve">have a number of uses for breeding and future experments</w:t>
      </w:r>
      <w:r>
        <w:t xml:space="preserve"> </w:t>
      </w:r>
      <w:r>
        <w:t xml:space="preserve">aimed at biological insight.</w:t>
      </w:r>
    </w:p>
    <w:p>
      <w:pPr>
        <w:pStyle w:val="BodyText"/>
      </w:pPr>
      <w:r>
        <w:t xml:space="preserve">Our data provides many genome-wise markers which could be used to</w:t>
      </w:r>
      <w:r>
        <w:t xml:space="preserve"> </w:t>
      </w:r>
      <w:r>
        <w:t xml:space="preserve">develop marker panels for use in breeding applications, as has been done in</w:t>
      </w:r>
      <w:r>
        <w:t xml:space="preserve"> </w:t>
      </w:r>
      <w:r>
        <w:t xml:space="preserve">other crops</w:t>
      </w:r>
      <w:r>
        <w:t xml:space="preserve"> </w:t>
      </w:r>
      <w:r>
        <w:t xml:space="preserve">[</w:t>
      </w:r>
      <w:hyperlink w:anchor="ref-w9iJFFjP">
        <w:r>
          <w:rPr>
            <w:rStyle w:val="Hyperlink"/>
          </w:rPr>
          <w:t xml:space="preserve">36</w:t>
        </w:r>
      </w:hyperlink>
      <w:r>
        <w:t xml:space="preserve">]</w:t>
      </w:r>
      <w:r>
        <w:t xml:space="preserve">.</w:t>
      </w:r>
      <w:r>
        <w:t xml:space="preserve"> </w:t>
      </w:r>
      <w:r>
        <w:t xml:space="preserve">Possible breeding applications would include marker assisted selection,</w:t>
      </w:r>
      <w:r>
        <w:t xml:space="preserve"> </w:t>
      </w:r>
      <w:r>
        <w:t xml:space="preserve">marker assisted backcrossing, and purity assessment of seedstock using a low density panel;</w:t>
      </w:r>
      <w:r>
        <w:t xml:space="preserve"> </w:t>
      </w:r>
      <w:r>
        <w:t xml:space="preserve">whereas, a medium density panel could be developed for routine genomic selection. Our clustering</w:t>
      </w:r>
      <w:r>
        <w:t xml:space="preserve"> </w:t>
      </w:r>
      <w:r>
        <w:t xml:space="preserve">of samples based on marker data suggest geography is a key driver for overall population</w:t>
      </w:r>
      <w:r>
        <w:t xml:space="preserve"> </w:t>
      </w:r>
      <w:r>
        <w:t xml:space="preserve">structure. When projecting ancestry proportions onto cultivars of known market classes, the ancestry</w:t>
      </w:r>
      <w:r>
        <w:t xml:space="preserve"> </w:t>
      </w:r>
      <w:r>
        <w:t xml:space="preserve">proportions were relatively similar within market class grouping. Although there is genetic diversity</w:t>
      </w:r>
      <w:r>
        <w:t xml:space="preserve"> </w:t>
      </w:r>
      <w:r>
        <w:t xml:space="preserve">within each species, this diversity is constrained within market classes. This suggests that</w:t>
      </w:r>
      <w:r>
        <w:t xml:space="preserve"> </w:t>
      </w:r>
      <w:r>
        <w:t xml:space="preserve">crosses between these market classes would greatly increase the amount of genetic diversity</w:t>
      </w:r>
      <w:r>
        <w:t xml:space="preserve"> </w:t>
      </w:r>
      <w:r>
        <w:t xml:space="preserve">to be leveraged in breeding efforts. Crossing between market classes would come at</w:t>
      </w:r>
      <w:r>
        <w:t xml:space="preserve"> </w:t>
      </w:r>
      <w:r>
        <w:t xml:space="preserve">the cost of bringing in undesirable characteristics with regards to achieving a specific</w:t>
      </w:r>
      <w:r>
        <w:t xml:space="preserve"> </w:t>
      </w:r>
      <w:r>
        <w:t xml:space="preserve">morpho-type associated market class. This cost could be mitgated through the use of</w:t>
      </w:r>
      <w:r>
        <w:t xml:space="preserve"> </w:t>
      </w:r>
      <w:r>
        <w:t xml:space="preserve">markers to recover morpho-type expediciously during pre-breeding. Ultimately, the</w:t>
      </w:r>
      <w:r>
        <w:t xml:space="preserve"> </w:t>
      </w:r>
      <w:r>
        <w:t xml:space="preserve">judicious infusion of diversity into a breeding program is necessary for</w:t>
      </w:r>
      <w:r>
        <w:t xml:space="preserve"> </w:t>
      </w:r>
      <w:r>
        <w:t xml:space="preserve">sustaining long-term gain.</w:t>
      </w:r>
    </w:p>
    <w:p>
      <w:pPr>
        <w:pStyle w:val="BodyText"/>
      </w:pPr>
      <w:r>
        <w:t xml:space="preserve">Genomic selection (GS) was proposed over twenty years ago</w:t>
      </w:r>
      <w:r>
        <w:t xml:space="preserve"> </w:t>
      </w:r>
      <w:r>
        <w:t xml:space="preserve">[</w:t>
      </w:r>
      <w:hyperlink w:anchor="ref-zuq8ri4R">
        <w:r>
          <w:rPr>
            <w:rStyle w:val="Hyperlink"/>
          </w:rPr>
          <w:t xml:space="preserve">37</w:t>
        </w:r>
      </w:hyperlink>
      <w:r>
        <w:t xml:space="preserve">]</w:t>
      </w:r>
      <w:r>
        <w:t xml:space="preserve">,</w:t>
      </w:r>
      <w:r>
        <w:t xml:space="preserve"> </w:t>
      </w:r>
      <w:r>
        <w:t xml:space="preserve">and has since become a standard breeding technique.</w:t>
      </w:r>
      <w:r>
        <w:t xml:space="preserve"> </w:t>
      </w:r>
      <w:r>
        <w:t xml:space="preserve">Yet, to our knowledge, GS is not used to any</w:t>
      </w:r>
      <w:r>
        <w:t xml:space="preserve"> </w:t>
      </w:r>
      <w:r>
        <w:t xml:space="preserve">appreciable degree by applied breeding programs working with</w:t>
      </w:r>
      <w:r>
        <w:t xml:space="preserve"> </w:t>
      </w:r>
      <w:r>
        <w:t xml:space="preserve">cucurbits. Studies specifically looking at GS in squash have demonstrated, as with</w:t>
      </w:r>
      <w:r>
        <w:t xml:space="preserve"> </w:t>
      </w:r>
      <w:r>
        <w:t xml:space="preserve">every other crop, that GS is a viable breeding method; although</w:t>
      </w:r>
      <w:r>
        <w:t xml:space="preserve"> </w:t>
      </w:r>
      <w:r>
        <w:t xml:space="preserve">the specific implementation may vary for each program and must take into</w:t>
      </w:r>
      <w:r>
        <w:t xml:space="preserve"> </w:t>
      </w:r>
      <w:r>
        <w:t xml:space="preserve">account the nature of the trait being predicted</w:t>
      </w:r>
      <w:r>
        <w:t xml:space="preserve"> </w:t>
      </w:r>
      <w:r>
        <w:t xml:space="preserve">[</w:t>
      </w:r>
      <w:hyperlink w:anchor="ref-cccKQqlH">
        <w:r>
          <w:rPr>
            <w:rStyle w:val="Hyperlink"/>
          </w:rPr>
          <w:t xml:space="preserve">9</w:t>
        </w:r>
      </w:hyperlink>
      <w:r>
        <w:t xml:space="preserve">,</w:t>
      </w:r>
      <w:hyperlink w:anchor="ref-AmPX0wxj">
        <w:r>
          <w:rPr>
            <w:rStyle w:val="Hyperlink"/>
          </w:rPr>
          <w:t xml:space="preserve">11</w:t>
        </w:r>
      </w:hyperlink>
      <w:r>
        <w:t xml:space="preserve">,</w:t>
      </w:r>
      <w:hyperlink w:anchor="ref-1Bk2DOimZ">
        <w:r>
          <w:rPr>
            <w:rStyle w:val="Hyperlink"/>
          </w:rPr>
          <w:t xml:space="preserve">38</w:t>
        </w:r>
      </w:hyperlink>
      <w:r>
        <w:t xml:space="preserve">]</w:t>
      </w:r>
      <w:r>
        <w:t xml:space="preserve">. Since</w:t>
      </w:r>
      <w:r>
        <w:t xml:space="preserve"> </w:t>
      </w:r>
      <w:r>
        <w:t xml:space="preserve">cucurbit crops are more space-limited than seed-limited, a predict-part-test-part or sparse</w:t>
      </w:r>
      <w:r>
        <w:t xml:space="preserve"> </w:t>
      </w:r>
      <w:r>
        <w:t xml:space="preserve">testing strategy is potentially an even more efficient strategy in cucurbits</w:t>
      </w:r>
      <w:r>
        <w:t xml:space="preserve"> </w:t>
      </w:r>
      <w:r>
        <w:t xml:space="preserve">than it has been shown to be in grain crops</w:t>
      </w:r>
      <w:r>
        <w:t xml:space="preserve"> </w:t>
      </w:r>
      <w:r>
        <w:t xml:space="preserve">[</w:t>
      </w:r>
      <w:hyperlink w:anchor="ref-ZvdSTcI9">
        <w:r>
          <w:rPr>
            <w:rStyle w:val="Hyperlink"/>
          </w:rPr>
          <w:t xml:space="preserve">39</w:t>
        </w:r>
      </w:hyperlink>
      <w:r>
        <w:t xml:space="preserve">]</w:t>
      </w:r>
      <w:r>
        <w:t xml:space="preserve">.</w:t>
      </w:r>
      <w:r>
        <w:t xml:space="preserve"> </w:t>
      </w:r>
      <w:r>
        <w:t xml:space="preserve">Selective phenotyping of resource-intensive quality traits based on marker data to enable prediction</w:t>
      </w:r>
      <w:r>
        <w:t xml:space="preserve"> </w:t>
      </w:r>
      <w:r>
        <w:t xml:space="preserve">is also low-hanging fruit. Our work lowers the barrier to entry for GS in squash,</w:t>
      </w:r>
      <w:r>
        <w:t xml:space="preserve"> </w:t>
      </w:r>
      <w:r>
        <w:t xml:space="preserve">as it provides a set of markers that can be filtered idependently by interested breeding programs,</w:t>
      </w:r>
      <w:r>
        <w:t xml:space="preserve"> </w:t>
      </w:r>
      <w:r>
        <w:t xml:space="preserve">rapidly convered into an amplicon-based assay, and tested in target germplasm. This set</w:t>
      </w:r>
      <w:r>
        <w:t xml:space="preserve"> </w:t>
      </w:r>
      <w:r>
        <w:t xml:space="preserve">can then be used for routine genotyping, which is a necessary first step towards implementing</w:t>
      </w:r>
      <w:r>
        <w:t xml:space="preserve"> </w:t>
      </w:r>
      <w:r>
        <w:t xml:space="preserve">GS</w:t>
      </w:r>
      <w:r>
        <w:t xml:space="preserve"> </w:t>
      </w:r>
      <w:r>
        <w:t xml:space="preserve">[</w:t>
      </w:r>
      <w:hyperlink w:anchor="ref-6QvaEUvI">
        <w:r>
          <w:rPr>
            <w:rStyle w:val="Hyperlink"/>
          </w:rPr>
          <w:t xml:space="preserve">40</w:t>
        </w:r>
      </w:hyperlink>
      <w:r>
        <w:t xml:space="preserve">]</w:t>
      </w:r>
      <w:r>
        <w:t xml:space="preserve">.</w:t>
      </w:r>
    </w:p>
    <w:p>
      <w:pPr>
        <w:pStyle w:val="BodyText"/>
      </w:pPr>
      <w:r>
        <w:t xml:space="preserve">At the interface of breeding and biology lies the phenomena of heterosis in squash.</w:t>
      </w:r>
      <w:r>
        <w:t xml:space="preserve"> </w:t>
      </w:r>
      <w:r>
        <w:t xml:space="preserve">Although there is some evidence of heterosis in squash, the basis of this</w:t>
      </w:r>
      <w:r>
        <w:t xml:space="preserve"> </w:t>
      </w:r>
      <w:r>
        <w:t xml:space="preserve">heterosis is not well understood. Unlike many other outcrossing monoicous crops such</w:t>
      </w:r>
      <w:r>
        <w:t xml:space="preserve"> </w:t>
      </w:r>
      <w:r>
        <w:t xml:space="preserve">as, maize and onion, cultivars from Cucurbita,</w:t>
      </w:r>
      <w:r>
        <w:t xml:space="preserve"> </w:t>
      </w:r>
      <w:r>
        <w:t xml:space="preserve">similar to sunflower, do not suffer from debilatating inbreeding.</w:t>
      </w:r>
      <w:r>
        <w:t xml:space="preserve"> </w:t>
      </w:r>
      <w:r>
        <w:t xml:space="preserve">With little inbreeding depression, it would stand that little better-parent heterosis</w:t>
      </w:r>
      <w:r>
        <w:t xml:space="preserve"> </w:t>
      </w:r>
      <w:r>
        <w:t xml:space="preserve">would be expected under the dominance theory of heterosis.</w:t>
      </w:r>
      <w:r>
        <w:t xml:space="preserve"> </w:t>
      </w:r>
      <w:r>
        <w:t xml:space="preserve">Initial papers suggested that inbreeding in Cucurbita may not simply reduce</w:t>
      </w:r>
      <w:r>
        <w:t xml:space="preserve"> </w:t>
      </w:r>
      <w:r>
        <w:t xml:space="preserve">yield as inbred varieties have the capacity to compete with commercial check cultivars;</w:t>
      </w:r>
      <w:r>
        <w:t xml:space="preserve"> </w:t>
      </w:r>
      <w:r>
        <w:t xml:space="preserve">however, better-parent heterosis has been observed in a</w:t>
      </w:r>
      <w:r>
        <w:t xml:space="preserve"> </w:t>
      </w:r>
      <w:r>
        <w:rPr>
          <w:iCs/>
          <w:i/>
        </w:rPr>
        <w:t xml:space="preserve">C. pepo</w:t>
      </w:r>
      <w:r>
        <w:t xml:space="preserve"> </w:t>
      </w:r>
      <w:r>
        <w:t xml:space="preserve">and</w:t>
      </w:r>
      <w:r>
        <w:t xml:space="preserve"> </w:t>
      </w:r>
      <w:r>
        <w:rPr>
          <w:iCs/>
          <w:i/>
        </w:rPr>
        <w:t xml:space="preserve">C. maxima</w:t>
      </w:r>
      <w:r>
        <w:t xml:space="preserve">.</w:t>
      </w:r>
      <w:r>
        <w:t xml:space="preserve"> </w:t>
      </w:r>
      <w:r>
        <w:t xml:space="preserve">Further, interspecific-heterosis has been observed at the gene-expression</w:t>
      </w:r>
      <w:r>
        <w:t xml:space="preserve"> </w:t>
      </w:r>
      <w:r>
        <w:t xml:space="preserve">level in</w:t>
      </w:r>
      <w:r>
        <w:t xml:space="preserve"> </w:t>
      </w:r>
      <w:r>
        <w:rPr>
          <w:iCs/>
          <w:i/>
        </w:rPr>
        <w:t xml:space="preserve">C moschata</w:t>
      </w:r>
      <w:r>
        <w:t xml:space="preserve"> </w:t>
      </w:r>
      <w:r>
        <w:t xml:space="preserve">x</w:t>
      </w:r>
      <w:r>
        <w:t xml:space="preserve"> </w:t>
      </w:r>
      <w:r>
        <w:rPr>
          <w:iCs/>
          <w:i/>
        </w:rPr>
        <w:t xml:space="preserve">C. maxima</w:t>
      </w:r>
      <w:r>
        <w:t xml:space="preserve"> </w:t>
      </w:r>
      <w:r>
        <w:t xml:space="preserve">hybrids</w:t>
      </w:r>
      <w:r>
        <w:t xml:space="preserve"> </w:t>
      </w:r>
      <w:r>
        <w:t xml:space="preserve">[</w:t>
      </w:r>
      <w:hyperlink w:anchor="ref-42uqqDAI">
        <w:r>
          <w:rPr>
            <w:rStyle w:val="Hyperlink"/>
          </w:rPr>
          <w:t xml:space="preserve">4</w:t>
        </w:r>
      </w:hyperlink>
      <w:r>
        <w:t xml:space="preserve">]</w:t>
      </w:r>
      <w:r>
        <w:t xml:space="preserve">.</w:t>
      </w:r>
      <w:r>
        <w:t xml:space="preserve"> </w:t>
      </w:r>
      <w:r>
        <w:t xml:space="preserve">Anecdotally, interspecific crosses have led to the production of commercially</w:t>
      </w:r>
      <w:r>
        <w:t xml:space="preserve"> </w:t>
      </w:r>
      <w:r>
        <w:t xml:space="preserve">successful cultivars</w:t>
      </w:r>
      <w:r>
        <w:t xml:space="preserve"> </w:t>
      </w:r>
      <w:r>
        <w:t xml:space="preserve">[</w:t>
      </w:r>
      <w:hyperlink w:anchor="ref-1djkZ3cX">
        <w:r>
          <w:rPr>
            <w:rStyle w:val="Hyperlink"/>
          </w:rPr>
          <w:t xml:space="preserve">41</w:t>
        </w:r>
      </w:hyperlink>
      <w:r>
        <w:t xml:space="preserve">]</w:t>
      </w:r>
      <w:r>
        <w:t xml:space="preserve">. The genetic groups</w:t>
      </w:r>
      <w:r>
        <w:t xml:space="preserve"> </w:t>
      </w:r>
      <w:r>
        <w:t xml:space="preserve">identified in this study could help direct the development of heterotic groups</w:t>
      </w:r>
      <w:r>
        <w:t xml:space="preserve"> </w:t>
      </w:r>
      <w:r>
        <w:t xml:space="preserve">and the study of heterosis in squash. Although, there is little evidence</w:t>
      </w:r>
      <w:r>
        <w:t xml:space="preserve"> </w:t>
      </w:r>
      <w:r>
        <w:t xml:space="preserve">that crossing between genetically differentiated groups leads to heterosis,</w:t>
      </w:r>
      <w:r>
        <w:t xml:space="preserve"> </w:t>
      </w:r>
      <w:r>
        <w:t xml:space="preserve">these groupings can nonetheless be used to guide the initial formation of heterotic</w:t>
      </w:r>
      <w:r>
        <w:t xml:space="preserve"> </w:t>
      </w:r>
      <w:r>
        <w:t xml:space="preserve">groups. Reciprical recurrent selection will likely be necessary to develop true</w:t>
      </w:r>
      <w:r>
        <w:t xml:space="preserve"> </w:t>
      </w:r>
      <w:r>
        <w:t xml:space="preserve">heterotic groups.</w:t>
      </w:r>
    </w:p>
    <w:p>
      <w:pPr>
        <w:pStyle w:val="BodyText"/>
      </w:pPr>
      <w:r>
        <w:t xml:space="preserve">Our data provides a useful starting point for association studies. In the case where</w:t>
      </w:r>
      <w:r>
        <w:t xml:space="preserve"> </w:t>
      </w:r>
      <w:r>
        <w:t xml:space="preserve">traits are common in the panel, the panel can be phenotyped for a trait of interest and</w:t>
      </w:r>
      <w:r>
        <w:t xml:space="preserve"> </w:t>
      </w:r>
      <w:r>
        <w:t xml:space="preserve">combined with marker data and insight provided by our study.</w:t>
      </w:r>
      <w:r>
        <w:t xml:space="preserve"> </w:t>
      </w:r>
      <w:r>
        <w:t xml:space="preserve">We demonstrated this approach in our association analysis of the bush</w:t>
      </w:r>
      <w:r>
        <w:t xml:space="preserve"> </w:t>
      </w:r>
      <w:r>
        <w:t xml:space="preserve">gene. In the case of a rare phenotype, such as a resistance gene, subsets of the germplasm</w:t>
      </w:r>
      <w:r>
        <w:t xml:space="preserve"> </w:t>
      </w:r>
      <w:r>
        <w:t xml:space="preserve">and markers should be used to develop custom populations. Plant</w:t>
      </w:r>
      <w:r>
        <w:t xml:space="preserve"> </w:t>
      </w:r>
      <w:r>
        <w:t xml:space="preserve">introductions (PI) are frequently used as source parents in mapping studies and for germplasm</w:t>
      </w:r>
      <w:r>
        <w:t xml:space="preserve"> </w:t>
      </w:r>
      <w:r>
        <w:t xml:space="preserve">improvement, as was the case for mapping Phytophthora resistance and developing resistant</w:t>
      </w:r>
      <w:r>
        <w:t xml:space="preserve"> </w:t>
      </w:r>
      <w:r>
        <w:t xml:space="preserve">breeding lines</w:t>
      </w:r>
      <w:r>
        <w:t xml:space="preserve"> </w:t>
      </w:r>
      <w:r>
        <w:t xml:space="preserve">[</w:t>
      </w:r>
      <w:hyperlink w:anchor="ref-19dH3oEl">
        <w:r>
          <w:rPr>
            <w:rStyle w:val="Hyperlink"/>
          </w:rPr>
          <w:t xml:space="preserve">42</w:t>
        </w:r>
      </w:hyperlink>
      <w:r>
        <w:t xml:space="preserve">,</w:t>
      </w:r>
      <w:hyperlink w:anchor="ref-1Fqob4Pjw">
        <w:r>
          <w:rPr>
            <w:rStyle w:val="Hyperlink"/>
          </w:rPr>
          <w:t xml:space="preserve">43</w:t>
        </w:r>
      </w:hyperlink>
      <w:r>
        <w:t xml:space="preserve">]</w:t>
      </w:r>
      <w:r>
        <w:t xml:space="preserve">. Further, if</w:t>
      </w:r>
      <w:r>
        <w:t xml:space="preserve"> </w:t>
      </w:r>
      <w:r>
        <w:t xml:space="preserve">a trait segregates closely with population sructure, as was the case for seed size in</w:t>
      </w:r>
      <w:r>
        <w:t xml:space="preserve"> </w:t>
      </w:r>
      <w:r>
        <w:rPr>
          <w:iCs/>
          <w:i/>
        </w:rPr>
        <w:t xml:space="preserve">C. pepo</w:t>
      </w:r>
      <w:r>
        <w:t xml:space="preserve"> </w:t>
      </w:r>
      <w:r>
        <w:t xml:space="preserve">and maturity in</w:t>
      </w:r>
      <w:r>
        <w:t xml:space="preserve"> </w:t>
      </w:r>
      <w:r>
        <w:rPr>
          <w:iCs/>
          <w:i/>
        </w:rPr>
        <w:t xml:space="preserve">C. moschata</w:t>
      </w:r>
      <w:r>
        <w:t xml:space="preserve">, this would indicate that populations should be formed</w:t>
      </w:r>
      <w:r>
        <w:t xml:space="preserve"> </w:t>
      </w:r>
      <w:r>
        <w:t xml:space="preserve">by crossing between the groups identified to remove the confounding effects of population</w:t>
      </w:r>
      <w:r>
        <w:t xml:space="preserve"> </w:t>
      </w:r>
      <w:r>
        <w:t xml:space="preserve">structure</w:t>
      </w:r>
      <w:r>
        <w:t xml:space="preserve"> </w:t>
      </w:r>
      <w:r>
        <w:t xml:space="preserve">[</w:t>
      </w:r>
      <w:hyperlink w:anchor="ref-mlGzjIQ0">
        <w:r>
          <w:rPr>
            <w:rStyle w:val="Hyperlink"/>
          </w:rPr>
          <w:t xml:space="preserve">44</w:t>
        </w:r>
      </w:hyperlink>
      <w:r>
        <w:t xml:space="preserve">]</w:t>
      </w:r>
      <w:r>
        <w:t xml:space="preserve">. When</w:t>
      </w:r>
      <w:r>
        <w:t xml:space="preserve"> </w:t>
      </w:r>
      <w:r>
        <w:t xml:space="preserve">higher density genotyping may be necessary or the PIs are not well charaterized for a</w:t>
      </w:r>
      <w:r>
        <w:t xml:space="preserve"> </w:t>
      </w:r>
      <w:r>
        <w:t xml:space="preserve">trait of interest, the data generated in this study can be used to prioritize accessions for</w:t>
      </w:r>
      <w:r>
        <w:t xml:space="preserve"> </w:t>
      </w:r>
      <w:r>
        <w:t xml:space="preserve">re-sequencing and phentyping. Our GenoCore analysis provides a subset of several hundred</w:t>
      </w:r>
      <w:r>
        <w:t xml:space="preserve"> </w:t>
      </w:r>
      <w:r>
        <w:t xml:space="preserve">accessions that would likely be informative for re-sequencing efforts.</w:t>
      </w:r>
    </w:p>
    <w:bookmarkEnd w:id="55"/>
    <w:bookmarkStart w:id="59" w:name="supplemental-figures"/>
    <w:p>
      <w:pPr>
        <w:pStyle w:val="Heading2"/>
      </w:pPr>
      <w:r>
        <w:t xml:space="preserve">Supplemental Figures</w:t>
      </w:r>
    </w:p>
    <w:bookmarkStart w:id="0" w:name="fig:cv"/>
    <w:p>
      <w:pPr>
        <w:pStyle w:val="CaptionedFigure"/>
      </w:pPr>
      <w:bookmarkStart w:id="57" w:name="fig:cv"/>
      <w:r>
        <w:drawing>
          <wp:inline>
            <wp:extent cx="5943600" cy="3462147"/>
            <wp:effectExtent b="0" l="0" r="0" t="0"/>
            <wp:docPr descr="Figure 6: Cross-validation error plots used to pick the optimum K value for admixture analysis. The K value that minimizes cross-validation error, and thus chosen for the final analysis, is labeled with a red point." title="" id="1" name="Picture"/>
            <a:graphic>
              <a:graphicData uri="http://schemas.openxmlformats.org/drawingml/2006/picture">
                <pic:pic>
                  <pic:nvPicPr>
                    <pic:cNvPr descr="images/error_plots.png" id="0" name="Picture"/>
                    <pic:cNvPicPr>
                      <a:picLocks noChangeArrowheads="1" noChangeAspect="1"/>
                    </pic:cNvPicPr>
                  </pic:nvPicPr>
                  <pic:blipFill>
                    <a:blip r:embed="rId56"/>
                    <a:stretch>
                      <a:fillRect/>
                    </a:stretch>
                  </pic:blipFill>
                  <pic:spPr bwMode="auto">
                    <a:xfrm>
                      <a:off x="0" y="0"/>
                      <a:ext cx="5943600" cy="3462147"/>
                    </a:xfrm>
                    <a:prstGeom prst="rect">
                      <a:avLst/>
                    </a:prstGeom>
                    <a:noFill/>
                    <a:ln w="9525">
                      <a:noFill/>
                      <a:headEnd/>
                      <a:tailEnd/>
                    </a:ln>
                  </pic:spPr>
                </pic:pic>
              </a:graphicData>
            </a:graphic>
          </wp:inline>
        </w:drawing>
      </w:r>
      <w:bookmarkEnd w:id="57"/>
    </w:p>
    <w:p>
      <w:pPr>
        <w:pStyle w:val="ImageCaption"/>
      </w:pPr>
      <w:r>
        <w:t xml:space="preserve">Figure 6: Cross-validation error plots used to pick the optimum K value for admixture analysis. The K value that minimizes cross-validation error, and thus chosen for the final analysis, is labeled with a red point.</w:t>
      </w:r>
    </w:p>
    <w:bookmarkEnd w:id="0"/>
    <w:p>
      <w:pPr>
        <w:pStyle w:val="CaptionedFigure"/>
      </w:pPr>
      <w:r>
        <w:drawing>
          <wp:inline>
            <wp:extent cx="5943600" cy="5193220"/>
            <wp:effectExtent b="0" l="0" r="0" t="0"/>
            <wp:docPr descr="Results from running GenoCore in each of the panels. Panel A shows the PCA plots for each panel with accessions selected by GenoCore represented as black points. Panel B shows the proportion of total accessions needed to obtain a certain coverage of diversity." title="" id="1" name="Picture"/>
            <a:graphic>
              <a:graphicData uri="http://schemas.openxmlformats.org/drawingml/2006/picture">
                <pic:pic>
                  <pic:nvPicPr>
                    <pic:cNvPr descr="images/core_plot.png" id="0" name="Picture"/>
                    <pic:cNvPicPr>
                      <a:picLocks noChangeArrowheads="1" noChangeAspect="1"/>
                    </pic:cNvPicPr>
                  </pic:nvPicPr>
                  <pic:blipFill>
                    <a:blip r:embed="rId58"/>
                    <a:stretch>
                      <a:fillRect/>
                    </a:stretch>
                  </pic:blipFill>
                  <pic:spPr bwMode="auto">
                    <a:xfrm>
                      <a:off x="0" y="0"/>
                      <a:ext cx="5943600" cy="5193220"/>
                    </a:xfrm>
                    <a:prstGeom prst="rect">
                      <a:avLst/>
                    </a:prstGeom>
                    <a:noFill/>
                    <a:ln w="9525">
                      <a:noFill/>
                      <a:headEnd/>
                      <a:tailEnd/>
                    </a:ln>
                  </pic:spPr>
                </pic:pic>
              </a:graphicData>
            </a:graphic>
          </wp:inline>
        </w:drawing>
      </w:r>
    </w:p>
    <w:p>
      <w:pPr>
        <w:pStyle w:val="ImageCaption"/>
      </w:pPr>
      <w:r>
        <w:t xml:space="preserve">Results from running GenoCore in each of the panels. Panel A shows the PCA plots for each panel with accessions selected by GenoCore represented as black points. Panel B shows the proportion of total accessions needed to obtain a certain coverage of diversity.</w:t>
      </w:r>
    </w:p>
    <w:bookmarkEnd w:id="59"/>
    <w:bookmarkStart w:id="251" w:name="references"/>
    <w:p>
      <w:pPr>
        <w:pStyle w:val="Heading2"/>
      </w:pPr>
      <w:r>
        <w:t xml:space="preserve">References</w:t>
      </w:r>
    </w:p>
    <w:bookmarkStart w:id="250" w:name="refs"/>
    <w:bookmarkStart w:id="62"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60">
        <w:r>
          <w:rPr>
            <w:rStyle w:val="Hyperlink"/>
          </w:rPr>
          <w:t xml:space="preserve">https://doi.org/dmqkmf</w:t>
        </w:r>
      </w:hyperlink>
      <w:r>
        <w:t xml:space="preserve"> </w:t>
      </w:r>
      <w:r>
        <w:t xml:space="preserve">DOI:</w:t>
      </w:r>
      <w:r>
        <w:t xml:space="preserve"> </w:t>
      </w:r>
      <w:hyperlink r:id="rId61">
        <w:r>
          <w:rPr>
            <w:rStyle w:val="Hyperlink"/>
          </w:rPr>
          <w:t xml:space="preserve">10.1007/978-0-387-30443-4_10</w:t>
        </w:r>
      </w:hyperlink>
    </w:p>
    <w:bookmarkEnd w:id="62"/>
    <w:bookmarkStart w:id="65"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63">
        <w:r>
          <w:rPr>
            <w:rStyle w:val="Hyperlink"/>
          </w:rPr>
          <w:t xml:space="preserve">https://doi.org/gmkkfh</w:t>
        </w:r>
      </w:hyperlink>
      <w:r>
        <w:t xml:space="preserve"> </w:t>
      </w:r>
      <w:r>
        <w:t xml:space="preserve">DOI:</w:t>
      </w:r>
      <w:r>
        <w:t xml:space="preserve"> </w:t>
      </w:r>
      <w:hyperlink r:id="rId64">
        <w:r>
          <w:rPr>
            <w:rStyle w:val="Hyperlink"/>
          </w:rPr>
          <w:t xml:space="preserve">10.21273/hortsci.40.6.1620</w:t>
        </w:r>
      </w:hyperlink>
    </w:p>
    <w:bookmarkEnd w:id="65"/>
    <w:bookmarkStart w:id="69"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6">
        <w:r>
          <w:rPr>
            <w:rStyle w:val="Hyperlink"/>
          </w:rPr>
          <w:t xml:space="preserve">https://doi.org/gsg7</w:t>
        </w:r>
      </w:hyperlink>
      <w:r>
        <w:t xml:space="preserve"> </w:t>
      </w:r>
      <w:r>
        <w:t xml:space="preserve">DOI:</w:t>
      </w:r>
      <w:r>
        <w:t xml:space="preserve"> </w:t>
      </w:r>
      <w:hyperlink r:id="rId67">
        <w:r>
          <w:rPr>
            <w:rStyle w:val="Hyperlink"/>
          </w:rPr>
          <w:t xml:space="preserve">10.1111/nph.16015</w:t>
        </w:r>
      </w:hyperlink>
      <w:r>
        <w:t xml:space="preserve"> </w:t>
      </w:r>
      <w:r>
        <w:t xml:space="preserve">· PMID:</w:t>
      </w:r>
      <w:r>
        <w:t xml:space="preserve"> </w:t>
      </w:r>
      <w:hyperlink r:id="rId68">
        <w:r>
          <w:rPr>
            <w:rStyle w:val="Hyperlink"/>
          </w:rPr>
          <w:t xml:space="preserve">31230355</w:t>
        </w:r>
      </w:hyperlink>
    </w:p>
    <w:bookmarkEnd w:id="69"/>
    <w:bookmarkStart w:id="73"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70">
        <w:r>
          <w:rPr>
            <w:rStyle w:val="Hyperlink"/>
          </w:rPr>
          <w:t xml:space="preserve">https://doi.org/gb4cx2</w:t>
        </w:r>
      </w:hyperlink>
      <w:r>
        <w:t xml:space="preserve"> </w:t>
      </w:r>
      <w:r>
        <w:t xml:space="preserve">DOI:</w:t>
      </w:r>
      <w:r>
        <w:t xml:space="preserve"> </w:t>
      </w:r>
      <w:hyperlink r:id="rId71">
        <w:r>
          <w:rPr>
            <w:rStyle w:val="Hyperlink"/>
          </w:rPr>
          <w:t xml:space="preserve">10.1016/j.molp.2017.09.003</w:t>
        </w:r>
      </w:hyperlink>
      <w:r>
        <w:t xml:space="preserve"> </w:t>
      </w:r>
      <w:r>
        <w:t xml:space="preserve">· PMID:</w:t>
      </w:r>
      <w:r>
        <w:t xml:space="preserve"> </w:t>
      </w:r>
      <w:hyperlink r:id="rId72">
        <w:r>
          <w:rPr>
            <w:rStyle w:val="Hyperlink"/>
          </w:rPr>
          <w:t xml:space="preserve">28917590</w:t>
        </w:r>
      </w:hyperlink>
    </w:p>
    <w:bookmarkEnd w:id="73"/>
    <w:bookmarkStart w:id="78"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4">
        <w:r>
          <w:rPr>
            <w:rStyle w:val="Hyperlink"/>
          </w:rPr>
          <w:t xml:space="preserve">https://doi.org/gmcmq9</w:t>
        </w:r>
      </w:hyperlink>
      <w:r>
        <w:t xml:space="preserve"> </w:t>
      </w:r>
      <w:r>
        <w:t xml:space="preserve">DOI:</w:t>
      </w:r>
      <w:r>
        <w:t xml:space="preserve"> </w:t>
      </w:r>
      <w:hyperlink r:id="rId75">
        <w:r>
          <w:rPr>
            <w:rStyle w:val="Hyperlink"/>
          </w:rPr>
          <w:t xml:space="preserve">10.1093/nar/gky944</w:t>
        </w:r>
      </w:hyperlink>
      <w:r>
        <w:t xml:space="preserve"> </w:t>
      </w:r>
      <w:r>
        <w:t xml:space="preserve">· PMID:</w:t>
      </w:r>
      <w:r>
        <w:t xml:space="preserve"> </w:t>
      </w:r>
      <w:hyperlink r:id="rId76">
        <w:r>
          <w:rPr>
            <w:rStyle w:val="Hyperlink"/>
          </w:rPr>
          <w:t xml:space="preserve">30321383</w:t>
        </w:r>
      </w:hyperlink>
      <w:r>
        <w:t xml:space="preserve"> </w:t>
      </w:r>
      <w:r>
        <w:t xml:space="preserve">· PMCID:</w:t>
      </w:r>
      <w:r>
        <w:t xml:space="preserve"> </w:t>
      </w:r>
      <w:hyperlink r:id="rId77">
        <w:r>
          <w:rPr>
            <w:rStyle w:val="Hyperlink"/>
          </w:rPr>
          <w:t xml:space="preserve">PMC6324010</w:t>
        </w:r>
      </w:hyperlink>
    </w:p>
    <w:bookmarkEnd w:id="78"/>
    <w:bookmarkStart w:id="83"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9">
        <w:r>
          <w:rPr>
            <w:rStyle w:val="Hyperlink"/>
          </w:rPr>
          <w:t xml:space="preserve">https://doi.org/gmkkvf</w:t>
        </w:r>
      </w:hyperlink>
      <w:r>
        <w:t xml:space="preserve"> </w:t>
      </w:r>
      <w:r>
        <w:t xml:space="preserve">DOI:</w:t>
      </w:r>
      <w:r>
        <w:t xml:space="preserve"> </w:t>
      </w:r>
      <w:hyperlink r:id="rId80">
        <w:r>
          <w:rPr>
            <w:rStyle w:val="Hyperlink"/>
          </w:rPr>
          <w:t xml:space="preserve">10.1186/s12864-016-3439-y</w:t>
        </w:r>
      </w:hyperlink>
      <w:r>
        <w:t xml:space="preserve"> </w:t>
      </w:r>
      <w:r>
        <w:t xml:space="preserve">· PMID:</w:t>
      </w:r>
      <w:r>
        <w:t xml:space="preserve"> </w:t>
      </w:r>
      <w:hyperlink r:id="rId81">
        <w:r>
          <w:rPr>
            <w:rStyle w:val="Hyperlink"/>
          </w:rPr>
          <w:t xml:space="preserve">28100189</w:t>
        </w:r>
      </w:hyperlink>
      <w:r>
        <w:t xml:space="preserve"> </w:t>
      </w:r>
      <w:r>
        <w:t xml:space="preserve">· PMCID:</w:t>
      </w:r>
      <w:r>
        <w:t xml:space="preserve"> </w:t>
      </w:r>
      <w:hyperlink r:id="rId82">
        <w:r>
          <w:rPr>
            <w:rStyle w:val="Hyperlink"/>
          </w:rPr>
          <w:t xml:space="preserve">PMC5241963</w:t>
        </w:r>
      </w:hyperlink>
    </w:p>
    <w:bookmarkEnd w:id="83"/>
    <w:bookmarkStart w:id="88"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4">
        <w:r>
          <w:rPr>
            <w:rStyle w:val="Hyperlink"/>
          </w:rPr>
          <w:t xml:space="preserve">https://doi.org/gmkktr</w:t>
        </w:r>
      </w:hyperlink>
      <w:r>
        <w:t xml:space="preserve"> </w:t>
      </w:r>
      <w:r>
        <w:t xml:space="preserve">DOI:</w:t>
      </w:r>
      <w:r>
        <w:t xml:space="preserve"> </w:t>
      </w:r>
      <w:hyperlink r:id="rId85">
        <w:r>
          <w:rPr>
            <w:rStyle w:val="Hyperlink"/>
          </w:rPr>
          <w:t xml:space="preserve">10.1038/s41598-017-13216-3</w:t>
        </w:r>
      </w:hyperlink>
      <w:r>
        <w:t xml:space="preserve"> </w:t>
      </w:r>
      <w:r>
        <w:t xml:space="preserve">· PMID:</w:t>
      </w:r>
      <w:r>
        <w:t xml:space="preserve"> </w:t>
      </w:r>
      <w:hyperlink r:id="rId86">
        <w:r>
          <w:rPr>
            <w:rStyle w:val="Hyperlink"/>
          </w:rPr>
          <w:t xml:space="preserve">28986571</w:t>
        </w:r>
      </w:hyperlink>
      <w:r>
        <w:t xml:space="preserve"> </w:t>
      </w:r>
      <w:r>
        <w:t xml:space="preserve">· PMCID:</w:t>
      </w:r>
      <w:r>
        <w:t xml:space="preserve"> </w:t>
      </w:r>
      <w:hyperlink r:id="rId87">
        <w:r>
          <w:rPr>
            <w:rStyle w:val="Hyperlink"/>
          </w:rPr>
          <w:t xml:space="preserve">PMC5630576</w:t>
        </w:r>
      </w:hyperlink>
    </w:p>
    <w:bookmarkEnd w:id="88"/>
    <w:bookmarkStart w:id="93"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9">
        <w:r>
          <w:rPr>
            <w:rStyle w:val="Hyperlink"/>
          </w:rPr>
          <w:t xml:space="preserve">https://doi.org/gd6tc4</w:t>
        </w:r>
      </w:hyperlink>
      <w:r>
        <w:t xml:space="preserve"> </w:t>
      </w:r>
      <w:r>
        <w:t xml:space="preserve">DOI:</w:t>
      </w:r>
      <w:r>
        <w:t xml:space="preserve"> </w:t>
      </w:r>
      <w:hyperlink r:id="rId90">
        <w:r>
          <w:rPr>
            <w:rStyle w:val="Hyperlink"/>
          </w:rPr>
          <w:t xml:space="preserve">10.1007/s11032-018-0869-z</w:t>
        </w:r>
      </w:hyperlink>
      <w:r>
        <w:t xml:space="preserve"> </w:t>
      </w:r>
      <w:r>
        <w:t xml:space="preserve">· PMID:</w:t>
      </w:r>
      <w:r>
        <w:t xml:space="preserve"> </w:t>
      </w:r>
      <w:hyperlink r:id="rId91">
        <w:r>
          <w:rPr>
            <w:rStyle w:val="Hyperlink"/>
          </w:rPr>
          <w:t xml:space="preserve">30237748</w:t>
        </w:r>
      </w:hyperlink>
      <w:r>
        <w:t xml:space="preserve"> </w:t>
      </w:r>
      <w:r>
        <w:t xml:space="preserve">· PMCID:</w:t>
      </w:r>
      <w:r>
        <w:t xml:space="preserve"> </w:t>
      </w:r>
      <w:hyperlink r:id="rId92">
        <w:r>
          <w:rPr>
            <w:rStyle w:val="Hyperlink"/>
          </w:rPr>
          <w:t xml:space="preserve">PMC6133072</w:t>
        </w:r>
      </w:hyperlink>
    </w:p>
    <w:bookmarkEnd w:id="93"/>
    <w:bookmarkStart w:id="97"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4">
        <w:r>
          <w:rPr>
            <w:rStyle w:val="Hyperlink"/>
          </w:rPr>
          <w:t xml:space="preserve">https://doi.org/gmkkvg</w:t>
        </w:r>
      </w:hyperlink>
      <w:r>
        <w:t xml:space="preserve"> </w:t>
      </w:r>
      <w:r>
        <w:t xml:space="preserve">DOI:</w:t>
      </w:r>
      <w:r>
        <w:t xml:space="preserve"> </w:t>
      </w:r>
      <w:hyperlink r:id="rId95">
        <w:r>
          <w:rPr>
            <w:rStyle w:val="Hyperlink"/>
          </w:rPr>
          <w:t xml:space="preserve">10.3835/plantgenome2018.10.0082</w:t>
        </w:r>
      </w:hyperlink>
      <w:r>
        <w:t xml:space="preserve"> </w:t>
      </w:r>
      <w:r>
        <w:t xml:space="preserve">· PMID:</w:t>
      </w:r>
      <w:r>
        <w:t xml:space="preserve"> </w:t>
      </w:r>
      <w:hyperlink r:id="rId96">
        <w:r>
          <w:rPr>
            <w:rStyle w:val="Hyperlink"/>
          </w:rPr>
          <w:t xml:space="preserve">31290920</w:t>
        </w:r>
      </w:hyperlink>
    </w:p>
    <w:bookmarkEnd w:id="97"/>
    <w:bookmarkStart w:id="102"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8">
        <w:r>
          <w:rPr>
            <w:rStyle w:val="Hyperlink"/>
          </w:rPr>
          <w:t xml:space="preserve">https://doi.org/gmkkvd</w:t>
        </w:r>
      </w:hyperlink>
      <w:r>
        <w:t xml:space="preserve"> </w:t>
      </w:r>
      <w:r>
        <w:t xml:space="preserve">DOI:</w:t>
      </w:r>
      <w:r>
        <w:t xml:space="preserve"> </w:t>
      </w:r>
      <w:hyperlink r:id="rId99">
        <w:r>
          <w:rPr>
            <w:rStyle w:val="Hyperlink"/>
          </w:rPr>
          <w:t xml:space="preserve">10.1038/s41438-019-0176-9</w:t>
        </w:r>
      </w:hyperlink>
      <w:r>
        <w:t xml:space="preserve"> </w:t>
      </w:r>
      <w:r>
        <w:t xml:space="preserve">· PMID:</w:t>
      </w:r>
      <w:r>
        <w:t xml:space="preserve"> </w:t>
      </w:r>
      <w:hyperlink r:id="rId100">
        <w:r>
          <w:rPr>
            <w:rStyle w:val="Hyperlink"/>
          </w:rPr>
          <w:t xml:space="preserve">31645952</w:t>
        </w:r>
      </w:hyperlink>
      <w:r>
        <w:t xml:space="preserve"> </w:t>
      </w:r>
      <w:r>
        <w:t xml:space="preserve">· PMCID:</w:t>
      </w:r>
      <w:r>
        <w:t xml:space="preserve"> </w:t>
      </w:r>
      <w:hyperlink r:id="rId101">
        <w:r>
          <w:rPr>
            <w:rStyle w:val="Hyperlink"/>
          </w:rPr>
          <w:t xml:space="preserve">PMC6804688</w:t>
        </w:r>
      </w:hyperlink>
    </w:p>
    <w:bookmarkEnd w:id="102"/>
    <w:bookmarkStart w:id="107"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103">
        <w:r>
          <w:rPr>
            <w:rStyle w:val="Hyperlink"/>
          </w:rPr>
          <w:t xml:space="preserve">https://doi.org/gmkzhb</w:t>
        </w:r>
      </w:hyperlink>
      <w:r>
        <w:t xml:space="preserve"> </w:t>
      </w:r>
      <w:r>
        <w:t xml:space="preserve">DOI:</w:t>
      </w:r>
      <w:r>
        <w:t xml:space="preserve"> </w:t>
      </w:r>
      <w:hyperlink r:id="rId104">
        <w:r>
          <w:rPr>
            <w:rStyle w:val="Hyperlink"/>
          </w:rPr>
          <w:t xml:space="preserve">10.1534/g3.120.401215</w:t>
        </w:r>
      </w:hyperlink>
      <w:r>
        <w:t xml:space="preserve"> </w:t>
      </w:r>
      <w:r>
        <w:t xml:space="preserve">· PMID:</w:t>
      </w:r>
      <w:r>
        <w:t xml:space="preserve"> </w:t>
      </w:r>
      <w:hyperlink r:id="rId105">
        <w:r>
          <w:rPr>
            <w:rStyle w:val="Hyperlink"/>
          </w:rPr>
          <w:t xml:space="preserve">32816923</w:t>
        </w:r>
      </w:hyperlink>
      <w:r>
        <w:t xml:space="preserve"> </w:t>
      </w:r>
      <w:r>
        <w:t xml:space="preserve">· PMCID:</w:t>
      </w:r>
      <w:r>
        <w:t xml:space="preserve"> </w:t>
      </w:r>
      <w:hyperlink r:id="rId106">
        <w:r>
          <w:rPr>
            <w:rStyle w:val="Hyperlink"/>
          </w:rPr>
          <w:t xml:space="preserve">PMC7534422</w:t>
        </w:r>
      </w:hyperlink>
    </w:p>
    <w:bookmarkEnd w:id="107"/>
    <w:bookmarkStart w:id="111"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8">
        <w:r>
          <w:rPr>
            <w:rStyle w:val="Hyperlink"/>
          </w:rPr>
          <w:t xml:space="preserve">https://doi.org/gmkzrd</w:t>
        </w:r>
      </w:hyperlink>
      <w:r>
        <w:t xml:space="preserve"> </w:t>
      </w:r>
      <w:r>
        <w:t xml:space="preserve">DOI:</w:t>
      </w:r>
      <w:r>
        <w:t xml:space="preserve"> </w:t>
      </w:r>
      <w:hyperlink r:id="rId109">
        <w:r>
          <w:rPr>
            <w:rStyle w:val="Hyperlink"/>
          </w:rPr>
          <w:t xml:space="preserve">10.1016/j.molp.2020.08.011</w:t>
        </w:r>
      </w:hyperlink>
      <w:r>
        <w:t xml:space="preserve"> </w:t>
      </w:r>
      <w:r>
        <w:t xml:space="preserve">· PMID:</w:t>
      </w:r>
      <w:r>
        <w:t xml:space="preserve"> </w:t>
      </w:r>
      <w:hyperlink r:id="rId110">
        <w:r>
          <w:rPr>
            <w:rStyle w:val="Hyperlink"/>
          </w:rPr>
          <w:t xml:space="preserve">32835887</w:t>
        </w:r>
      </w:hyperlink>
    </w:p>
    <w:bookmarkEnd w:id="111"/>
    <w:bookmarkStart w:id="116"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12">
        <w:r>
          <w:rPr>
            <w:rStyle w:val="Hyperlink"/>
          </w:rPr>
          <w:t xml:space="preserve">https://doi.org/gfdjfd</w:t>
        </w:r>
      </w:hyperlink>
      <w:r>
        <w:t xml:space="preserve"> </w:t>
      </w:r>
      <w:r>
        <w:t xml:space="preserve">DOI:</w:t>
      </w:r>
      <w:r>
        <w:t xml:space="preserve"> </w:t>
      </w:r>
      <w:hyperlink r:id="rId113">
        <w:r>
          <w:rPr>
            <w:rStyle w:val="Hyperlink"/>
          </w:rPr>
          <w:t xml:space="preserve">10.1038/s41438-018-0080-8</w:t>
        </w:r>
      </w:hyperlink>
      <w:r>
        <w:t xml:space="preserve"> </w:t>
      </w:r>
      <w:r>
        <w:t xml:space="preserve">· PMID:</w:t>
      </w:r>
      <w:r>
        <w:t xml:space="preserve"> </w:t>
      </w:r>
      <w:hyperlink r:id="rId114">
        <w:r>
          <w:rPr>
            <w:rStyle w:val="Hyperlink"/>
          </w:rPr>
          <w:t xml:space="preserve">30302260</w:t>
        </w:r>
      </w:hyperlink>
      <w:r>
        <w:t xml:space="preserve"> </w:t>
      </w:r>
      <w:r>
        <w:t xml:space="preserve">· PMCID:</w:t>
      </w:r>
      <w:r>
        <w:t xml:space="preserve"> </w:t>
      </w:r>
      <w:hyperlink r:id="rId115">
        <w:r>
          <w:rPr>
            <w:rStyle w:val="Hyperlink"/>
          </w:rPr>
          <w:t xml:space="preserve">PMC6165849</w:t>
        </w:r>
      </w:hyperlink>
    </w:p>
    <w:bookmarkEnd w:id="116"/>
    <w:bookmarkStart w:id="121"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7">
        <w:r>
          <w:rPr>
            <w:rStyle w:val="Hyperlink"/>
          </w:rPr>
          <w:t xml:space="preserve">https://doi.org/gmkktt</w:t>
        </w:r>
      </w:hyperlink>
      <w:r>
        <w:t xml:space="preserve"> </w:t>
      </w:r>
      <w:r>
        <w:t xml:space="preserve">DOI:</w:t>
      </w:r>
      <w:r>
        <w:t xml:space="preserve"> </w:t>
      </w:r>
      <w:hyperlink r:id="rId118">
        <w:r>
          <w:rPr>
            <w:rStyle w:val="Hyperlink"/>
          </w:rPr>
          <w:t xml:space="preserve">10.1111/pbi.13136</w:t>
        </w:r>
      </w:hyperlink>
      <w:r>
        <w:t xml:space="preserve"> </w:t>
      </w:r>
      <w:r>
        <w:t xml:space="preserve">· PMID:</w:t>
      </w:r>
      <w:r>
        <w:t xml:space="preserve"> </w:t>
      </w:r>
      <w:hyperlink r:id="rId119">
        <w:r>
          <w:rPr>
            <w:rStyle w:val="Hyperlink"/>
          </w:rPr>
          <w:t xml:space="preserve">31022325</w:t>
        </w:r>
      </w:hyperlink>
      <w:r>
        <w:t xml:space="preserve"> </w:t>
      </w:r>
      <w:r>
        <w:t xml:space="preserve">· PMCID:</w:t>
      </w:r>
      <w:r>
        <w:t xml:space="preserve"> </w:t>
      </w:r>
      <w:hyperlink r:id="rId120">
        <w:r>
          <w:rPr>
            <w:rStyle w:val="Hyperlink"/>
          </w:rPr>
          <w:t xml:space="preserve">PMC6835170</w:t>
        </w:r>
      </w:hyperlink>
    </w:p>
    <w:bookmarkEnd w:id="121"/>
    <w:bookmarkStart w:id="123"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22">
        <w:r>
          <w:rPr>
            <w:rStyle w:val="Hyperlink"/>
          </w:rPr>
          <w:t xml:space="preserve">https://doi.org/abs/10.1080/07352680490490733</w:t>
        </w:r>
      </w:hyperlink>
      <w:r>
        <w:t xml:space="preserve"> </w:t>
      </w:r>
      <w:r>
        <w:t xml:space="preserve">DOI:</w:t>
      </w:r>
      <w:r>
        <w:t xml:space="preserve"> </w:t>
      </w:r>
      <w:hyperlink r:id="rId122">
        <w:r>
          <w:rPr>
            <w:rStyle w:val="Hyperlink"/>
          </w:rPr>
          <w:t xml:space="preserve">abs/10.1080/07352680490490733</w:t>
        </w:r>
      </w:hyperlink>
    </w:p>
    <w:bookmarkEnd w:id="123"/>
    <w:bookmarkStart w:id="126"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4">
        <w:r>
          <w:rPr>
            <w:rStyle w:val="Hyperlink"/>
          </w:rPr>
          <w:t xml:space="preserve">https://doi.org/f8ds6k</w:t>
        </w:r>
      </w:hyperlink>
      <w:r>
        <w:t xml:space="preserve"> </w:t>
      </w:r>
      <w:r>
        <w:t xml:space="preserve">DOI:</w:t>
      </w:r>
      <w:r>
        <w:t xml:space="preserve"> </w:t>
      </w:r>
      <w:hyperlink r:id="rId125">
        <w:r>
          <w:rPr>
            <w:rStyle w:val="Hyperlink"/>
          </w:rPr>
          <w:t xml:space="preserve">10.1007/s10681-015-1605-y</w:t>
        </w:r>
      </w:hyperlink>
    </w:p>
    <w:bookmarkEnd w:id="126"/>
    <w:bookmarkStart w:id="130"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7">
        <w:r>
          <w:rPr>
            <w:rStyle w:val="Hyperlink"/>
          </w:rPr>
          <w:t xml:space="preserve">https://doi.org/f97dq2</w:t>
        </w:r>
      </w:hyperlink>
      <w:r>
        <w:t xml:space="preserve"> </w:t>
      </w:r>
      <w:r>
        <w:t xml:space="preserve">DOI:</w:t>
      </w:r>
      <w:r>
        <w:t xml:space="preserve"> </w:t>
      </w:r>
      <w:hyperlink r:id="rId128">
        <w:r>
          <w:rPr>
            <w:rStyle w:val="Hyperlink"/>
          </w:rPr>
          <w:t xml:space="preserve">10.1016/j.ympev.2017.03.002</w:t>
        </w:r>
      </w:hyperlink>
      <w:r>
        <w:t xml:space="preserve"> </w:t>
      </w:r>
      <w:r>
        <w:t xml:space="preserve">· PMID:</w:t>
      </w:r>
      <w:r>
        <w:t xml:space="preserve"> </w:t>
      </w:r>
      <w:hyperlink r:id="rId129">
        <w:r>
          <w:rPr>
            <w:rStyle w:val="Hyperlink"/>
          </w:rPr>
          <w:t xml:space="preserve">28288944</w:t>
        </w:r>
      </w:hyperlink>
    </w:p>
    <w:bookmarkEnd w:id="130"/>
    <w:bookmarkStart w:id="135"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31">
        <w:r>
          <w:rPr>
            <w:rStyle w:val="Hyperlink"/>
          </w:rPr>
          <w:t xml:space="preserve">https://doi.org/gmkk6b</w:t>
        </w:r>
      </w:hyperlink>
      <w:r>
        <w:t xml:space="preserve"> </w:t>
      </w:r>
      <w:r>
        <w:t xml:space="preserve">DOI:</w:t>
      </w:r>
      <w:r>
        <w:t xml:space="preserve"> </w:t>
      </w:r>
      <w:hyperlink r:id="rId132">
        <w:r>
          <w:rPr>
            <w:rStyle w:val="Hyperlink"/>
          </w:rPr>
          <w:t xml:space="preserve">10.1093/aob/mcw080</w:t>
        </w:r>
      </w:hyperlink>
      <w:r>
        <w:t xml:space="preserve"> </w:t>
      </w:r>
      <w:r>
        <w:t xml:space="preserve">· PMID:</w:t>
      </w:r>
      <w:r>
        <w:t xml:space="preserve"> </w:t>
      </w:r>
      <w:hyperlink r:id="rId133">
        <w:r>
          <w:rPr>
            <w:rStyle w:val="Hyperlink"/>
          </w:rPr>
          <w:t xml:space="preserve">27343231</w:t>
        </w:r>
      </w:hyperlink>
      <w:r>
        <w:t xml:space="preserve"> </w:t>
      </w:r>
      <w:r>
        <w:t xml:space="preserve">· PMCID:</w:t>
      </w:r>
      <w:r>
        <w:t xml:space="preserve"> </w:t>
      </w:r>
      <w:hyperlink r:id="rId134">
        <w:r>
          <w:rPr>
            <w:rStyle w:val="Hyperlink"/>
          </w:rPr>
          <w:t xml:space="preserve">PMC4934399</w:t>
        </w:r>
      </w:hyperlink>
    </w:p>
    <w:bookmarkEnd w:id="135"/>
    <w:bookmarkStart w:id="138"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6">
        <w:r>
          <w:rPr>
            <w:rStyle w:val="Hyperlink"/>
          </w:rPr>
          <w:t xml:space="preserve">https://doi.org/fzc57g</w:t>
        </w:r>
      </w:hyperlink>
      <w:r>
        <w:t xml:space="preserve"> </w:t>
      </w:r>
      <w:r>
        <w:t xml:space="preserve">DOI:</w:t>
      </w:r>
      <w:r>
        <w:t xml:space="preserve"> </w:t>
      </w:r>
      <w:hyperlink r:id="rId137">
        <w:r>
          <w:rPr>
            <w:rStyle w:val="Hyperlink"/>
          </w:rPr>
          <w:t xml:space="preserve">10.1007/s12231-012-9186-3</w:t>
        </w:r>
      </w:hyperlink>
    </w:p>
    <w:bookmarkEnd w:id="138"/>
    <w:bookmarkStart w:id="142"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9">
        <w:r>
          <w:rPr>
            <w:rStyle w:val="Hyperlink"/>
          </w:rPr>
          <w:t xml:space="preserve">https://doi.org/f7jhh7</w:t>
        </w:r>
      </w:hyperlink>
      <w:r>
        <w:t xml:space="preserve"> </w:t>
      </w:r>
      <w:r>
        <w:t xml:space="preserve">DOI:</w:t>
      </w:r>
      <w:r>
        <w:t xml:space="preserve"> </w:t>
      </w:r>
      <w:hyperlink r:id="rId140">
        <w:r>
          <w:rPr>
            <w:rStyle w:val="Hyperlink"/>
          </w:rPr>
          <w:t xml:space="preserve">10.1111/pce.12502</w:t>
        </w:r>
      </w:hyperlink>
      <w:r>
        <w:t xml:space="preserve"> </w:t>
      </w:r>
      <w:r>
        <w:t xml:space="preserve">· PMID:</w:t>
      </w:r>
      <w:r>
        <w:t xml:space="preserve"> </w:t>
      </w:r>
      <w:hyperlink r:id="rId141">
        <w:r>
          <w:rPr>
            <w:rStyle w:val="Hyperlink"/>
          </w:rPr>
          <w:t xml:space="preserve">25546629</w:t>
        </w:r>
      </w:hyperlink>
    </w:p>
    <w:bookmarkEnd w:id="142"/>
    <w:bookmarkStart w:id="147"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43">
        <w:r>
          <w:rPr>
            <w:rStyle w:val="Hyperlink"/>
          </w:rPr>
          <w:t xml:space="preserve">https://doi.org/f5zjsk</w:t>
        </w:r>
      </w:hyperlink>
      <w:r>
        <w:t xml:space="preserve"> </w:t>
      </w:r>
      <w:r>
        <w:t xml:space="preserve">DOI:</w:t>
      </w:r>
      <w:r>
        <w:t xml:space="preserve"> </w:t>
      </w:r>
      <w:hyperlink r:id="rId144">
        <w:r>
          <w:rPr>
            <w:rStyle w:val="Hyperlink"/>
          </w:rPr>
          <w:t xml:space="preserve">10.1371/journal.pone.0090346</w:t>
        </w:r>
      </w:hyperlink>
      <w:r>
        <w:t xml:space="preserve"> </w:t>
      </w:r>
      <w:r>
        <w:t xml:space="preserve">· PMID:</w:t>
      </w:r>
      <w:r>
        <w:t xml:space="preserve"> </w:t>
      </w:r>
      <w:hyperlink r:id="rId145">
        <w:r>
          <w:rPr>
            <w:rStyle w:val="Hyperlink"/>
          </w:rPr>
          <w:t xml:space="preserve">24587335</w:t>
        </w:r>
      </w:hyperlink>
      <w:r>
        <w:t xml:space="preserve"> </w:t>
      </w:r>
      <w:r>
        <w:t xml:space="preserve">· PMCID:</w:t>
      </w:r>
      <w:r>
        <w:t xml:space="preserve"> </w:t>
      </w:r>
      <w:hyperlink r:id="rId146">
        <w:r>
          <w:rPr>
            <w:rStyle w:val="Hyperlink"/>
          </w:rPr>
          <w:t xml:space="preserve">PMC3938676</w:t>
        </w:r>
      </w:hyperlink>
    </w:p>
    <w:bookmarkEnd w:id="147"/>
    <w:bookmarkStart w:id="152"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8">
        <w:r>
          <w:rPr>
            <w:rStyle w:val="Hyperlink"/>
          </w:rPr>
          <w:t xml:space="preserve">https://doi.org/dqt59j</w:t>
        </w:r>
      </w:hyperlink>
      <w:r>
        <w:t xml:space="preserve"> </w:t>
      </w:r>
      <w:r>
        <w:t xml:space="preserve">DOI:</w:t>
      </w:r>
      <w:r>
        <w:t xml:space="preserve"> </w:t>
      </w:r>
      <w:hyperlink r:id="rId149">
        <w:r>
          <w:rPr>
            <w:rStyle w:val="Hyperlink"/>
          </w:rPr>
          <w:t xml:space="preserve">10.1093/bioinformatics/btp324</w:t>
        </w:r>
      </w:hyperlink>
      <w:r>
        <w:t xml:space="preserve"> </w:t>
      </w:r>
      <w:r>
        <w:t xml:space="preserve">· PMID:</w:t>
      </w:r>
      <w:r>
        <w:t xml:space="preserve"> </w:t>
      </w:r>
      <w:hyperlink r:id="rId150">
        <w:r>
          <w:rPr>
            <w:rStyle w:val="Hyperlink"/>
          </w:rPr>
          <w:t xml:space="preserve">19451168</w:t>
        </w:r>
      </w:hyperlink>
      <w:r>
        <w:t xml:space="preserve"> </w:t>
      </w:r>
      <w:r>
        <w:t xml:space="preserve">· PMCID:</w:t>
      </w:r>
      <w:r>
        <w:t xml:space="preserve"> </w:t>
      </w:r>
      <w:hyperlink r:id="rId151">
        <w:r>
          <w:rPr>
            <w:rStyle w:val="Hyperlink"/>
          </w:rPr>
          <w:t xml:space="preserve">PMC2705234</w:t>
        </w:r>
      </w:hyperlink>
    </w:p>
    <w:bookmarkEnd w:id="152"/>
    <w:bookmarkStart w:id="157"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53">
        <w:r>
          <w:rPr>
            <w:rStyle w:val="Hyperlink"/>
          </w:rPr>
          <w:t xml:space="preserve">https://doi.org/b6kxfd</w:t>
        </w:r>
      </w:hyperlink>
      <w:r>
        <w:t xml:space="preserve"> </w:t>
      </w:r>
      <w:r>
        <w:t xml:space="preserve">DOI:</w:t>
      </w:r>
      <w:r>
        <w:t xml:space="preserve"> </w:t>
      </w:r>
      <w:hyperlink r:id="rId154">
        <w:r>
          <w:rPr>
            <w:rStyle w:val="Hyperlink"/>
          </w:rPr>
          <w:t xml:space="preserve">10.1093/bioinformatics/btr330</w:t>
        </w:r>
      </w:hyperlink>
      <w:r>
        <w:t xml:space="preserve"> </w:t>
      </w:r>
      <w:r>
        <w:t xml:space="preserve">· PMID:</w:t>
      </w:r>
      <w:r>
        <w:t xml:space="preserve"> </w:t>
      </w:r>
      <w:hyperlink r:id="rId155">
        <w:r>
          <w:rPr>
            <w:rStyle w:val="Hyperlink"/>
          </w:rPr>
          <w:t xml:space="preserve">21653522</w:t>
        </w:r>
      </w:hyperlink>
      <w:r>
        <w:t xml:space="preserve"> </w:t>
      </w:r>
      <w:r>
        <w:t xml:space="preserve">· PMCID:</w:t>
      </w:r>
      <w:r>
        <w:t xml:space="preserve"> </w:t>
      </w:r>
      <w:hyperlink r:id="rId156">
        <w:r>
          <w:rPr>
            <w:rStyle w:val="Hyperlink"/>
          </w:rPr>
          <w:t xml:space="preserve">PMC3137218</w:t>
        </w:r>
      </w:hyperlink>
    </w:p>
    <w:bookmarkEnd w:id="157"/>
    <w:bookmarkStart w:id="162"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8">
        <w:r>
          <w:rPr>
            <w:rStyle w:val="Hyperlink"/>
          </w:rPr>
          <w:t xml:space="preserve">https://doi.org/dtnztg</w:t>
        </w:r>
      </w:hyperlink>
      <w:r>
        <w:t xml:space="preserve"> </w:t>
      </w:r>
      <w:r>
        <w:t xml:space="preserve">DOI:</w:t>
      </w:r>
      <w:r>
        <w:t xml:space="preserve"> </w:t>
      </w:r>
      <w:hyperlink r:id="rId159">
        <w:r>
          <w:rPr>
            <w:rStyle w:val="Hyperlink"/>
          </w:rPr>
          <w:t xml:space="preserve">10.1186/1471-2105-12-246</w:t>
        </w:r>
      </w:hyperlink>
      <w:r>
        <w:t xml:space="preserve"> </w:t>
      </w:r>
      <w:r>
        <w:t xml:space="preserve">· PMID:</w:t>
      </w:r>
      <w:r>
        <w:t xml:space="preserve"> </w:t>
      </w:r>
      <w:hyperlink r:id="rId160">
        <w:r>
          <w:rPr>
            <w:rStyle w:val="Hyperlink"/>
          </w:rPr>
          <w:t xml:space="preserve">21682921</w:t>
        </w:r>
      </w:hyperlink>
      <w:r>
        <w:t xml:space="preserve"> </w:t>
      </w:r>
      <w:r>
        <w:t xml:space="preserve">· PMCID:</w:t>
      </w:r>
      <w:r>
        <w:t xml:space="preserve"> </w:t>
      </w:r>
      <w:hyperlink r:id="rId161">
        <w:r>
          <w:rPr>
            <w:rStyle w:val="Hyperlink"/>
          </w:rPr>
          <w:t xml:space="preserve">PMC3146885</w:t>
        </w:r>
      </w:hyperlink>
    </w:p>
    <w:bookmarkEnd w:id="162"/>
    <w:bookmarkStart w:id="167"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63">
        <w:r>
          <w:rPr>
            <w:rStyle w:val="Hyperlink"/>
          </w:rPr>
          <w:t xml:space="preserve">https://doi.org/cp2rzn</w:t>
        </w:r>
      </w:hyperlink>
      <w:r>
        <w:t xml:space="preserve"> </w:t>
      </w:r>
      <w:r>
        <w:t xml:space="preserve">DOI:</w:t>
      </w:r>
      <w:r>
        <w:t xml:space="preserve"> </w:t>
      </w:r>
      <w:hyperlink r:id="rId164">
        <w:r>
          <w:rPr>
            <w:rStyle w:val="Hyperlink"/>
          </w:rPr>
          <w:t xml:space="preserve">10.1086/519795</w:t>
        </w:r>
      </w:hyperlink>
      <w:r>
        <w:t xml:space="preserve"> </w:t>
      </w:r>
      <w:r>
        <w:t xml:space="preserve">· PMID:</w:t>
      </w:r>
      <w:r>
        <w:t xml:space="preserve"> </w:t>
      </w:r>
      <w:hyperlink r:id="rId165">
        <w:r>
          <w:rPr>
            <w:rStyle w:val="Hyperlink"/>
          </w:rPr>
          <w:t xml:space="preserve">17701901</w:t>
        </w:r>
      </w:hyperlink>
      <w:r>
        <w:t xml:space="preserve"> </w:t>
      </w:r>
      <w:r>
        <w:t xml:space="preserve">· PMCID:</w:t>
      </w:r>
      <w:r>
        <w:t xml:space="preserve"> </w:t>
      </w:r>
      <w:hyperlink r:id="rId166">
        <w:r>
          <w:rPr>
            <w:rStyle w:val="Hyperlink"/>
          </w:rPr>
          <w:t xml:space="preserve">PMC1950838</w:t>
        </w:r>
      </w:hyperlink>
    </w:p>
    <w:bookmarkEnd w:id="167"/>
    <w:bookmarkStart w:id="172"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8">
        <w:r>
          <w:rPr>
            <w:rStyle w:val="Hyperlink"/>
          </w:rPr>
          <w:t xml:space="preserve">https://doi.org/ggjp6v</w:t>
        </w:r>
      </w:hyperlink>
      <w:r>
        <w:t xml:space="preserve"> </w:t>
      </w:r>
      <w:r>
        <w:t xml:space="preserve">DOI:</w:t>
      </w:r>
      <w:r>
        <w:t xml:space="preserve"> </w:t>
      </w:r>
      <w:hyperlink r:id="rId169">
        <w:r>
          <w:rPr>
            <w:rStyle w:val="Hyperlink"/>
          </w:rPr>
          <w:t xml:space="preserve">10.1371/journal.pone.0156744</w:t>
        </w:r>
      </w:hyperlink>
      <w:r>
        <w:t xml:space="preserve"> </w:t>
      </w:r>
      <w:r>
        <w:t xml:space="preserve">· PMID:</w:t>
      </w:r>
      <w:r>
        <w:t xml:space="preserve"> </w:t>
      </w:r>
      <w:hyperlink r:id="rId170">
        <w:r>
          <w:rPr>
            <w:rStyle w:val="Hyperlink"/>
          </w:rPr>
          <w:t xml:space="preserve">27271781</w:t>
        </w:r>
      </w:hyperlink>
      <w:r>
        <w:t xml:space="preserve"> </w:t>
      </w:r>
      <w:r>
        <w:t xml:space="preserve">· PMCID:</w:t>
      </w:r>
      <w:r>
        <w:t xml:space="preserve"> </w:t>
      </w:r>
      <w:hyperlink r:id="rId171">
        <w:r>
          <w:rPr>
            <w:rStyle w:val="Hyperlink"/>
          </w:rPr>
          <w:t xml:space="preserve">PMC4894563</w:t>
        </w:r>
      </w:hyperlink>
    </w:p>
    <w:bookmarkEnd w:id="172"/>
    <w:bookmarkStart w:id="177" w:name="ref-A9obAHi0"/>
    <w:p>
      <w:pPr>
        <w:pStyle w:val="Bibliography"/>
      </w:pPr>
      <w:r>
        <w:t xml:space="preserve">27.</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(2014-02-26)</w:t>
      </w:r>
      <w:r>
        <w:t xml:space="preserve"> </w:t>
      </w:r>
      <w:hyperlink r:id="rId173">
        <w:r>
          <w:rPr>
            <w:rStyle w:val="Hyperlink"/>
          </w:rPr>
          <w:t xml:space="preserve">https://doi.org/f5xgnj</w:t>
        </w:r>
      </w:hyperlink>
      <w:r>
        <w:t xml:space="preserve"> </w:t>
      </w:r>
      <w:r>
        <w:t xml:space="preserve">DOI:</w:t>
      </w:r>
      <w:r>
        <w:t xml:space="preserve"> </w:t>
      </w:r>
      <w:hyperlink r:id="rId174">
        <w:r>
          <w:rPr>
            <w:rStyle w:val="Hyperlink"/>
          </w:rPr>
          <w:t xml:space="preserve">10.1186/1471-2164-15-162</w:t>
        </w:r>
      </w:hyperlink>
      <w:r>
        <w:t xml:space="preserve"> </w:t>
      </w:r>
      <w:r>
        <w:t xml:space="preserve">· PMID:</w:t>
      </w:r>
      <w:r>
        <w:t xml:space="preserve"> </w:t>
      </w:r>
      <w:hyperlink r:id="rId175">
        <w:r>
          <w:rPr>
            <w:rStyle w:val="Hyperlink"/>
          </w:rPr>
          <w:t xml:space="preserve">24571581</w:t>
        </w:r>
      </w:hyperlink>
      <w:r>
        <w:t xml:space="preserve"> </w:t>
      </w:r>
      <w:r>
        <w:t xml:space="preserve">· PMCID:</w:t>
      </w:r>
      <w:r>
        <w:t xml:space="preserve"> </w:t>
      </w:r>
      <w:hyperlink r:id="rId176">
        <w:r>
          <w:rPr>
            <w:rStyle w:val="Hyperlink"/>
          </w:rPr>
          <w:t xml:space="preserve">PMC3945939</w:t>
        </w:r>
      </w:hyperlink>
    </w:p>
    <w:bookmarkEnd w:id="177"/>
    <w:bookmarkStart w:id="182" w:name="ref-obxjDYob"/>
    <w:p>
      <w:pPr>
        <w:pStyle w:val="Bibliography"/>
      </w:pPr>
      <w:r>
        <w:t xml:space="preserve">28.</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8">
        <w:r>
          <w:rPr>
            <w:rStyle w:val="Hyperlink"/>
          </w:rPr>
          <w:t xml:space="preserve">https://doi.org/gmkw9r</w:t>
        </w:r>
      </w:hyperlink>
      <w:r>
        <w:t xml:space="preserve"> </w:t>
      </w:r>
      <w:r>
        <w:t xml:space="preserve">DOI:</w:t>
      </w:r>
      <w:r>
        <w:t xml:space="preserve"> </w:t>
      </w:r>
      <w:hyperlink r:id="rId179">
        <w:r>
          <w:rPr>
            <w:rStyle w:val="Hyperlink"/>
          </w:rPr>
          <w:t xml:space="preserve">10.1371/journal.pgen.1005048</w:t>
        </w:r>
      </w:hyperlink>
      <w:r>
        <w:t xml:space="preserve"> </w:t>
      </w:r>
      <w:r>
        <w:t xml:space="preserve">· PMID:</w:t>
      </w:r>
      <w:r>
        <w:t xml:space="preserve"> </w:t>
      </w:r>
      <w:hyperlink r:id="rId180">
        <w:r>
          <w:rPr>
            <w:rStyle w:val="Hyperlink"/>
          </w:rPr>
          <w:t xml:space="preserve">25942577</w:t>
        </w:r>
      </w:hyperlink>
      <w:r>
        <w:t xml:space="preserve"> </w:t>
      </w:r>
      <w:r>
        <w:t xml:space="preserve">· PMCID:</w:t>
      </w:r>
      <w:r>
        <w:t xml:space="preserve"> </w:t>
      </w:r>
      <w:hyperlink r:id="rId181">
        <w:r>
          <w:rPr>
            <w:rStyle w:val="Hyperlink"/>
          </w:rPr>
          <w:t xml:space="preserve">PMC4420472</w:t>
        </w:r>
      </w:hyperlink>
    </w:p>
    <w:bookmarkEnd w:id="182"/>
    <w:bookmarkStart w:id="187" w:name="ref-15ChEFKjS"/>
    <w:p>
      <w:pPr>
        <w:pStyle w:val="Bibliography"/>
      </w:pPr>
      <w:r>
        <w:t xml:space="preserve">29.</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83">
        <w:r>
          <w:rPr>
            <w:rStyle w:val="Hyperlink"/>
          </w:rPr>
          <w:t xml:space="preserve">https://doi.org/f6jhz3</w:t>
        </w:r>
      </w:hyperlink>
      <w:r>
        <w:t xml:space="preserve"> </w:t>
      </w:r>
      <w:r>
        <w:t xml:space="preserve">DOI:</w:t>
      </w:r>
      <w:r>
        <w:t xml:space="preserve"> </w:t>
      </w:r>
      <w:hyperlink r:id="rId184">
        <w:r>
          <w:rPr>
            <w:rStyle w:val="Hyperlink"/>
          </w:rPr>
          <w:t xml:space="preserve">10.1186/1471-2156-15-87</w:t>
        </w:r>
      </w:hyperlink>
      <w:r>
        <w:t xml:space="preserve"> </w:t>
      </w:r>
      <w:r>
        <w:t xml:space="preserve">· PMID:</w:t>
      </w:r>
      <w:r>
        <w:t xml:space="preserve"> </w:t>
      </w:r>
      <w:hyperlink r:id="rId185">
        <w:r>
          <w:rPr>
            <w:rStyle w:val="Hyperlink"/>
          </w:rPr>
          <w:t xml:space="preserve">25053450</w:t>
        </w:r>
      </w:hyperlink>
      <w:r>
        <w:t xml:space="preserve"> </w:t>
      </w:r>
      <w:r>
        <w:t xml:space="preserve">· PMCID:</w:t>
      </w:r>
      <w:r>
        <w:t xml:space="preserve"> </w:t>
      </w:r>
      <w:hyperlink r:id="rId186">
        <w:r>
          <w:rPr>
            <w:rStyle w:val="Hyperlink"/>
          </w:rPr>
          <w:t xml:space="preserve">PMC4113669</w:t>
        </w:r>
      </w:hyperlink>
    </w:p>
    <w:bookmarkEnd w:id="187"/>
    <w:bookmarkStart w:id="190" w:name="ref-1B5fUw44w"/>
    <w:p>
      <w:pPr>
        <w:pStyle w:val="Bibliography"/>
      </w:pPr>
      <w:r>
        <w:t xml:space="preserve">30.</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8">
        <w:r>
          <w:rPr>
            <w:rStyle w:val="Hyperlink"/>
          </w:rPr>
          <w:t xml:space="preserve">https://doi.org/gdzt5m</w:t>
        </w:r>
      </w:hyperlink>
      <w:r>
        <w:t xml:space="preserve"> </w:t>
      </w:r>
      <w:r>
        <w:t xml:space="preserve">DOI:</w:t>
      </w:r>
      <w:r>
        <w:t xml:space="preserve"> </w:t>
      </w:r>
      <w:hyperlink r:id="rId189">
        <w:r>
          <w:rPr>
            <w:rStyle w:val="Hyperlink"/>
          </w:rPr>
          <w:t xml:space="preserve">10.1177/0049124116638107</w:t>
        </w:r>
      </w:hyperlink>
    </w:p>
    <w:bookmarkEnd w:id="190"/>
    <w:bookmarkStart w:id="195" w:name="ref-bh0NyElc"/>
    <w:p>
      <w:pPr>
        <w:pStyle w:val="Bibliography"/>
      </w:pPr>
      <w:r>
        <w:t xml:space="preserve">31.</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91">
        <w:r>
          <w:rPr>
            <w:rStyle w:val="Hyperlink"/>
          </w:rPr>
          <w:t xml:space="preserve">https://doi.org/f79ns2</w:t>
        </w:r>
      </w:hyperlink>
      <w:r>
        <w:t xml:space="preserve"> </w:t>
      </w:r>
      <w:r>
        <w:t xml:space="preserve">DOI:</w:t>
      </w:r>
      <w:r>
        <w:t xml:space="preserve"> </w:t>
      </w:r>
      <w:hyperlink r:id="rId192">
        <w:r>
          <w:rPr>
            <w:rStyle w:val="Hyperlink"/>
          </w:rPr>
          <w:t xml:space="preserve">10.1534/g3.115.021667</w:t>
        </w:r>
      </w:hyperlink>
      <w:r>
        <w:t xml:space="preserve"> </w:t>
      </w:r>
      <w:r>
        <w:t xml:space="preserve">· PMID:</w:t>
      </w:r>
      <w:r>
        <w:t xml:space="preserve"> </w:t>
      </w:r>
      <w:hyperlink r:id="rId193">
        <w:r>
          <w:rPr>
            <w:rStyle w:val="Hyperlink"/>
          </w:rPr>
          <w:t xml:space="preserve">26377960</w:t>
        </w:r>
      </w:hyperlink>
      <w:r>
        <w:t xml:space="preserve"> </w:t>
      </w:r>
      <w:r>
        <w:t xml:space="preserve">· PMCID:</w:t>
      </w:r>
      <w:r>
        <w:t xml:space="preserve"> </w:t>
      </w:r>
      <w:hyperlink r:id="rId194">
        <w:r>
          <w:rPr>
            <w:rStyle w:val="Hyperlink"/>
          </w:rPr>
          <w:t xml:space="preserve">PMC4632058</w:t>
        </w:r>
      </w:hyperlink>
    </w:p>
    <w:bookmarkEnd w:id="195"/>
    <w:bookmarkStart w:id="199" w:name="ref-6BHN02He"/>
    <w:p>
      <w:pPr>
        <w:pStyle w:val="Bibliography"/>
      </w:pPr>
      <w:r>
        <w:t xml:space="preserve">32.</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96">
        <w:r>
          <w:rPr>
            <w:rStyle w:val="Hyperlink"/>
          </w:rPr>
          <w:t xml:space="preserve">https://doi.org/fdj9qg</w:t>
        </w:r>
      </w:hyperlink>
      <w:r>
        <w:t xml:space="preserve"> </w:t>
      </w:r>
      <w:r>
        <w:t xml:space="preserve">DOI:</w:t>
      </w:r>
      <w:r>
        <w:t xml:space="preserve"> </w:t>
      </w:r>
      <w:hyperlink r:id="rId197">
        <w:r>
          <w:rPr>
            <w:rStyle w:val="Hyperlink"/>
          </w:rPr>
          <w:t xml:space="preserve">10.1093/bioinformatics/btm308</w:t>
        </w:r>
      </w:hyperlink>
      <w:r>
        <w:t xml:space="preserve"> </w:t>
      </w:r>
      <w:r>
        <w:t xml:space="preserve">· PMID:</w:t>
      </w:r>
      <w:r>
        <w:t xml:space="preserve"> </w:t>
      </w:r>
      <w:hyperlink r:id="rId198">
        <w:r>
          <w:rPr>
            <w:rStyle w:val="Hyperlink"/>
          </w:rPr>
          <w:t xml:space="preserve">17586829</w:t>
        </w:r>
      </w:hyperlink>
    </w:p>
    <w:bookmarkEnd w:id="199"/>
    <w:bookmarkStart w:id="204" w:name="ref-15kdHXrSp"/>
    <w:p>
      <w:pPr>
        <w:pStyle w:val="Bibliography"/>
      </w:pPr>
      <w:r>
        <w:t xml:space="preserve">33.</w:t>
      </w:r>
      <w:r>
        <w:t xml:space="preserve"> </w:t>
      </w:r>
      <w:r>
        <w:t xml:space="preserve">	</w:t>
      </w:r>
      <w:r>
        <w:rPr>
          <w:bCs/>
          <w:b/>
        </w:rPr>
        <w:t xml:space="preserve">Genetic association testing using the GENESIS R/Bioconductor package</w:t>
      </w:r>
      <w:r>
        <w:t xml:space="preserve"> </w:t>
      </w:r>
      <w:r>
        <w:t xml:space="preserve">Stephanie M Gogarten, Tamar Sofer, Han Chen, Chaoyu Yu, Jennifer A Brody, Timothy A Thornton, Kenneth M Rice, Matthew P Conomos</w:t>
      </w:r>
      <w:r>
        <w:t xml:space="preserve"> </w:t>
      </w:r>
      <w:r>
        <w:rPr>
          <w:iCs/>
          <w:i/>
        </w:rPr>
        <w:t xml:space="preserve">Bioinformatics</w:t>
      </w:r>
      <w:r>
        <w:t xml:space="preserve"> </w:t>
      </w:r>
      <w:r>
        <w:t xml:space="preserve">(2019-12-15)</w:t>
      </w:r>
      <w:r>
        <w:t xml:space="preserve"> </w:t>
      </w:r>
      <w:hyperlink r:id="rId200">
        <w:r>
          <w:rPr>
            <w:rStyle w:val="Hyperlink"/>
          </w:rPr>
          <w:t xml:space="preserve">https://doi.org/gmnd4d</w:t>
        </w:r>
      </w:hyperlink>
      <w:r>
        <w:t xml:space="preserve"> </w:t>
      </w:r>
      <w:r>
        <w:t xml:space="preserve">DOI:</w:t>
      </w:r>
      <w:r>
        <w:t xml:space="preserve"> </w:t>
      </w:r>
      <w:hyperlink r:id="rId201">
        <w:r>
          <w:rPr>
            <w:rStyle w:val="Hyperlink"/>
          </w:rPr>
          <w:t xml:space="preserve">10.1093/bioinformatics/btz567</w:t>
        </w:r>
      </w:hyperlink>
      <w:r>
        <w:t xml:space="preserve"> </w:t>
      </w:r>
      <w:r>
        <w:t xml:space="preserve">· PMID:</w:t>
      </w:r>
      <w:r>
        <w:t xml:space="preserve"> </w:t>
      </w:r>
      <w:hyperlink r:id="rId202">
        <w:r>
          <w:rPr>
            <w:rStyle w:val="Hyperlink"/>
          </w:rPr>
          <w:t xml:space="preserve">31329242</w:t>
        </w:r>
      </w:hyperlink>
      <w:r>
        <w:t xml:space="preserve"> </w:t>
      </w:r>
      <w:r>
        <w:t xml:space="preserve">· PMCID:</w:t>
      </w:r>
      <w:r>
        <w:t xml:space="preserve"> </w:t>
      </w:r>
      <w:hyperlink r:id="rId203">
        <w:r>
          <w:rPr>
            <w:rStyle w:val="Hyperlink"/>
          </w:rPr>
          <w:t xml:space="preserve">PMC7904076</w:t>
        </w:r>
      </w:hyperlink>
    </w:p>
    <w:bookmarkEnd w:id="204"/>
    <w:bookmarkStart w:id="209" w:name="ref-hjX723Qb"/>
    <w:p>
      <w:pPr>
        <w:pStyle w:val="Bibliography"/>
      </w:pPr>
      <w:r>
        <w:t xml:space="preserve">34.</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205">
        <w:r>
          <w:rPr>
            <w:rStyle w:val="Hyperlink"/>
          </w:rPr>
          <w:t xml:space="preserve">https://doi.org/gb3hqt</w:t>
        </w:r>
      </w:hyperlink>
      <w:r>
        <w:t xml:space="preserve"> </w:t>
      </w:r>
      <w:r>
        <w:t xml:space="preserve">DOI:</w:t>
      </w:r>
      <w:r>
        <w:t xml:space="preserve"> </w:t>
      </w:r>
      <w:hyperlink r:id="rId206">
        <w:r>
          <w:rPr>
            <w:rStyle w:val="Hyperlink"/>
          </w:rPr>
          <w:t xml:space="preserve">10.1186/s12864-015-2312-8</w:t>
        </w:r>
      </w:hyperlink>
      <w:r>
        <w:t xml:space="preserve"> </w:t>
      </w:r>
      <w:r>
        <w:t xml:space="preserve">· PMID:</w:t>
      </w:r>
      <w:r>
        <w:t xml:space="preserve"> </w:t>
      </w:r>
      <w:hyperlink r:id="rId207">
        <w:r>
          <w:rPr>
            <w:rStyle w:val="Hyperlink"/>
          </w:rPr>
          <w:t xml:space="preserve">26704908</w:t>
        </w:r>
      </w:hyperlink>
      <w:r>
        <w:t xml:space="preserve"> </w:t>
      </w:r>
      <w:r>
        <w:t xml:space="preserve">· PMCID:</w:t>
      </w:r>
      <w:r>
        <w:t xml:space="preserve"> </w:t>
      </w:r>
      <w:hyperlink r:id="rId208">
        <w:r>
          <w:rPr>
            <w:rStyle w:val="Hyperlink"/>
          </w:rPr>
          <w:t xml:space="preserve">PMC4690373</w:t>
        </w:r>
      </w:hyperlink>
    </w:p>
    <w:bookmarkEnd w:id="209"/>
    <w:bookmarkStart w:id="214" w:name="ref-1BZpw3PUi"/>
    <w:p>
      <w:pPr>
        <w:pStyle w:val="Bibliography"/>
      </w:pPr>
      <w:r>
        <w:t xml:space="preserve">35.</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210">
        <w:r>
          <w:rPr>
            <w:rStyle w:val="Hyperlink"/>
          </w:rPr>
          <w:t xml:space="preserve">https://doi.org/gbn84s</w:t>
        </w:r>
      </w:hyperlink>
      <w:r>
        <w:t xml:space="preserve"> </w:t>
      </w:r>
      <w:r>
        <w:t xml:space="preserve">DOI:</w:t>
      </w:r>
      <w:r>
        <w:t xml:space="preserve"> </w:t>
      </w:r>
      <w:hyperlink r:id="rId211">
        <w:r>
          <w:rPr>
            <w:rStyle w:val="Hyperlink"/>
          </w:rPr>
          <w:t xml:space="preserve">10.1371/journal.pone.0181420</w:t>
        </w:r>
      </w:hyperlink>
      <w:r>
        <w:t xml:space="preserve"> </w:t>
      </w:r>
      <w:r>
        <w:t xml:space="preserve">· PMID:</w:t>
      </w:r>
      <w:r>
        <w:t xml:space="preserve"> </w:t>
      </w:r>
      <w:hyperlink r:id="rId212">
        <w:r>
          <w:rPr>
            <w:rStyle w:val="Hyperlink"/>
          </w:rPr>
          <w:t xml:space="preserve">28727806</w:t>
        </w:r>
      </w:hyperlink>
      <w:r>
        <w:t xml:space="preserve"> </w:t>
      </w:r>
      <w:r>
        <w:t xml:space="preserve">· PMCID:</w:t>
      </w:r>
      <w:r>
        <w:t xml:space="preserve"> </w:t>
      </w:r>
      <w:hyperlink r:id="rId213">
        <w:r>
          <w:rPr>
            <w:rStyle w:val="Hyperlink"/>
          </w:rPr>
          <w:t xml:space="preserve">PMC5519076</w:t>
        </w:r>
      </w:hyperlink>
    </w:p>
    <w:bookmarkEnd w:id="214"/>
    <w:bookmarkStart w:id="219" w:name="ref-w9iJFFjP"/>
    <w:p>
      <w:pPr>
        <w:pStyle w:val="Bibliography"/>
      </w:pPr>
      <w:r>
        <w:t xml:space="preserve">36.</w:t>
      </w:r>
      <w:r>
        <w:t xml:space="preserve"> </w:t>
      </w:r>
      <w:r>
        <w:t xml:space="preserve">	</w:t>
      </w:r>
      <w:r>
        <w:rPr>
          <w:bCs/>
          <w:b/>
        </w:rPr>
        <w:t xml:space="preserve">1k-RiCA (1K-Rice Custom Amplicon) a novel genotyping amplicon-based SNP assay for genetics and breeding applications in rice</w:t>
      </w:r>
      <w:r>
        <w:t xml:space="preserve"> </w:t>
      </w:r>
      <w:r>
        <w:t xml:space="preserve">Juan David Arbelaez, Maria Stefanie Dwiyanti, Erwin Tandayu, Krizzel Llantada, Annalhea Jarana, John Carlos Ignacio, John Damien Platten, Joshua Cobb, Jessica Elaine Rutkoski, Michael J Thomson, Tobias Kretzschmar</w:t>
      </w:r>
      <w:r>
        <w:t xml:space="preserve"> </w:t>
      </w:r>
      <w:r>
        <w:rPr>
          <w:iCs/>
          <w:i/>
        </w:rPr>
        <w:t xml:space="preserve">Rice</w:t>
      </w:r>
      <w:r>
        <w:t xml:space="preserve"> </w:t>
      </w:r>
      <w:r>
        <w:t xml:space="preserve">(2019-07-26)</w:t>
      </w:r>
      <w:r>
        <w:t xml:space="preserve"> </w:t>
      </w:r>
      <w:hyperlink r:id="rId215">
        <w:r>
          <w:rPr>
            <w:rStyle w:val="Hyperlink"/>
          </w:rPr>
          <w:t xml:space="preserve">https://doi.org/c8vh</w:t>
        </w:r>
      </w:hyperlink>
      <w:r>
        <w:t xml:space="preserve"> </w:t>
      </w:r>
      <w:r>
        <w:t xml:space="preserve">DOI:</w:t>
      </w:r>
      <w:r>
        <w:t xml:space="preserve"> </w:t>
      </w:r>
      <w:hyperlink r:id="rId216">
        <w:r>
          <w:rPr>
            <w:rStyle w:val="Hyperlink"/>
          </w:rPr>
          <w:t xml:space="preserve">10.1186/s12284-019-0311-0</w:t>
        </w:r>
      </w:hyperlink>
      <w:r>
        <w:t xml:space="preserve"> </w:t>
      </w:r>
      <w:r>
        <w:t xml:space="preserve">· PMID:</w:t>
      </w:r>
      <w:r>
        <w:t xml:space="preserve"> </w:t>
      </w:r>
      <w:hyperlink r:id="rId217">
        <w:r>
          <w:rPr>
            <w:rStyle w:val="Hyperlink"/>
          </w:rPr>
          <w:t xml:space="preserve">31350673</w:t>
        </w:r>
      </w:hyperlink>
      <w:r>
        <w:t xml:space="preserve"> </w:t>
      </w:r>
      <w:r>
        <w:t xml:space="preserve">· PMCID:</w:t>
      </w:r>
      <w:r>
        <w:t xml:space="preserve"> </w:t>
      </w:r>
      <w:hyperlink r:id="rId218">
        <w:r>
          <w:rPr>
            <w:rStyle w:val="Hyperlink"/>
          </w:rPr>
          <w:t xml:space="preserve">PMC6660535</w:t>
        </w:r>
      </w:hyperlink>
    </w:p>
    <w:bookmarkEnd w:id="219"/>
    <w:bookmarkStart w:id="222" w:name="ref-zuq8ri4R"/>
    <w:p>
      <w:pPr>
        <w:pStyle w:val="Bibliography"/>
      </w:pPr>
      <w:r>
        <w:t xml:space="preserve">37.</w:t>
      </w:r>
      <w:r>
        <w:t xml:space="preserve"> </w:t>
      </w:r>
      <w:r>
        <w:t xml:space="preserve">	</w:t>
      </w:r>
      <w:r>
        <w:rPr>
          <w:bCs/>
          <w:b/>
        </w:rPr>
        <w:t xml:space="preserve">Prediction of Total Genetic Value Using Genome-Wide Dense Marker Maps</w:t>
      </w:r>
      <w:r>
        <w:t xml:space="preserve"> </w:t>
      </w:r>
      <w:r>
        <w:t xml:space="preserve">THE Meuwissen, BJ Hayes, ME Goddard</w:t>
      </w:r>
      <w:r>
        <w:t xml:space="preserve"> </w:t>
      </w:r>
      <w:r>
        <w:rPr>
          <w:iCs/>
          <w:i/>
        </w:rPr>
        <w:t xml:space="preserve">Genetics</w:t>
      </w:r>
      <w:r>
        <w:t xml:space="preserve"> </w:t>
      </w:r>
      <w:r>
        <w:t xml:space="preserve">(2001-04-01)</w:t>
      </w:r>
      <w:r>
        <w:t xml:space="preserve"> </w:t>
      </w:r>
      <w:hyperlink r:id="rId220">
        <w:r>
          <w:rPr>
            <w:rStyle w:val="Hyperlink"/>
          </w:rPr>
          <w:t xml:space="preserve">https://doi.org/gknztd</w:t>
        </w:r>
      </w:hyperlink>
      <w:r>
        <w:t xml:space="preserve"> </w:t>
      </w:r>
      <w:r>
        <w:t xml:space="preserve">DOI:</w:t>
      </w:r>
      <w:r>
        <w:t xml:space="preserve"> </w:t>
      </w:r>
      <w:hyperlink r:id="rId221">
        <w:r>
          <w:rPr>
            <w:rStyle w:val="Hyperlink"/>
          </w:rPr>
          <w:t xml:space="preserve">10.1093/genetics/157.4.1819</w:t>
        </w:r>
      </w:hyperlink>
    </w:p>
    <w:bookmarkEnd w:id="222"/>
    <w:bookmarkStart w:id="225" w:name="ref-1Bk2DOimZ"/>
    <w:p>
      <w:pPr>
        <w:pStyle w:val="Bibliography"/>
      </w:pPr>
      <w:r>
        <w:t xml:space="preserve">38.</w:t>
      </w:r>
      <w:r>
        <w:t xml:space="preserve"> </w:t>
      </w:r>
      <w:r>
        <w:t xml:space="preserve">	</w:t>
      </w:r>
      <w:r>
        <w:rPr>
          <w:bCs/>
          <w:b/>
        </w:rPr>
        <w:t xml:space="preserve">Evaluation of Selection Methods for Resistance to a Specialist Insect Pest of Squash (Cucurbita pepo)</w:t>
      </w:r>
      <w:r>
        <w:t xml:space="preserve"> </w:t>
      </w:r>
      <w:r>
        <w:t xml:space="preserve">Lauren J Brzozowski, Michael Mazourek</w:t>
      </w:r>
      <w:r>
        <w:t xml:space="preserve"> </w:t>
      </w:r>
      <w:r>
        <w:rPr>
          <w:iCs/>
          <w:i/>
        </w:rPr>
        <w:t xml:space="preserve">Agronomy</w:t>
      </w:r>
      <w:r>
        <w:t xml:space="preserve"> </w:t>
      </w:r>
      <w:r>
        <w:t xml:space="preserve">(2020-06-14)</w:t>
      </w:r>
      <w:r>
        <w:t xml:space="preserve"> </w:t>
      </w:r>
      <w:hyperlink r:id="rId223">
        <w:r>
          <w:rPr>
            <w:rStyle w:val="Hyperlink"/>
          </w:rPr>
          <w:t xml:space="preserve">https://doi.org/gmndwq</w:t>
        </w:r>
      </w:hyperlink>
      <w:r>
        <w:t xml:space="preserve"> </w:t>
      </w:r>
      <w:r>
        <w:t xml:space="preserve">DOI:</w:t>
      </w:r>
      <w:r>
        <w:t xml:space="preserve"> </w:t>
      </w:r>
      <w:hyperlink r:id="rId224">
        <w:r>
          <w:rPr>
            <w:rStyle w:val="Hyperlink"/>
          </w:rPr>
          <w:t xml:space="preserve">doi.org/10.3390/agronomy10060847</w:t>
        </w:r>
      </w:hyperlink>
    </w:p>
    <w:bookmarkEnd w:id="225"/>
    <w:bookmarkStart w:id="230" w:name="ref-ZvdSTcI9"/>
    <w:p>
      <w:pPr>
        <w:pStyle w:val="Bibliography"/>
      </w:pPr>
      <w:r>
        <w:t xml:space="preserve">39.</w:t>
      </w:r>
      <w:r>
        <w:t xml:space="preserve"> </w:t>
      </w:r>
      <w:r>
        <w:t xml:space="preserve">	</w:t>
      </w:r>
      <w:r>
        <w:rPr>
          <w:bCs/>
          <w:b/>
        </w:rPr>
        <w:t xml:space="preserve">Scalable Sparse Testing Genomic Selection Strategy for Early Yield Testing Stage</w:t>
      </w:r>
      <w:r>
        <w:t xml:space="preserve"> </w:t>
      </w:r>
      <w:r>
        <w:t xml:space="preserve">Sikiru Adeniyi Atanda, Michael Olsen, Jose Crossa, Juan Burgueño, Renaud Rincent, Daniel Dzidzienyo, Yoseph Beyene, Manje Gowda, Kate Dreher, Prasanna M Boddupalli, … Kelly R Robbins</w:t>
      </w:r>
      <w:r>
        <w:t xml:space="preserve"> </w:t>
      </w:r>
      <w:r>
        <w:rPr>
          <w:iCs/>
          <w:i/>
        </w:rPr>
        <w:t xml:space="preserve">Frontiers in Plant Science</w:t>
      </w:r>
      <w:r>
        <w:t xml:space="preserve"> </w:t>
      </w:r>
      <w:r>
        <w:t xml:space="preserve">(2021-06-22)</w:t>
      </w:r>
      <w:r>
        <w:t xml:space="preserve"> </w:t>
      </w:r>
      <w:hyperlink r:id="rId226">
        <w:r>
          <w:rPr>
            <w:rStyle w:val="Hyperlink"/>
          </w:rPr>
          <w:t xml:space="preserve">https://doi.org/gj2q</w:t>
        </w:r>
      </w:hyperlink>
      <w:r>
        <w:t xml:space="preserve"> </w:t>
      </w:r>
      <w:r>
        <w:t xml:space="preserve">DOI:</w:t>
      </w:r>
      <w:r>
        <w:t xml:space="preserve"> </w:t>
      </w:r>
      <w:hyperlink r:id="rId227">
        <w:r>
          <w:rPr>
            <w:rStyle w:val="Hyperlink"/>
          </w:rPr>
          <w:t xml:space="preserve">10.3389/fpls.2021.658978</w:t>
        </w:r>
      </w:hyperlink>
      <w:r>
        <w:t xml:space="preserve"> </w:t>
      </w:r>
      <w:r>
        <w:t xml:space="preserve">· PMID:</w:t>
      </w:r>
      <w:r>
        <w:t xml:space="preserve"> </w:t>
      </w:r>
      <w:hyperlink r:id="rId228">
        <w:r>
          <w:rPr>
            <w:rStyle w:val="Hyperlink"/>
          </w:rPr>
          <w:t xml:space="preserve">34239521</w:t>
        </w:r>
      </w:hyperlink>
      <w:r>
        <w:t xml:space="preserve"> </w:t>
      </w:r>
      <w:r>
        <w:t xml:space="preserve">· PMCID:</w:t>
      </w:r>
      <w:r>
        <w:t xml:space="preserve"> </w:t>
      </w:r>
      <w:hyperlink r:id="rId229">
        <w:r>
          <w:rPr>
            <w:rStyle w:val="Hyperlink"/>
          </w:rPr>
          <w:t xml:space="preserve">PMC8259603</w:t>
        </w:r>
      </w:hyperlink>
    </w:p>
    <w:bookmarkEnd w:id="230"/>
    <w:bookmarkStart w:id="235" w:name="ref-6QvaEUvI"/>
    <w:p>
      <w:pPr>
        <w:pStyle w:val="Bibliography"/>
      </w:pPr>
      <w:r>
        <w:t xml:space="preserve">40.</w:t>
      </w:r>
      <w:r>
        <w:t xml:space="preserve"> </w:t>
      </w:r>
      <w:r>
        <w:t xml:space="preserve">	</w:t>
      </w:r>
      <w:r>
        <w:rPr>
          <w:bCs/>
          <w:b/>
        </w:rPr>
        <w:t xml:space="preserve">Strategies for Effective Use of Genomic Information in Crop Breeding Programs Serving Africa and South Asia</w:t>
      </w:r>
      <w:r>
        <w:t xml:space="preserve"> </w:t>
      </w:r>
      <w:r>
        <w:t xml:space="preserve">Nicholas Santantonio, Sikiru Adeniyi Atanda, Yoseph Beyene, Rajeev K Varshney, Michael Olsen, Elizabeth Jones, Manish Roorkiwal, Manje Gowda, Chellapilla Bharadwaj, Pooran M Gaur, … Kelly R Robbins</w:t>
      </w:r>
      <w:r>
        <w:t xml:space="preserve"> </w:t>
      </w:r>
      <w:r>
        <w:rPr>
          <w:iCs/>
          <w:i/>
        </w:rPr>
        <w:t xml:space="preserve">Frontiers in Plant Science</w:t>
      </w:r>
      <w:r>
        <w:t xml:space="preserve"> </w:t>
      </w:r>
      <w:r>
        <w:t xml:space="preserve">(2020-03-27)</w:t>
      </w:r>
      <w:r>
        <w:t xml:space="preserve"> </w:t>
      </w:r>
      <w:hyperlink r:id="rId231">
        <w:r>
          <w:rPr>
            <w:rStyle w:val="Hyperlink"/>
          </w:rPr>
          <w:t xml:space="preserve">https://doi.org/gmfpfj</w:t>
        </w:r>
      </w:hyperlink>
      <w:r>
        <w:t xml:space="preserve"> </w:t>
      </w:r>
      <w:r>
        <w:t xml:space="preserve">DOI:</w:t>
      </w:r>
      <w:r>
        <w:t xml:space="preserve"> </w:t>
      </w:r>
      <w:hyperlink r:id="rId232">
        <w:r>
          <w:rPr>
            <w:rStyle w:val="Hyperlink"/>
          </w:rPr>
          <w:t xml:space="preserve">10.3389/fpls.2020.00353</w:t>
        </w:r>
      </w:hyperlink>
      <w:r>
        <w:t xml:space="preserve"> </w:t>
      </w:r>
      <w:r>
        <w:t xml:space="preserve">· PMID:</w:t>
      </w:r>
      <w:r>
        <w:t xml:space="preserve"> </w:t>
      </w:r>
      <w:hyperlink r:id="rId233">
        <w:r>
          <w:rPr>
            <w:rStyle w:val="Hyperlink"/>
          </w:rPr>
          <w:t xml:space="preserve">32292411</w:t>
        </w:r>
      </w:hyperlink>
      <w:r>
        <w:t xml:space="preserve"> </w:t>
      </w:r>
      <w:r>
        <w:t xml:space="preserve">· PMCID:</w:t>
      </w:r>
      <w:r>
        <w:t xml:space="preserve"> </w:t>
      </w:r>
      <w:hyperlink r:id="rId234">
        <w:r>
          <w:rPr>
            <w:rStyle w:val="Hyperlink"/>
          </w:rPr>
          <w:t xml:space="preserve">PMC7119190</w:t>
        </w:r>
      </w:hyperlink>
    </w:p>
    <w:bookmarkEnd w:id="235"/>
    <w:bookmarkStart w:id="238" w:name="ref-1djkZ3cX"/>
    <w:p>
      <w:pPr>
        <w:pStyle w:val="Bibliography"/>
      </w:pPr>
      <w:r>
        <w:t xml:space="preserve">41.</w:t>
      </w:r>
      <w:r>
        <w:t xml:space="preserve"> </w:t>
      </w:r>
      <w:r>
        <w:t xml:space="preserve">	</w:t>
      </w:r>
      <w:r>
        <w:rPr>
          <w:bCs/>
          <w:b/>
        </w:rPr>
        <w:t xml:space="preserve">A Suite of High-quality Butternut Squash</w:t>
      </w:r>
      <w:r>
        <w:t xml:space="preserve"> </w:t>
      </w:r>
      <w:r>
        <w:t xml:space="preserve">Rachel L Hultengren, Lindsay Wyatt, Michael Mazourek</w:t>
      </w:r>
      <w:r>
        <w:t xml:space="preserve"> </w:t>
      </w:r>
      <w:r>
        <w:rPr>
          <w:iCs/>
          <w:i/>
        </w:rPr>
        <w:t xml:space="preserve">HortScience</w:t>
      </w:r>
      <w:r>
        <w:t xml:space="preserve"> </w:t>
      </w:r>
      <w:r>
        <w:t xml:space="preserve">(2016-11)</w:t>
      </w:r>
      <w:r>
        <w:t xml:space="preserve"> </w:t>
      </w:r>
      <w:hyperlink r:id="rId236">
        <w:r>
          <w:rPr>
            <w:rStyle w:val="Hyperlink"/>
          </w:rPr>
          <w:t xml:space="preserve">https://doi.org/gmndzt</w:t>
        </w:r>
      </w:hyperlink>
      <w:r>
        <w:t xml:space="preserve"> </w:t>
      </w:r>
      <w:r>
        <w:t xml:space="preserve">DOI:</w:t>
      </w:r>
      <w:r>
        <w:t xml:space="preserve"> </w:t>
      </w:r>
      <w:hyperlink r:id="rId237">
        <w:r>
          <w:rPr>
            <w:rStyle w:val="Hyperlink"/>
          </w:rPr>
          <w:t xml:space="preserve">10.21273/hortsci10987-16</w:t>
        </w:r>
      </w:hyperlink>
    </w:p>
    <w:bookmarkEnd w:id="238"/>
    <w:bookmarkStart w:id="242" w:name="ref-19dH3oEl"/>
    <w:p>
      <w:pPr>
        <w:pStyle w:val="Bibliography"/>
      </w:pPr>
      <w:r>
        <w:t xml:space="preserve">42.</w:t>
      </w:r>
      <w:r>
        <w:t xml:space="preserve"> </w:t>
      </w:r>
      <w:r>
        <w:t xml:space="preserve">	</w:t>
      </w:r>
      <w:r>
        <w:rPr>
          <w:bCs/>
          <w:b/>
        </w:rPr>
        <w:t xml:space="preserve">A combined BSA-Seq and linkage mapping approach identifies genomic regions associated with Phytophthora root and crown rot resistance in squash</w:t>
      </w:r>
      <w:r>
        <w:t xml:space="preserve"> </w:t>
      </w:r>
      <w:r>
        <w:t xml:space="preserve">Gregory Vogel, Kyle E LaPlant, Michael Mazourek, Michael A Gore, Christine D Smart</w:t>
      </w:r>
      <w:r>
        <w:t xml:space="preserve"> </w:t>
      </w:r>
      <w:r>
        <w:rPr>
          <w:iCs/>
          <w:i/>
        </w:rPr>
        <w:t xml:space="preserve">Theoretical and Applied Genetics</w:t>
      </w:r>
      <w:r>
        <w:t xml:space="preserve"> </w:t>
      </w:r>
      <w:r>
        <w:t xml:space="preserve">(2021-01-03)</w:t>
      </w:r>
      <w:r>
        <w:t xml:space="preserve"> </w:t>
      </w:r>
      <w:hyperlink r:id="rId239">
        <w:r>
          <w:rPr>
            <w:rStyle w:val="Hyperlink"/>
          </w:rPr>
          <w:t xml:space="preserve">https://doi.org/gmndwj</w:t>
        </w:r>
      </w:hyperlink>
      <w:r>
        <w:t xml:space="preserve"> </w:t>
      </w:r>
      <w:r>
        <w:t xml:space="preserve">DOI:</w:t>
      </w:r>
      <w:r>
        <w:t xml:space="preserve"> </w:t>
      </w:r>
      <w:hyperlink r:id="rId240">
        <w:r>
          <w:rPr>
            <w:rStyle w:val="Hyperlink"/>
          </w:rPr>
          <w:t xml:space="preserve">10.1007/s00122-020-03747-1</w:t>
        </w:r>
      </w:hyperlink>
      <w:r>
        <w:t xml:space="preserve"> </w:t>
      </w:r>
      <w:r>
        <w:t xml:space="preserve">· PMID:</w:t>
      </w:r>
      <w:r>
        <w:t xml:space="preserve"> </w:t>
      </w:r>
      <w:hyperlink r:id="rId241">
        <w:r>
          <w:rPr>
            <w:rStyle w:val="Hyperlink"/>
          </w:rPr>
          <w:t xml:space="preserve">33388885</w:t>
        </w:r>
      </w:hyperlink>
    </w:p>
    <w:bookmarkEnd w:id="242"/>
    <w:bookmarkStart w:id="245" w:name="ref-1Fqob4Pjw"/>
    <w:p>
      <w:pPr>
        <w:pStyle w:val="Bibliography"/>
      </w:pPr>
      <w:r>
        <w:t xml:space="preserve">43.</w:t>
      </w:r>
      <w:r>
        <w:t xml:space="preserve"> </w:t>
      </w:r>
      <w:r>
        <w:t xml:space="preserve">	</w:t>
      </w:r>
      <w:r>
        <w:rPr>
          <w:bCs/>
          <w:b/>
        </w:rPr>
        <w:t xml:space="preserve">Performance and Resistance to Phytophthora Crown and Root Rot in Squash Lines</w:t>
      </w:r>
      <w:r>
        <w:t xml:space="preserve"> </w:t>
      </w:r>
      <w:r>
        <w:t xml:space="preserve">Kyle E LaPlant, Gregory Vogel, Ella Reeves, Christine D Smart, Michael Mazourek</w:t>
      </w:r>
      <w:r>
        <w:t xml:space="preserve"> </w:t>
      </w:r>
      <w:r>
        <w:rPr>
          <w:iCs/>
          <w:i/>
        </w:rPr>
        <w:t xml:space="preserve">HortTechnology</w:t>
      </w:r>
      <w:r>
        <w:t xml:space="preserve"> </w:t>
      </w:r>
      <w:r>
        <w:t xml:space="preserve">(2020-10)</w:t>
      </w:r>
      <w:r>
        <w:t xml:space="preserve"> </w:t>
      </w:r>
      <w:hyperlink r:id="rId243">
        <w:r>
          <w:rPr>
            <w:rStyle w:val="Hyperlink"/>
          </w:rPr>
          <w:t xml:space="preserve">https://doi.org/gmndwp</w:t>
        </w:r>
      </w:hyperlink>
      <w:r>
        <w:t xml:space="preserve"> </w:t>
      </w:r>
      <w:r>
        <w:t xml:space="preserve">DOI:</w:t>
      </w:r>
      <w:r>
        <w:t xml:space="preserve"> </w:t>
      </w:r>
      <w:hyperlink r:id="rId244">
        <w:r>
          <w:rPr>
            <w:rStyle w:val="Hyperlink"/>
          </w:rPr>
          <w:t xml:space="preserve">10.21273/horttech04636-20</w:t>
        </w:r>
      </w:hyperlink>
    </w:p>
    <w:bookmarkEnd w:id="245"/>
    <w:bookmarkStart w:id="249" w:name="ref-mlGzjIQ0"/>
    <w:p>
      <w:pPr>
        <w:pStyle w:val="Bibliography"/>
      </w:pPr>
      <w:r>
        <w:t xml:space="preserve">44.</w:t>
      </w:r>
      <w:r>
        <w:t xml:space="preserve"> </w:t>
      </w:r>
      <w:r>
        <w:t xml:space="preserve">	</w:t>
      </w:r>
      <w:r>
        <w:rPr>
          <w:bCs/>
          <w:b/>
        </w:rPr>
        <w:t xml:space="preserve">Divergence of defensive cucurbitacins in independent domestication events leads to differences in specialist herbivore preference</w:t>
      </w:r>
      <w:r>
        <w:t xml:space="preserve"> </w:t>
      </w:r>
      <w:r>
        <w:t xml:space="preserve">Lauren J Brzozowski, Michael A Gore, Anurag A Agrawal, Michael Mazourek</w:t>
      </w:r>
      <w:r>
        <w:t xml:space="preserve"> </w:t>
      </w:r>
      <w:r>
        <w:rPr>
          <w:iCs/>
          <w:i/>
        </w:rPr>
        <w:t xml:space="preserve">Plant, Cell &amp; Environment</w:t>
      </w:r>
      <w:r>
        <w:t xml:space="preserve"> </w:t>
      </w:r>
      <w:r>
        <w:t xml:space="preserve">(2020-09-12)</w:t>
      </w:r>
      <w:r>
        <w:t xml:space="preserve"> </w:t>
      </w:r>
      <w:hyperlink r:id="rId246">
        <w:r>
          <w:rPr>
            <w:rStyle w:val="Hyperlink"/>
          </w:rPr>
          <w:t xml:space="preserve">https://doi.org/gmcbhx</w:t>
        </w:r>
      </w:hyperlink>
      <w:r>
        <w:t xml:space="preserve"> </w:t>
      </w:r>
      <w:r>
        <w:t xml:space="preserve">DOI:</w:t>
      </w:r>
      <w:r>
        <w:t xml:space="preserve"> </w:t>
      </w:r>
      <w:hyperlink r:id="rId247">
        <w:r>
          <w:rPr>
            <w:rStyle w:val="Hyperlink"/>
          </w:rPr>
          <w:t xml:space="preserve">10.1111/pce.13844</w:t>
        </w:r>
      </w:hyperlink>
      <w:r>
        <w:t xml:space="preserve"> </w:t>
      </w:r>
      <w:r>
        <w:t xml:space="preserve">· PMID:</w:t>
      </w:r>
      <w:r>
        <w:t xml:space="preserve"> </w:t>
      </w:r>
      <w:hyperlink r:id="rId248">
        <w:r>
          <w:rPr>
            <w:rStyle w:val="Hyperlink"/>
          </w:rPr>
          <w:t xml:space="preserve">32666553</w:t>
        </w:r>
      </w:hyperlink>
    </w:p>
    <w:bookmarkEnd w:id="249"/>
    <w:bookmarkEnd w:id="250"/>
    <w:bookmarkEnd w:id="251"/>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8" Target="media/rId58.png" /><Relationship Type="http://schemas.openxmlformats.org/officeDocument/2006/relationships/image" Id="rId43" Target="media/rId43.png" /><Relationship Type="http://schemas.openxmlformats.org/officeDocument/2006/relationships/image" Id="rId56" Target="media/rId56.png" /><Relationship Type="http://schemas.openxmlformats.org/officeDocument/2006/relationships/image" Id="rId22" Target="media/rId22.svg" /><Relationship Type="http://schemas.openxmlformats.org/officeDocument/2006/relationships/image" Id="rId45" Target="media/rId4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hyperlink" Id="rId20" Target="https://ch728.github.io/cucurbit-usda/v/38dde383203b10a271d1e47ea5273075d3e1fe33/" TargetMode="External" /><Relationship Type="http://schemas.openxmlformats.org/officeDocument/2006/relationships/hyperlink" Id="rId61" Target="https://doi.org/10.1007/978-0-387-30443-4_10" TargetMode="External" /><Relationship Type="http://schemas.openxmlformats.org/officeDocument/2006/relationships/hyperlink" Id="rId240" Target="https://doi.org/10.1007/s00122-020-03747-1" TargetMode="External" /><Relationship Type="http://schemas.openxmlformats.org/officeDocument/2006/relationships/hyperlink" Id="rId125" Target="https://doi.org/10.1007/s10681-015-1605-y" TargetMode="External" /><Relationship Type="http://schemas.openxmlformats.org/officeDocument/2006/relationships/hyperlink" Id="rId90" Target="https://doi.org/10.1007/s11032-018-0869-z" TargetMode="External" /><Relationship Type="http://schemas.openxmlformats.org/officeDocument/2006/relationships/hyperlink" Id="rId137" Target="https://doi.org/10.1007/s12231-012-9186-3" TargetMode="External" /><Relationship Type="http://schemas.openxmlformats.org/officeDocument/2006/relationships/hyperlink" Id="rId71" Target="https://doi.org/10.1016/j.molp.2017.09.003" TargetMode="External" /><Relationship Type="http://schemas.openxmlformats.org/officeDocument/2006/relationships/hyperlink" Id="rId109" Target="https://doi.org/10.1016/j.molp.2020.08.011" TargetMode="External" /><Relationship Type="http://schemas.openxmlformats.org/officeDocument/2006/relationships/hyperlink" Id="rId128" Target="https://doi.org/10.1016/j.ympev.2017.03.002" TargetMode="External" /><Relationship Type="http://schemas.openxmlformats.org/officeDocument/2006/relationships/hyperlink" Id="rId113" Target="https://doi.org/10.1038/s41438-018-0080-8" TargetMode="External" /><Relationship Type="http://schemas.openxmlformats.org/officeDocument/2006/relationships/hyperlink" Id="rId99" Target="https://doi.org/10.1038/s41438-019-0176-9" TargetMode="External" /><Relationship Type="http://schemas.openxmlformats.org/officeDocument/2006/relationships/hyperlink" Id="rId85" Target="https://doi.org/10.1038/s41598-017-13216-3" TargetMode="External" /><Relationship Type="http://schemas.openxmlformats.org/officeDocument/2006/relationships/hyperlink" Id="rId164" Target="https://doi.org/10.1086/519795" TargetMode="External" /><Relationship Type="http://schemas.openxmlformats.org/officeDocument/2006/relationships/hyperlink" Id="rId132" Target="https://doi.org/10.1093/aob/mcw080" TargetMode="External" /><Relationship Type="http://schemas.openxmlformats.org/officeDocument/2006/relationships/hyperlink" Id="rId197" Target="https://doi.org/10.1093/bioinformatics/btm308" TargetMode="External" /><Relationship Type="http://schemas.openxmlformats.org/officeDocument/2006/relationships/hyperlink" Id="rId149" Target="https://doi.org/10.1093/bioinformatics/btp324" TargetMode="External" /><Relationship Type="http://schemas.openxmlformats.org/officeDocument/2006/relationships/hyperlink" Id="rId154" Target="https://doi.org/10.1093/bioinformatics/btr330" TargetMode="External" /><Relationship Type="http://schemas.openxmlformats.org/officeDocument/2006/relationships/hyperlink" Id="rId201" Target="https://doi.org/10.1093/bioinformatics/btz567" TargetMode="External" /><Relationship Type="http://schemas.openxmlformats.org/officeDocument/2006/relationships/hyperlink" Id="rId221" Target="https://doi.org/10.1093/genetics/157.4.1819" TargetMode="External" /><Relationship Type="http://schemas.openxmlformats.org/officeDocument/2006/relationships/hyperlink" Id="rId75" Target="https://doi.org/10.1093/nar/gky944" TargetMode="External" /><Relationship Type="http://schemas.openxmlformats.org/officeDocument/2006/relationships/hyperlink" Id="rId67" Target="https://doi.org/10.1111/nph.16015" TargetMode="External" /><Relationship Type="http://schemas.openxmlformats.org/officeDocument/2006/relationships/hyperlink" Id="rId118" Target="https://doi.org/10.1111/pbi.13136" TargetMode="External" /><Relationship Type="http://schemas.openxmlformats.org/officeDocument/2006/relationships/hyperlink" Id="rId140" Target="https://doi.org/10.1111/pce.12502" TargetMode="External" /><Relationship Type="http://schemas.openxmlformats.org/officeDocument/2006/relationships/hyperlink" Id="rId247" Target="https://doi.org/10.1111/pce.13844" TargetMode="External" /><Relationship Type="http://schemas.openxmlformats.org/officeDocument/2006/relationships/hyperlink" Id="rId189" Target="https://doi.org/10.1177/0049124116638107" TargetMode="External" /><Relationship Type="http://schemas.openxmlformats.org/officeDocument/2006/relationships/hyperlink" Id="rId159" Target="https://doi.org/10.1186/1471-2105-12-246" TargetMode="External" /><Relationship Type="http://schemas.openxmlformats.org/officeDocument/2006/relationships/hyperlink" Id="rId184" Target="https://doi.org/10.1186/1471-2156-15-87" TargetMode="External" /><Relationship Type="http://schemas.openxmlformats.org/officeDocument/2006/relationships/hyperlink" Id="rId174" Target="https://doi.org/10.1186/1471-2164-15-162" TargetMode="External" /><Relationship Type="http://schemas.openxmlformats.org/officeDocument/2006/relationships/hyperlink" Id="rId216" Target="https://doi.org/10.1186/s12284-019-0311-0" TargetMode="External" /><Relationship Type="http://schemas.openxmlformats.org/officeDocument/2006/relationships/hyperlink" Id="rId206" Target="https://doi.org/10.1186/s12864-015-2312-8" TargetMode="External" /><Relationship Type="http://schemas.openxmlformats.org/officeDocument/2006/relationships/hyperlink" Id="rId80" Target="https://doi.org/10.1186/s12864-016-3439-y" TargetMode="External" /><Relationship Type="http://schemas.openxmlformats.org/officeDocument/2006/relationships/hyperlink" Id="rId179" Target="https://doi.org/10.1371/journal.pgen.1005048" TargetMode="External" /><Relationship Type="http://schemas.openxmlformats.org/officeDocument/2006/relationships/hyperlink" Id="rId144" Target="https://doi.org/10.1371/journal.pone.0090346" TargetMode="External" /><Relationship Type="http://schemas.openxmlformats.org/officeDocument/2006/relationships/hyperlink" Id="rId169" Target="https://doi.org/10.1371/journal.pone.0156744" TargetMode="External" /><Relationship Type="http://schemas.openxmlformats.org/officeDocument/2006/relationships/hyperlink" Id="rId211" Target="https://doi.org/10.1371/journal.pone.0181420" TargetMode="External" /><Relationship Type="http://schemas.openxmlformats.org/officeDocument/2006/relationships/hyperlink" Id="rId192" Target="https://doi.org/10.1534/g3.115.021667" TargetMode="External" /><Relationship Type="http://schemas.openxmlformats.org/officeDocument/2006/relationships/hyperlink" Id="rId104" Target="https://doi.org/10.1534/g3.120.401215" TargetMode="External" /><Relationship Type="http://schemas.openxmlformats.org/officeDocument/2006/relationships/hyperlink" Id="rId64" Target="https://doi.org/10.21273/hortsci.40.6.1620" TargetMode="External" /><Relationship Type="http://schemas.openxmlformats.org/officeDocument/2006/relationships/hyperlink" Id="rId237" Target="https://doi.org/10.21273/hortsci10987-16" TargetMode="External" /><Relationship Type="http://schemas.openxmlformats.org/officeDocument/2006/relationships/hyperlink" Id="rId244" Target="https://doi.org/10.21273/horttech04636-20" TargetMode="External" /><Relationship Type="http://schemas.openxmlformats.org/officeDocument/2006/relationships/hyperlink" Id="rId232" Target="https://doi.org/10.3389/fpls.2020.00353" TargetMode="External" /><Relationship Type="http://schemas.openxmlformats.org/officeDocument/2006/relationships/hyperlink" Id="rId227" Target="https://doi.org/10.3389/fpls.2021.658978" TargetMode="External" /><Relationship Type="http://schemas.openxmlformats.org/officeDocument/2006/relationships/hyperlink" Id="rId95" Target="https://doi.org/10.3835/plantgenome2018.10.0082" TargetMode="External" /><Relationship Type="http://schemas.openxmlformats.org/officeDocument/2006/relationships/hyperlink" Id="rId122" Target="https://doi.org/abs/10.1080/07352680490490733" TargetMode="External" /><Relationship Type="http://schemas.openxmlformats.org/officeDocument/2006/relationships/hyperlink" Id="rId153" Target="https://doi.org/b6kxfd" TargetMode="External" /><Relationship Type="http://schemas.openxmlformats.org/officeDocument/2006/relationships/hyperlink" Id="rId215" Target="https://doi.org/c8vh" TargetMode="External" /><Relationship Type="http://schemas.openxmlformats.org/officeDocument/2006/relationships/hyperlink" Id="rId163" Target="https://doi.org/cp2rzn" TargetMode="External" /><Relationship Type="http://schemas.openxmlformats.org/officeDocument/2006/relationships/hyperlink" Id="rId60" Target="https://doi.org/dmqkmf" TargetMode="External" /><Relationship Type="http://schemas.openxmlformats.org/officeDocument/2006/relationships/hyperlink" Id="rId224" Target="https://doi.org/doi.org/10.3390/agronomy10060847" TargetMode="External" /><Relationship Type="http://schemas.openxmlformats.org/officeDocument/2006/relationships/hyperlink" Id="rId148" Target="https://doi.org/dqt59j" TargetMode="External" /><Relationship Type="http://schemas.openxmlformats.org/officeDocument/2006/relationships/hyperlink" Id="rId158" Target="https://doi.org/dtnztg" TargetMode="External" /><Relationship Type="http://schemas.openxmlformats.org/officeDocument/2006/relationships/hyperlink" Id="rId173" Target="https://doi.org/f5xgnj" TargetMode="External" /><Relationship Type="http://schemas.openxmlformats.org/officeDocument/2006/relationships/hyperlink" Id="rId143" Target="https://doi.org/f5zjsk" TargetMode="External" /><Relationship Type="http://schemas.openxmlformats.org/officeDocument/2006/relationships/hyperlink" Id="rId183" Target="https://doi.org/f6jhz3" TargetMode="External" /><Relationship Type="http://schemas.openxmlformats.org/officeDocument/2006/relationships/hyperlink" Id="rId191" Target="https://doi.org/f79ns2" TargetMode="External" /><Relationship Type="http://schemas.openxmlformats.org/officeDocument/2006/relationships/hyperlink" Id="rId139" Target="https://doi.org/f7jhh7" TargetMode="External" /><Relationship Type="http://schemas.openxmlformats.org/officeDocument/2006/relationships/hyperlink" Id="rId124" Target="https://doi.org/f8ds6k" TargetMode="External" /><Relationship Type="http://schemas.openxmlformats.org/officeDocument/2006/relationships/hyperlink" Id="rId127" Target="https://doi.org/f97dq2" TargetMode="External" /><Relationship Type="http://schemas.openxmlformats.org/officeDocument/2006/relationships/hyperlink" Id="rId196" Target="https://doi.org/fdj9qg" TargetMode="External" /><Relationship Type="http://schemas.openxmlformats.org/officeDocument/2006/relationships/hyperlink" Id="rId136" Target="https://doi.org/fzc57g" TargetMode="External" /><Relationship Type="http://schemas.openxmlformats.org/officeDocument/2006/relationships/hyperlink" Id="rId205" Target="https://doi.org/gb3hqt" TargetMode="External" /><Relationship Type="http://schemas.openxmlformats.org/officeDocument/2006/relationships/hyperlink" Id="rId70" Target="https://doi.org/gb4cx2" TargetMode="External" /><Relationship Type="http://schemas.openxmlformats.org/officeDocument/2006/relationships/hyperlink" Id="rId210" Target="https://doi.org/gbn84s" TargetMode="External" /><Relationship Type="http://schemas.openxmlformats.org/officeDocument/2006/relationships/hyperlink" Id="rId89" Target="https://doi.org/gd6tc4" TargetMode="External" /><Relationship Type="http://schemas.openxmlformats.org/officeDocument/2006/relationships/hyperlink" Id="rId188" Target="https://doi.org/gdzt5m" TargetMode="External" /><Relationship Type="http://schemas.openxmlformats.org/officeDocument/2006/relationships/hyperlink" Id="rId112" Target="https://doi.org/gfdjfd" TargetMode="External" /><Relationship Type="http://schemas.openxmlformats.org/officeDocument/2006/relationships/hyperlink" Id="rId168" Target="https://doi.org/ggjp6v" TargetMode="External" /><Relationship Type="http://schemas.openxmlformats.org/officeDocument/2006/relationships/hyperlink" Id="rId226" Target="https://doi.org/gj2q" TargetMode="External" /><Relationship Type="http://schemas.openxmlformats.org/officeDocument/2006/relationships/hyperlink" Id="rId220" Target="https://doi.org/gknztd" TargetMode="External" /><Relationship Type="http://schemas.openxmlformats.org/officeDocument/2006/relationships/hyperlink" Id="rId246" Target="https://doi.org/gmcbhx" TargetMode="External" /><Relationship Type="http://schemas.openxmlformats.org/officeDocument/2006/relationships/hyperlink" Id="rId74" Target="https://doi.org/gmcmq9" TargetMode="External" /><Relationship Type="http://schemas.openxmlformats.org/officeDocument/2006/relationships/hyperlink" Id="rId231" Target="https://doi.org/gmfpfj" TargetMode="External" /><Relationship Type="http://schemas.openxmlformats.org/officeDocument/2006/relationships/hyperlink" Id="rId131" Target="https://doi.org/gmkk6b" TargetMode="External" /><Relationship Type="http://schemas.openxmlformats.org/officeDocument/2006/relationships/hyperlink" Id="rId63" Target="https://doi.org/gmkkfh" TargetMode="External" /><Relationship Type="http://schemas.openxmlformats.org/officeDocument/2006/relationships/hyperlink" Id="rId84" Target="https://doi.org/gmkktr" TargetMode="External" /><Relationship Type="http://schemas.openxmlformats.org/officeDocument/2006/relationships/hyperlink" Id="rId117" Target="https://doi.org/gmkktt" TargetMode="External" /><Relationship Type="http://schemas.openxmlformats.org/officeDocument/2006/relationships/hyperlink" Id="rId98" Target="https://doi.org/gmkkvd" TargetMode="External" /><Relationship Type="http://schemas.openxmlformats.org/officeDocument/2006/relationships/hyperlink" Id="rId79" Target="https://doi.org/gmkkvf" TargetMode="External" /><Relationship Type="http://schemas.openxmlformats.org/officeDocument/2006/relationships/hyperlink" Id="rId94" Target="https://doi.org/gmkkvg" TargetMode="External" /><Relationship Type="http://schemas.openxmlformats.org/officeDocument/2006/relationships/hyperlink" Id="rId178" Target="https://doi.org/gmkw9r" TargetMode="External" /><Relationship Type="http://schemas.openxmlformats.org/officeDocument/2006/relationships/hyperlink" Id="rId103" Target="https://doi.org/gmkzhb" TargetMode="External" /><Relationship Type="http://schemas.openxmlformats.org/officeDocument/2006/relationships/hyperlink" Id="rId108" Target="https://doi.org/gmkzrd" TargetMode="External" /><Relationship Type="http://schemas.openxmlformats.org/officeDocument/2006/relationships/hyperlink" Id="rId200" Target="https://doi.org/gmnd4d" TargetMode="External" /><Relationship Type="http://schemas.openxmlformats.org/officeDocument/2006/relationships/hyperlink" Id="rId239" Target="https://doi.org/gmndwj" TargetMode="External" /><Relationship Type="http://schemas.openxmlformats.org/officeDocument/2006/relationships/hyperlink" Id="rId243" Target="https://doi.org/gmndwp" TargetMode="External" /><Relationship Type="http://schemas.openxmlformats.org/officeDocument/2006/relationships/hyperlink" Id="rId223" Target="https://doi.org/gmndwq" TargetMode="External" /><Relationship Type="http://schemas.openxmlformats.org/officeDocument/2006/relationships/hyperlink" Id="rId236" Target="https://doi.org/gmndzt" TargetMode="External" /><Relationship Type="http://schemas.openxmlformats.org/officeDocument/2006/relationships/hyperlink" Id="rId66" Target="https://doi.org/gsg7" TargetMode="External" /><Relationship Type="http://schemas.openxmlformats.org/officeDocument/2006/relationships/hyperlink" Id="rId21" Target="https://github.com/ch728/cucurbit-usda/tree/38dde383203b10a271d1e47ea5273075d3e1fe33" TargetMode="External" /><Relationship Type="http://schemas.openxmlformats.org/officeDocument/2006/relationships/hyperlink" Id="rId25" Target="https://orcid.org/0000-0001-9684-1450" TargetMode="External" /><Relationship Type="http://schemas.openxmlformats.org/officeDocument/2006/relationships/hyperlink" Id="rId24" Target="https://orcid.org/0000-0002-1552-6924" TargetMode="External" /><Relationship Type="http://schemas.openxmlformats.org/officeDocument/2006/relationships/hyperlink" Id="rId23" Target="https://orcid.org/0000-0002-1668-7121" TargetMode="External" /><Relationship Type="http://schemas.openxmlformats.org/officeDocument/2006/relationships/hyperlink" Id="rId26" Target="https://orcid.org/0000-0002-2285-7692" TargetMode="External" /><Relationship Type="http://schemas.openxmlformats.org/officeDocument/2006/relationships/hyperlink" Id="rId166" Target="https://www.ncbi.nlm.nih.gov/pmc/articles/PMC1950838" TargetMode="External" /><Relationship Type="http://schemas.openxmlformats.org/officeDocument/2006/relationships/hyperlink" Id="rId151" Target="https://www.ncbi.nlm.nih.gov/pmc/articles/PMC2705234" TargetMode="External" /><Relationship Type="http://schemas.openxmlformats.org/officeDocument/2006/relationships/hyperlink" Id="rId156" Target="https://www.ncbi.nlm.nih.gov/pmc/articles/PMC3137218" TargetMode="External" /><Relationship Type="http://schemas.openxmlformats.org/officeDocument/2006/relationships/hyperlink" Id="rId161" Target="https://www.ncbi.nlm.nih.gov/pmc/articles/PMC3146885" TargetMode="External" /><Relationship Type="http://schemas.openxmlformats.org/officeDocument/2006/relationships/hyperlink" Id="rId146" Target="https://www.ncbi.nlm.nih.gov/pmc/articles/PMC3938676" TargetMode="External" /><Relationship Type="http://schemas.openxmlformats.org/officeDocument/2006/relationships/hyperlink" Id="rId176" Target="https://www.ncbi.nlm.nih.gov/pmc/articles/PMC3945939" TargetMode="External" /><Relationship Type="http://schemas.openxmlformats.org/officeDocument/2006/relationships/hyperlink" Id="rId186" Target="https://www.ncbi.nlm.nih.gov/pmc/articles/PMC4113669" TargetMode="External" /><Relationship Type="http://schemas.openxmlformats.org/officeDocument/2006/relationships/hyperlink" Id="rId181" Target="https://www.ncbi.nlm.nih.gov/pmc/articles/PMC4420472" TargetMode="External" /><Relationship Type="http://schemas.openxmlformats.org/officeDocument/2006/relationships/hyperlink" Id="rId194" Target="https://www.ncbi.nlm.nih.gov/pmc/articles/PMC4632058" TargetMode="External" /><Relationship Type="http://schemas.openxmlformats.org/officeDocument/2006/relationships/hyperlink" Id="rId208" Target="https://www.ncbi.nlm.nih.gov/pmc/articles/PMC4690373" TargetMode="External" /><Relationship Type="http://schemas.openxmlformats.org/officeDocument/2006/relationships/hyperlink" Id="rId171" Target="https://www.ncbi.nlm.nih.gov/pmc/articles/PMC4894563" TargetMode="External" /><Relationship Type="http://schemas.openxmlformats.org/officeDocument/2006/relationships/hyperlink" Id="rId134" Target="https://www.ncbi.nlm.nih.gov/pmc/articles/PMC4934399" TargetMode="External" /><Relationship Type="http://schemas.openxmlformats.org/officeDocument/2006/relationships/hyperlink" Id="rId82" Target="https://www.ncbi.nlm.nih.gov/pmc/articles/PMC5241963" TargetMode="External" /><Relationship Type="http://schemas.openxmlformats.org/officeDocument/2006/relationships/hyperlink" Id="rId213" Target="https://www.ncbi.nlm.nih.gov/pmc/articles/PMC5519076" TargetMode="External" /><Relationship Type="http://schemas.openxmlformats.org/officeDocument/2006/relationships/hyperlink" Id="rId87" Target="https://www.ncbi.nlm.nih.gov/pmc/articles/PMC5630576" TargetMode="External" /><Relationship Type="http://schemas.openxmlformats.org/officeDocument/2006/relationships/hyperlink" Id="rId92" Target="https://www.ncbi.nlm.nih.gov/pmc/articles/PMC6133072" TargetMode="External" /><Relationship Type="http://schemas.openxmlformats.org/officeDocument/2006/relationships/hyperlink" Id="rId115" Target="https://www.ncbi.nlm.nih.gov/pmc/articles/PMC6165849" TargetMode="External" /><Relationship Type="http://schemas.openxmlformats.org/officeDocument/2006/relationships/hyperlink" Id="rId77" Target="https://www.ncbi.nlm.nih.gov/pmc/articles/PMC6324010" TargetMode="External" /><Relationship Type="http://schemas.openxmlformats.org/officeDocument/2006/relationships/hyperlink" Id="rId218" Target="https://www.ncbi.nlm.nih.gov/pmc/articles/PMC6660535" TargetMode="External" /><Relationship Type="http://schemas.openxmlformats.org/officeDocument/2006/relationships/hyperlink" Id="rId101" Target="https://www.ncbi.nlm.nih.gov/pmc/articles/PMC6804688" TargetMode="External" /><Relationship Type="http://schemas.openxmlformats.org/officeDocument/2006/relationships/hyperlink" Id="rId120" Target="https://www.ncbi.nlm.nih.gov/pmc/articles/PMC6835170" TargetMode="External" /><Relationship Type="http://schemas.openxmlformats.org/officeDocument/2006/relationships/hyperlink" Id="rId234" Target="https://www.ncbi.nlm.nih.gov/pmc/articles/PMC7119190" TargetMode="External" /><Relationship Type="http://schemas.openxmlformats.org/officeDocument/2006/relationships/hyperlink" Id="rId106" Target="https://www.ncbi.nlm.nih.gov/pmc/articles/PMC7534422" TargetMode="External" /><Relationship Type="http://schemas.openxmlformats.org/officeDocument/2006/relationships/hyperlink" Id="rId203" Target="https://www.ncbi.nlm.nih.gov/pmc/articles/PMC7904076" TargetMode="External" /><Relationship Type="http://schemas.openxmlformats.org/officeDocument/2006/relationships/hyperlink" Id="rId229" Target="https://www.ncbi.nlm.nih.gov/pmc/articles/PMC8259603" TargetMode="External" /><Relationship Type="http://schemas.openxmlformats.org/officeDocument/2006/relationships/hyperlink" Id="rId198" Target="https://www.ncbi.nlm.nih.gov/pubmed/17586829" TargetMode="External" /><Relationship Type="http://schemas.openxmlformats.org/officeDocument/2006/relationships/hyperlink" Id="rId165" Target="https://www.ncbi.nlm.nih.gov/pubmed/17701901" TargetMode="External" /><Relationship Type="http://schemas.openxmlformats.org/officeDocument/2006/relationships/hyperlink" Id="rId150" Target="https://www.ncbi.nlm.nih.gov/pubmed/19451168" TargetMode="External" /><Relationship Type="http://schemas.openxmlformats.org/officeDocument/2006/relationships/hyperlink" Id="rId155" Target="https://www.ncbi.nlm.nih.gov/pubmed/21653522" TargetMode="External" /><Relationship Type="http://schemas.openxmlformats.org/officeDocument/2006/relationships/hyperlink" Id="rId160" Target="https://www.ncbi.nlm.nih.gov/pubmed/21682921" TargetMode="External" /><Relationship Type="http://schemas.openxmlformats.org/officeDocument/2006/relationships/hyperlink" Id="rId175" Target="https://www.ncbi.nlm.nih.gov/pubmed/24571581" TargetMode="External" /><Relationship Type="http://schemas.openxmlformats.org/officeDocument/2006/relationships/hyperlink" Id="rId145" Target="https://www.ncbi.nlm.nih.gov/pubmed/24587335" TargetMode="External" /><Relationship Type="http://schemas.openxmlformats.org/officeDocument/2006/relationships/hyperlink" Id="rId185" Target="https://www.ncbi.nlm.nih.gov/pubmed/25053450" TargetMode="External" /><Relationship Type="http://schemas.openxmlformats.org/officeDocument/2006/relationships/hyperlink" Id="rId141" Target="https://www.ncbi.nlm.nih.gov/pubmed/25546629" TargetMode="External" /><Relationship Type="http://schemas.openxmlformats.org/officeDocument/2006/relationships/hyperlink" Id="rId180" Target="https://www.ncbi.nlm.nih.gov/pubmed/25942577" TargetMode="External" /><Relationship Type="http://schemas.openxmlformats.org/officeDocument/2006/relationships/hyperlink" Id="rId193" Target="https://www.ncbi.nlm.nih.gov/pubmed/26377960" TargetMode="External" /><Relationship Type="http://schemas.openxmlformats.org/officeDocument/2006/relationships/hyperlink" Id="rId207" Target="https://www.ncbi.nlm.nih.gov/pubmed/26704908" TargetMode="External" /><Relationship Type="http://schemas.openxmlformats.org/officeDocument/2006/relationships/hyperlink" Id="rId170" Target="https://www.ncbi.nlm.nih.gov/pubmed/27271781" TargetMode="External" /><Relationship Type="http://schemas.openxmlformats.org/officeDocument/2006/relationships/hyperlink" Id="rId133" Target="https://www.ncbi.nlm.nih.gov/pubmed/27343231" TargetMode="External" /><Relationship Type="http://schemas.openxmlformats.org/officeDocument/2006/relationships/hyperlink" Id="rId81" Target="https://www.ncbi.nlm.nih.gov/pubmed/28100189" TargetMode="External" /><Relationship Type="http://schemas.openxmlformats.org/officeDocument/2006/relationships/hyperlink" Id="rId129" Target="https://www.ncbi.nlm.nih.gov/pubmed/28288944" TargetMode="External" /><Relationship Type="http://schemas.openxmlformats.org/officeDocument/2006/relationships/hyperlink" Id="rId212" Target="https://www.ncbi.nlm.nih.gov/pubmed/28727806" TargetMode="External" /><Relationship Type="http://schemas.openxmlformats.org/officeDocument/2006/relationships/hyperlink" Id="rId72" Target="https://www.ncbi.nlm.nih.gov/pubmed/28917590" TargetMode="External" /><Relationship Type="http://schemas.openxmlformats.org/officeDocument/2006/relationships/hyperlink" Id="rId86" Target="https://www.ncbi.nlm.nih.gov/pubmed/28986571" TargetMode="External" /><Relationship Type="http://schemas.openxmlformats.org/officeDocument/2006/relationships/hyperlink" Id="rId91" Target="https://www.ncbi.nlm.nih.gov/pubmed/30237748" TargetMode="External" /><Relationship Type="http://schemas.openxmlformats.org/officeDocument/2006/relationships/hyperlink" Id="rId114" Target="https://www.ncbi.nlm.nih.gov/pubmed/30302260" TargetMode="External" /><Relationship Type="http://schemas.openxmlformats.org/officeDocument/2006/relationships/hyperlink" Id="rId76" Target="https://www.ncbi.nlm.nih.gov/pubmed/30321383" TargetMode="External" /><Relationship Type="http://schemas.openxmlformats.org/officeDocument/2006/relationships/hyperlink" Id="rId119" Target="https://www.ncbi.nlm.nih.gov/pubmed/31022325" TargetMode="External" /><Relationship Type="http://schemas.openxmlformats.org/officeDocument/2006/relationships/hyperlink" Id="rId68" Target="https://www.ncbi.nlm.nih.gov/pubmed/31230355" TargetMode="External" /><Relationship Type="http://schemas.openxmlformats.org/officeDocument/2006/relationships/hyperlink" Id="rId96" Target="https://www.ncbi.nlm.nih.gov/pubmed/31290920" TargetMode="External" /><Relationship Type="http://schemas.openxmlformats.org/officeDocument/2006/relationships/hyperlink" Id="rId202" Target="https://www.ncbi.nlm.nih.gov/pubmed/31329242" TargetMode="External" /><Relationship Type="http://schemas.openxmlformats.org/officeDocument/2006/relationships/hyperlink" Id="rId217" Target="https://www.ncbi.nlm.nih.gov/pubmed/31350673" TargetMode="External" /><Relationship Type="http://schemas.openxmlformats.org/officeDocument/2006/relationships/hyperlink" Id="rId100" Target="https://www.ncbi.nlm.nih.gov/pubmed/31645952" TargetMode="External" /><Relationship Type="http://schemas.openxmlformats.org/officeDocument/2006/relationships/hyperlink" Id="rId233" Target="https://www.ncbi.nlm.nih.gov/pubmed/32292411" TargetMode="External" /><Relationship Type="http://schemas.openxmlformats.org/officeDocument/2006/relationships/hyperlink" Id="rId248" Target="https://www.ncbi.nlm.nih.gov/pubmed/32666553" TargetMode="External" /><Relationship Type="http://schemas.openxmlformats.org/officeDocument/2006/relationships/hyperlink" Id="rId105" Target="https://www.ncbi.nlm.nih.gov/pubmed/32816923" TargetMode="External" /><Relationship Type="http://schemas.openxmlformats.org/officeDocument/2006/relationships/hyperlink" Id="rId110" Target="https://www.ncbi.nlm.nih.gov/pubmed/32835887" TargetMode="External" /><Relationship Type="http://schemas.openxmlformats.org/officeDocument/2006/relationships/hyperlink" Id="rId241" Target="https://www.ncbi.nlm.nih.gov/pubmed/33388885" TargetMode="External" /><Relationship Type="http://schemas.openxmlformats.org/officeDocument/2006/relationships/hyperlink" Id="rId228" Target="https://www.ncbi.nlm.nih.gov/pubmed/34239521"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38dde383203b10a271d1e47ea5273075d3e1fe33/" TargetMode="External" /><Relationship Type="http://schemas.openxmlformats.org/officeDocument/2006/relationships/hyperlink" Id="rId61" Target="https://doi.org/10.1007/978-0-387-30443-4_10" TargetMode="External" /><Relationship Type="http://schemas.openxmlformats.org/officeDocument/2006/relationships/hyperlink" Id="rId240" Target="https://doi.org/10.1007/s00122-020-03747-1" TargetMode="External" /><Relationship Type="http://schemas.openxmlformats.org/officeDocument/2006/relationships/hyperlink" Id="rId125" Target="https://doi.org/10.1007/s10681-015-1605-y" TargetMode="External" /><Relationship Type="http://schemas.openxmlformats.org/officeDocument/2006/relationships/hyperlink" Id="rId90" Target="https://doi.org/10.1007/s11032-018-0869-z" TargetMode="External" /><Relationship Type="http://schemas.openxmlformats.org/officeDocument/2006/relationships/hyperlink" Id="rId137" Target="https://doi.org/10.1007/s12231-012-9186-3" TargetMode="External" /><Relationship Type="http://schemas.openxmlformats.org/officeDocument/2006/relationships/hyperlink" Id="rId71" Target="https://doi.org/10.1016/j.molp.2017.09.003" TargetMode="External" /><Relationship Type="http://schemas.openxmlformats.org/officeDocument/2006/relationships/hyperlink" Id="rId109" Target="https://doi.org/10.1016/j.molp.2020.08.011" TargetMode="External" /><Relationship Type="http://schemas.openxmlformats.org/officeDocument/2006/relationships/hyperlink" Id="rId128" Target="https://doi.org/10.1016/j.ympev.2017.03.002" TargetMode="External" /><Relationship Type="http://schemas.openxmlformats.org/officeDocument/2006/relationships/hyperlink" Id="rId113" Target="https://doi.org/10.1038/s41438-018-0080-8" TargetMode="External" /><Relationship Type="http://schemas.openxmlformats.org/officeDocument/2006/relationships/hyperlink" Id="rId99" Target="https://doi.org/10.1038/s41438-019-0176-9" TargetMode="External" /><Relationship Type="http://schemas.openxmlformats.org/officeDocument/2006/relationships/hyperlink" Id="rId85" Target="https://doi.org/10.1038/s41598-017-13216-3" TargetMode="External" /><Relationship Type="http://schemas.openxmlformats.org/officeDocument/2006/relationships/hyperlink" Id="rId164" Target="https://doi.org/10.1086/519795" TargetMode="External" /><Relationship Type="http://schemas.openxmlformats.org/officeDocument/2006/relationships/hyperlink" Id="rId132" Target="https://doi.org/10.1093/aob/mcw080" TargetMode="External" /><Relationship Type="http://schemas.openxmlformats.org/officeDocument/2006/relationships/hyperlink" Id="rId197" Target="https://doi.org/10.1093/bioinformatics/btm308" TargetMode="External" /><Relationship Type="http://schemas.openxmlformats.org/officeDocument/2006/relationships/hyperlink" Id="rId149" Target="https://doi.org/10.1093/bioinformatics/btp324" TargetMode="External" /><Relationship Type="http://schemas.openxmlformats.org/officeDocument/2006/relationships/hyperlink" Id="rId154" Target="https://doi.org/10.1093/bioinformatics/btr330" TargetMode="External" /><Relationship Type="http://schemas.openxmlformats.org/officeDocument/2006/relationships/hyperlink" Id="rId201" Target="https://doi.org/10.1093/bioinformatics/btz567" TargetMode="External" /><Relationship Type="http://schemas.openxmlformats.org/officeDocument/2006/relationships/hyperlink" Id="rId221" Target="https://doi.org/10.1093/genetics/157.4.1819" TargetMode="External" /><Relationship Type="http://schemas.openxmlformats.org/officeDocument/2006/relationships/hyperlink" Id="rId75" Target="https://doi.org/10.1093/nar/gky944" TargetMode="External" /><Relationship Type="http://schemas.openxmlformats.org/officeDocument/2006/relationships/hyperlink" Id="rId67" Target="https://doi.org/10.1111/nph.16015" TargetMode="External" /><Relationship Type="http://schemas.openxmlformats.org/officeDocument/2006/relationships/hyperlink" Id="rId118" Target="https://doi.org/10.1111/pbi.13136" TargetMode="External" /><Relationship Type="http://schemas.openxmlformats.org/officeDocument/2006/relationships/hyperlink" Id="rId140" Target="https://doi.org/10.1111/pce.12502" TargetMode="External" /><Relationship Type="http://schemas.openxmlformats.org/officeDocument/2006/relationships/hyperlink" Id="rId247" Target="https://doi.org/10.1111/pce.13844" TargetMode="External" /><Relationship Type="http://schemas.openxmlformats.org/officeDocument/2006/relationships/hyperlink" Id="rId189" Target="https://doi.org/10.1177/0049124116638107" TargetMode="External" /><Relationship Type="http://schemas.openxmlformats.org/officeDocument/2006/relationships/hyperlink" Id="rId159" Target="https://doi.org/10.1186/1471-2105-12-246" TargetMode="External" /><Relationship Type="http://schemas.openxmlformats.org/officeDocument/2006/relationships/hyperlink" Id="rId184" Target="https://doi.org/10.1186/1471-2156-15-87" TargetMode="External" /><Relationship Type="http://schemas.openxmlformats.org/officeDocument/2006/relationships/hyperlink" Id="rId174" Target="https://doi.org/10.1186/1471-2164-15-162" TargetMode="External" /><Relationship Type="http://schemas.openxmlformats.org/officeDocument/2006/relationships/hyperlink" Id="rId216" Target="https://doi.org/10.1186/s12284-019-0311-0" TargetMode="External" /><Relationship Type="http://schemas.openxmlformats.org/officeDocument/2006/relationships/hyperlink" Id="rId206" Target="https://doi.org/10.1186/s12864-015-2312-8" TargetMode="External" /><Relationship Type="http://schemas.openxmlformats.org/officeDocument/2006/relationships/hyperlink" Id="rId80" Target="https://doi.org/10.1186/s12864-016-3439-y" TargetMode="External" /><Relationship Type="http://schemas.openxmlformats.org/officeDocument/2006/relationships/hyperlink" Id="rId179" Target="https://doi.org/10.1371/journal.pgen.1005048" TargetMode="External" /><Relationship Type="http://schemas.openxmlformats.org/officeDocument/2006/relationships/hyperlink" Id="rId144" Target="https://doi.org/10.1371/journal.pone.0090346" TargetMode="External" /><Relationship Type="http://schemas.openxmlformats.org/officeDocument/2006/relationships/hyperlink" Id="rId169" Target="https://doi.org/10.1371/journal.pone.0156744" TargetMode="External" /><Relationship Type="http://schemas.openxmlformats.org/officeDocument/2006/relationships/hyperlink" Id="rId211" Target="https://doi.org/10.1371/journal.pone.0181420" TargetMode="External" /><Relationship Type="http://schemas.openxmlformats.org/officeDocument/2006/relationships/hyperlink" Id="rId192" Target="https://doi.org/10.1534/g3.115.021667" TargetMode="External" /><Relationship Type="http://schemas.openxmlformats.org/officeDocument/2006/relationships/hyperlink" Id="rId104" Target="https://doi.org/10.1534/g3.120.401215" TargetMode="External" /><Relationship Type="http://schemas.openxmlformats.org/officeDocument/2006/relationships/hyperlink" Id="rId64" Target="https://doi.org/10.21273/hortsci.40.6.1620" TargetMode="External" /><Relationship Type="http://schemas.openxmlformats.org/officeDocument/2006/relationships/hyperlink" Id="rId237" Target="https://doi.org/10.21273/hortsci10987-16" TargetMode="External" /><Relationship Type="http://schemas.openxmlformats.org/officeDocument/2006/relationships/hyperlink" Id="rId244" Target="https://doi.org/10.21273/horttech04636-20" TargetMode="External" /><Relationship Type="http://schemas.openxmlformats.org/officeDocument/2006/relationships/hyperlink" Id="rId232" Target="https://doi.org/10.3389/fpls.2020.00353" TargetMode="External" /><Relationship Type="http://schemas.openxmlformats.org/officeDocument/2006/relationships/hyperlink" Id="rId227" Target="https://doi.org/10.3389/fpls.2021.658978" TargetMode="External" /><Relationship Type="http://schemas.openxmlformats.org/officeDocument/2006/relationships/hyperlink" Id="rId95" Target="https://doi.org/10.3835/plantgenome2018.10.0082" TargetMode="External" /><Relationship Type="http://schemas.openxmlformats.org/officeDocument/2006/relationships/hyperlink" Id="rId122" Target="https://doi.org/abs/10.1080/07352680490490733" TargetMode="External" /><Relationship Type="http://schemas.openxmlformats.org/officeDocument/2006/relationships/hyperlink" Id="rId153" Target="https://doi.org/b6kxfd" TargetMode="External" /><Relationship Type="http://schemas.openxmlformats.org/officeDocument/2006/relationships/hyperlink" Id="rId215" Target="https://doi.org/c8vh" TargetMode="External" /><Relationship Type="http://schemas.openxmlformats.org/officeDocument/2006/relationships/hyperlink" Id="rId163" Target="https://doi.org/cp2rzn" TargetMode="External" /><Relationship Type="http://schemas.openxmlformats.org/officeDocument/2006/relationships/hyperlink" Id="rId60" Target="https://doi.org/dmqkmf" TargetMode="External" /><Relationship Type="http://schemas.openxmlformats.org/officeDocument/2006/relationships/hyperlink" Id="rId224" Target="https://doi.org/doi.org/10.3390/agronomy10060847" TargetMode="External" /><Relationship Type="http://schemas.openxmlformats.org/officeDocument/2006/relationships/hyperlink" Id="rId148" Target="https://doi.org/dqt59j" TargetMode="External" /><Relationship Type="http://schemas.openxmlformats.org/officeDocument/2006/relationships/hyperlink" Id="rId158" Target="https://doi.org/dtnztg" TargetMode="External" /><Relationship Type="http://schemas.openxmlformats.org/officeDocument/2006/relationships/hyperlink" Id="rId173" Target="https://doi.org/f5xgnj" TargetMode="External" /><Relationship Type="http://schemas.openxmlformats.org/officeDocument/2006/relationships/hyperlink" Id="rId143" Target="https://doi.org/f5zjsk" TargetMode="External" /><Relationship Type="http://schemas.openxmlformats.org/officeDocument/2006/relationships/hyperlink" Id="rId183" Target="https://doi.org/f6jhz3" TargetMode="External" /><Relationship Type="http://schemas.openxmlformats.org/officeDocument/2006/relationships/hyperlink" Id="rId191" Target="https://doi.org/f79ns2" TargetMode="External" /><Relationship Type="http://schemas.openxmlformats.org/officeDocument/2006/relationships/hyperlink" Id="rId139" Target="https://doi.org/f7jhh7" TargetMode="External" /><Relationship Type="http://schemas.openxmlformats.org/officeDocument/2006/relationships/hyperlink" Id="rId124" Target="https://doi.org/f8ds6k" TargetMode="External" /><Relationship Type="http://schemas.openxmlformats.org/officeDocument/2006/relationships/hyperlink" Id="rId127" Target="https://doi.org/f97dq2" TargetMode="External" /><Relationship Type="http://schemas.openxmlformats.org/officeDocument/2006/relationships/hyperlink" Id="rId196" Target="https://doi.org/fdj9qg" TargetMode="External" /><Relationship Type="http://schemas.openxmlformats.org/officeDocument/2006/relationships/hyperlink" Id="rId136" Target="https://doi.org/fzc57g" TargetMode="External" /><Relationship Type="http://schemas.openxmlformats.org/officeDocument/2006/relationships/hyperlink" Id="rId205" Target="https://doi.org/gb3hqt" TargetMode="External" /><Relationship Type="http://schemas.openxmlformats.org/officeDocument/2006/relationships/hyperlink" Id="rId70" Target="https://doi.org/gb4cx2" TargetMode="External" /><Relationship Type="http://schemas.openxmlformats.org/officeDocument/2006/relationships/hyperlink" Id="rId210" Target="https://doi.org/gbn84s" TargetMode="External" /><Relationship Type="http://schemas.openxmlformats.org/officeDocument/2006/relationships/hyperlink" Id="rId89" Target="https://doi.org/gd6tc4" TargetMode="External" /><Relationship Type="http://schemas.openxmlformats.org/officeDocument/2006/relationships/hyperlink" Id="rId188" Target="https://doi.org/gdzt5m" TargetMode="External" /><Relationship Type="http://schemas.openxmlformats.org/officeDocument/2006/relationships/hyperlink" Id="rId112" Target="https://doi.org/gfdjfd" TargetMode="External" /><Relationship Type="http://schemas.openxmlformats.org/officeDocument/2006/relationships/hyperlink" Id="rId168" Target="https://doi.org/ggjp6v" TargetMode="External" /><Relationship Type="http://schemas.openxmlformats.org/officeDocument/2006/relationships/hyperlink" Id="rId226" Target="https://doi.org/gj2q" TargetMode="External" /><Relationship Type="http://schemas.openxmlformats.org/officeDocument/2006/relationships/hyperlink" Id="rId220" Target="https://doi.org/gknztd" TargetMode="External" /><Relationship Type="http://schemas.openxmlformats.org/officeDocument/2006/relationships/hyperlink" Id="rId246" Target="https://doi.org/gmcbhx" TargetMode="External" /><Relationship Type="http://schemas.openxmlformats.org/officeDocument/2006/relationships/hyperlink" Id="rId74" Target="https://doi.org/gmcmq9" TargetMode="External" /><Relationship Type="http://schemas.openxmlformats.org/officeDocument/2006/relationships/hyperlink" Id="rId231" Target="https://doi.org/gmfpfj" TargetMode="External" /><Relationship Type="http://schemas.openxmlformats.org/officeDocument/2006/relationships/hyperlink" Id="rId131" Target="https://doi.org/gmkk6b" TargetMode="External" /><Relationship Type="http://schemas.openxmlformats.org/officeDocument/2006/relationships/hyperlink" Id="rId63" Target="https://doi.org/gmkkfh" TargetMode="External" /><Relationship Type="http://schemas.openxmlformats.org/officeDocument/2006/relationships/hyperlink" Id="rId84" Target="https://doi.org/gmkktr" TargetMode="External" /><Relationship Type="http://schemas.openxmlformats.org/officeDocument/2006/relationships/hyperlink" Id="rId117" Target="https://doi.org/gmkktt" TargetMode="External" /><Relationship Type="http://schemas.openxmlformats.org/officeDocument/2006/relationships/hyperlink" Id="rId98" Target="https://doi.org/gmkkvd" TargetMode="External" /><Relationship Type="http://schemas.openxmlformats.org/officeDocument/2006/relationships/hyperlink" Id="rId79" Target="https://doi.org/gmkkvf" TargetMode="External" /><Relationship Type="http://schemas.openxmlformats.org/officeDocument/2006/relationships/hyperlink" Id="rId94" Target="https://doi.org/gmkkvg" TargetMode="External" /><Relationship Type="http://schemas.openxmlformats.org/officeDocument/2006/relationships/hyperlink" Id="rId178" Target="https://doi.org/gmkw9r" TargetMode="External" /><Relationship Type="http://schemas.openxmlformats.org/officeDocument/2006/relationships/hyperlink" Id="rId103" Target="https://doi.org/gmkzhb" TargetMode="External" /><Relationship Type="http://schemas.openxmlformats.org/officeDocument/2006/relationships/hyperlink" Id="rId108" Target="https://doi.org/gmkzrd" TargetMode="External" /><Relationship Type="http://schemas.openxmlformats.org/officeDocument/2006/relationships/hyperlink" Id="rId200" Target="https://doi.org/gmnd4d" TargetMode="External" /><Relationship Type="http://schemas.openxmlformats.org/officeDocument/2006/relationships/hyperlink" Id="rId239" Target="https://doi.org/gmndwj" TargetMode="External" /><Relationship Type="http://schemas.openxmlformats.org/officeDocument/2006/relationships/hyperlink" Id="rId243" Target="https://doi.org/gmndwp" TargetMode="External" /><Relationship Type="http://schemas.openxmlformats.org/officeDocument/2006/relationships/hyperlink" Id="rId223" Target="https://doi.org/gmndwq" TargetMode="External" /><Relationship Type="http://schemas.openxmlformats.org/officeDocument/2006/relationships/hyperlink" Id="rId236" Target="https://doi.org/gmndzt" TargetMode="External" /><Relationship Type="http://schemas.openxmlformats.org/officeDocument/2006/relationships/hyperlink" Id="rId66" Target="https://doi.org/gsg7" TargetMode="External" /><Relationship Type="http://schemas.openxmlformats.org/officeDocument/2006/relationships/hyperlink" Id="rId21" Target="https://github.com/ch728/cucurbit-usda/tree/38dde383203b10a271d1e47ea5273075d3e1fe33" TargetMode="External" /><Relationship Type="http://schemas.openxmlformats.org/officeDocument/2006/relationships/hyperlink" Id="rId25" Target="https://orcid.org/0000-0001-9684-1450" TargetMode="External" /><Relationship Type="http://schemas.openxmlformats.org/officeDocument/2006/relationships/hyperlink" Id="rId24" Target="https://orcid.org/0000-0002-1552-6924" TargetMode="External" /><Relationship Type="http://schemas.openxmlformats.org/officeDocument/2006/relationships/hyperlink" Id="rId23" Target="https://orcid.org/0000-0002-1668-7121" TargetMode="External" /><Relationship Type="http://schemas.openxmlformats.org/officeDocument/2006/relationships/hyperlink" Id="rId26" Target="https://orcid.org/0000-0002-2285-7692" TargetMode="External" /><Relationship Type="http://schemas.openxmlformats.org/officeDocument/2006/relationships/hyperlink" Id="rId166" Target="https://www.ncbi.nlm.nih.gov/pmc/articles/PMC1950838" TargetMode="External" /><Relationship Type="http://schemas.openxmlformats.org/officeDocument/2006/relationships/hyperlink" Id="rId151" Target="https://www.ncbi.nlm.nih.gov/pmc/articles/PMC2705234" TargetMode="External" /><Relationship Type="http://schemas.openxmlformats.org/officeDocument/2006/relationships/hyperlink" Id="rId156" Target="https://www.ncbi.nlm.nih.gov/pmc/articles/PMC3137218" TargetMode="External" /><Relationship Type="http://schemas.openxmlformats.org/officeDocument/2006/relationships/hyperlink" Id="rId161" Target="https://www.ncbi.nlm.nih.gov/pmc/articles/PMC3146885" TargetMode="External" /><Relationship Type="http://schemas.openxmlformats.org/officeDocument/2006/relationships/hyperlink" Id="rId146" Target="https://www.ncbi.nlm.nih.gov/pmc/articles/PMC3938676" TargetMode="External" /><Relationship Type="http://schemas.openxmlformats.org/officeDocument/2006/relationships/hyperlink" Id="rId176" Target="https://www.ncbi.nlm.nih.gov/pmc/articles/PMC3945939" TargetMode="External" /><Relationship Type="http://schemas.openxmlformats.org/officeDocument/2006/relationships/hyperlink" Id="rId186" Target="https://www.ncbi.nlm.nih.gov/pmc/articles/PMC4113669" TargetMode="External" /><Relationship Type="http://schemas.openxmlformats.org/officeDocument/2006/relationships/hyperlink" Id="rId181" Target="https://www.ncbi.nlm.nih.gov/pmc/articles/PMC4420472" TargetMode="External" /><Relationship Type="http://schemas.openxmlformats.org/officeDocument/2006/relationships/hyperlink" Id="rId194" Target="https://www.ncbi.nlm.nih.gov/pmc/articles/PMC4632058" TargetMode="External" /><Relationship Type="http://schemas.openxmlformats.org/officeDocument/2006/relationships/hyperlink" Id="rId208" Target="https://www.ncbi.nlm.nih.gov/pmc/articles/PMC4690373" TargetMode="External" /><Relationship Type="http://schemas.openxmlformats.org/officeDocument/2006/relationships/hyperlink" Id="rId171" Target="https://www.ncbi.nlm.nih.gov/pmc/articles/PMC4894563" TargetMode="External" /><Relationship Type="http://schemas.openxmlformats.org/officeDocument/2006/relationships/hyperlink" Id="rId134" Target="https://www.ncbi.nlm.nih.gov/pmc/articles/PMC4934399" TargetMode="External" /><Relationship Type="http://schemas.openxmlformats.org/officeDocument/2006/relationships/hyperlink" Id="rId82" Target="https://www.ncbi.nlm.nih.gov/pmc/articles/PMC5241963" TargetMode="External" /><Relationship Type="http://schemas.openxmlformats.org/officeDocument/2006/relationships/hyperlink" Id="rId213" Target="https://www.ncbi.nlm.nih.gov/pmc/articles/PMC5519076" TargetMode="External" /><Relationship Type="http://schemas.openxmlformats.org/officeDocument/2006/relationships/hyperlink" Id="rId87" Target="https://www.ncbi.nlm.nih.gov/pmc/articles/PMC5630576" TargetMode="External" /><Relationship Type="http://schemas.openxmlformats.org/officeDocument/2006/relationships/hyperlink" Id="rId92" Target="https://www.ncbi.nlm.nih.gov/pmc/articles/PMC6133072" TargetMode="External" /><Relationship Type="http://schemas.openxmlformats.org/officeDocument/2006/relationships/hyperlink" Id="rId115" Target="https://www.ncbi.nlm.nih.gov/pmc/articles/PMC6165849" TargetMode="External" /><Relationship Type="http://schemas.openxmlformats.org/officeDocument/2006/relationships/hyperlink" Id="rId77" Target="https://www.ncbi.nlm.nih.gov/pmc/articles/PMC6324010" TargetMode="External" /><Relationship Type="http://schemas.openxmlformats.org/officeDocument/2006/relationships/hyperlink" Id="rId218" Target="https://www.ncbi.nlm.nih.gov/pmc/articles/PMC6660535" TargetMode="External" /><Relationship Type="http://schemas.openxmlformats.org/officeDocument/2006/relationships/hyperlink" Id="rId101" Target="https://www.ncbi.nlm.nih.gov/pmc/articles/PMC6804688" TargetMode="External" /><Relationship Type="http://schemas.openxmlformats.org/officeDocument/2006/relationships/hyperlink" Id="rId120" Target="https://www.ncbi.nlm.nih.gov/pmc/articles/PMC6835170" TargetMode="External" /><Relationship Type="http://schemas.openxmlformats.org/officeDocument/2006/relationships/hyperlink" Id="rId234" Target="https://www.ncbi.nlm.nih.gov/pmc/articles/PMC7119190" TargetMode="External" /><Relationship Type="http://schemas.openxmlformats.org/officeDocument/2006/relationships/hyperlink" Id="rId106" Target="https://www.ncbi.nlm.nih.gov/pmc/articles/PMC7534422" TargetMode="External" /><Relationship Type="http://schemas.openxmlformats.org/officeDocument/2006/relationships/hyperlink" Id="rId203" Target="https://www.ncbi.nlm.nih.gov/pmc/articles/PMC7904076" TargetMode="External" /><Relationship Type="http://schemas.openxmlformats.org/officeDocument/2006/relationships/hyperlink" Id="rId229" Target="https://www.ncbi.nlm.nih.gov/pmc/articles/PMC8259603" TargetMode="External" /><Relationship Type="http://schemas.openxmlformats.org/officeDocument/2006/relationships/hyperlink" Id="rId198" Target="https://www.ncbi.nlm.nih.gov/pubmed/17586829" TargetMode="External" /><Relationship Type="http://schemas.openxmlformats.org/officeDocument/2006/relationships/hyperlink" Id="rId165" Target="https://www.ncbi.nlm.nih.gov/pubmed/17701901" TargetMode="External" /><Relationship Type="http://schemas.openxmlformats.org/officeDocument/2006/relationships/hyperlink" Id="rId150" Target="https://www.ncbi.nlm.nih.gov/pubmed/19451168" TargetMode="External" /><Relationship Type="http://schemas.openxmlformats.org/officeDocument/2006/relationships/hyperlink" Id="rId155" Target="https://www.ncbi.nlm.nih.gov/pubmed/21653522" TargetMode="External" /><Relationship Type="http://schemas.openxmlformats.org/officeDocument/2006/relationships/hyperlink" Id="rId160" Target="https://www.ncbi.nlm.nih.gov/pubmed/21682921" TargetMode="External" /><Relationship Type="http://schemas.openxmlformats.org/officeDocument/2006/relationships/hyperlink" Id="rId175" Target="https://www.ncbi.nlm.nih.gov/pubmed/24571581" TargetMode="External" /><Relationship Type="http://schemas.openxmlformats.org/officeDocument/2006/relationships/hyperlink" Id="rId145" Target="https://www.ncbi.nlm.nih.gov/pubmed/24587335" TargetMode="External" /><Relationship Type="http://schemas.openxmlformats.org/officeDocument/2006/relationships/hyperlink" Id="rId185" Target="https://www.ncbi.nlm.nih.gov/pubmed/25053450" TargetMode="External" /><Relationship Type="http://schemas.openxmlformats.org/officeDocument/2006/relationships/hyperlink" Id="rId141" Target="https://www.ncbi.nlm.nih.gov/pubmed/25546629" TargetMode="External" /><Relationship Type="http://schemas.openxmlformats.org/officeDocument/2006/relationships/hyperlink" Id="rId180" Target="https://www.ncbi.nlm.nih.gov/pubmed/25942577" TargetMode="External" /><Relationship Type="http://schemas.openxmlformats.org/officeDocument/2006/relationships/hyperlink" Id="rId193" Target="https://www.ncbi.nlm.nih.gov/pubmed/26377960" TargetMode="External" /><Relationship Type="http://schemas.openxmlformats.org/officeDocument/2006/relationships/hyperlink" Id="rId207" Target="https://www.ncbi.nlm.nih.gov/pubmed/26704908" TargetMode="External" /><Relationship Type="http://schemas.openxmlformats.org/officeDocument/2006/relationships/hyperlink" Id="rId170" Target="https://www.ncbi.nlm.nih.gov/pubmed/27271781" TargetMode="External" /><Relationship Type="http://schemas.openxmlformats.org/officeDocument/2006/relationships/hyperlink" Id="rId133" Target="https://www.ncbi.nlm.nih.gov/pubmed/27343231" TargetMode="External" /><Relationship Type="http://schemas.openxmlformats.org/officeDocument/2006/relationships/hyperlink" Id="rId81" Target="https://www.ncbi.nlm.nih.gov/pubmed/28100189" TargetMode="External" /><Relationship Type="http://schemas.openxmlformats.org/officeDocument/2006/relationships/hyperlink" Id="rId129" Target="https://www.ncbi.nlm.nih.gov/pubmed/28288944" TargetMode="External" /><Relationship Type="http://schemas.openxmlformats.org/officeDocument/2006/relationships/hyperlink" Id="rId212" Target="https://www.ncbi.nlm.nih.gov/pubmed/28727806" TargetMode="External" /><Relationship Type="http://schemas.openxmlformats.org/officeDocument/2006/relationships/hyperlink" Id="rId72" Target="https://www.ncbi.nlm.nih.gov/pubmed/28917590" TargetMode="External" /><Relationship Type="http://schemas.openxmlformats.org/officeDocument/2006/relationships/hyperlink" Id="rId86" Target="https://www.ncbi.nlm.nih.gov/pubmed/28986571" TargetMode="External" /><Relationship Type="http://schemas.openxmlformats.org/officeDocument/2006/relationships/hyperlink" Id="rId91" Target="https://www.ncbi.nlm.nih.gov/pubmed/30237748" TargetMode="External" /><Relationship Type="http://schemas.openxmlformats.org/officeDocument/2006/relationships/hyperlink" Id="rId114" Target="https://www.ncbi.nlm.nih.gov/pubmed/30302260" TargetMode="External" /><Relationship Type="http://schemas.openxmlformats.org/officeDocument/2006/relationships/hyperlink" Id="rId76" Target="https://www.ncbi.nlm.nih.gov/pubmed/30321383" TargetMode="External" /><Relationship Type="http://schemas.openxmlformats.org/officeDocument/2006/relationships/hyperlink" Id="rId119" Target="https://www.ncbi.nlm.nih.gov/pubmed/31022325" TargetMode="External" /><Relationship Type="http://schemas.openxmlformats.org/officeDocument/2006/relationships/hyperlink" Id="rId68" Target="https://www.ncbi.nlm.nih.gov/pubmed/31230355" TargetMode="External" /><Relationship Type="http://schemas.openxmlformats.org/officeDocument/2006/relationships/hyperlink" Id="rId96" Target="https://www.ncbi.nlm.nih.gov/pubmed/31290920" TargetMode="External" /><Relationship Type="http://schemas.openxmlformats.org/officeDocument/2006/relationships/hyperlink" Id="rId202" Target="https://www.ncbi.nlm.nih.gov/pubmed/31329242" TargetMode="External" /><Relationship Type="http://schemas.openxmlformats.org/officeDocument/2006/relationships/hyperlink" Id="rId217" Target="https://www.ncbi.nlm.nih.gov/pubmed/31350673" TargetMode="External" /><Relationship Type="http://schemas.openxmlformats.org/officeDocument/2006/relationships/hyperlink" Id="rId100" Target="https://www.ncbi.nlm.nih.gov/pubmed/31645952" TargetMode="External" /><Relationship Type="http://schemas.openxmlformats.org/officeDocument/2006/relationships/hyperlink" Id="rId233" Target="https://www.ncbi.nlm.nih.gov/pubmed/32292411" TargetMode="External" /><Relationship Type="http://schemas.openxmlformats.org/officeDocument/2006/relationships/hyperlink" Id="rId248" Target="https://www.ncbi.nlm.nih.gov/pubmed/32666553" TargetMode="External" /><Relationship Type="http://schemas.openxmlformats.org/officeDocument/2006/relationships/hyperlink" Id="rId105" Target="https://www.ncbi.nlm.nih.gov/pubmed/32816923" TargetMode="External" /><Relationship Type="http://schemas.openxmlformats.org/officeDocument/2006/relationships/hyperlink" Id="rId110" Target="https://www.ncbi.nlm.nih.gov/pubmed/32835887" TargetMode="External" /><Relationship Type="http://schemas.openxmlformats.org/officeDocument/2006/relationships/hyperlink" Id="rId241" Target="https://www.ncbi.nlm.nih.gov/pubmed/33388885" TargetMode="External" /><Relationship Type="http://schemas.openxmlformats.org/officeDocument/2006/relationships/hyperlink" Id="rId228" Target="https://www.ncbi.nlm.nih.gov/pubmed/3423952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2021-09-02T20:35:33Z</dcterms:created>
  <dcterms:modified xsi:type="dcterms:W3CDTF">2021-09-02T20:35:33Z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2021-09-02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