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FairSign AI 市场调研报告</w:t>
      </w:r>
    </w:p>
    <w:p>
      <w:pPr>
        <w:pStyle w:val="Subtitle"/>
      </w:pPr>
      <w:r>
        <w:t xml:space="preserve">基于 Idea 2 / Contract Review Plugin 产品定义整理</w:t>
      </w:r>
    </w:p>
    <w:p>
      <w:pPr>
        <w:pStyle w:val="Heading1"/>
      </w:pPr>
      <w:r>
        <w:t xml:space="preserve">一、执行摘要</w:t>
      </w:r>
    </w:p>
    <w:p>
      <w:r>
        <w:t xml:space="preserve">FairSign AI 是一个面向合同签署前决策时刻的 AI 审查与谈判插件。它的核心价值不只是识别条款风险，而是结合用户身份解释为什么这条款会伤害你、最坏会发生什么、以及用户该如何反击。</w:t>
      </w:r>
    </w:p>
    <w:p>
      <w:r>
        <w:t xml:space="preserve">从市场角度看，这一方向兼具法律科技、消费者保护与 SMB 效率工具三条逻辑：既满足普通签约用户在签字前的低成本理解与行动需求，也能延展到自由职业者、小企业与法律援助机构。</w:t>
      </w:r>
    </w:p>
    <w:p>
      <w:pPr>
        <w:pStyle w:val="Heading1"/>
      </w:pPr>
      <w:r>
        <w:t xml:space="preserve">二、市场机会</w:t>
      </w:r>
    </w:p>
    <w:p>
      <w:pPr>
        <w:pStyle w:val="Heading2"/>
      </w:pPr>
      <w:r>
        <w:t xml:space="preserve">2.1 需求成立原因</w:t>
      </w:r>
    </w:p>
    <w:p>
      <w:r>
        <w:t xml:space="preserve">多数合同用户真正缺失的不是“看到风险”，而是“理解风险后如何行动”。当前大量 AI 合同工具停留在摘要与高亮层，FairSign AI 进一步补足 plain-language explanation、压力测试和谈判建议，因此更接近真实决策场景。</w:t>
      </w:r>
    </w:p>
    <w:p>
      <w:pPr>
        <w:pStyle w:val="Heading2"/>
      </w:pPr>
      <w:r>
        <w:t xml:space="preserve">2.2 高价值切入场景</w:t>
      </w:r>
    </w:p>
    <w:p>
      <w:pPr>
        <w:numPr>
          <w:ilvl w:val="0"/>
          <w:numId w:val="1"/>
        </w:numPr>
      </w:pPr>
      <w:r>
        <w:t xml:space="preserve">Residential Lease：押金、维修责任、提前解约、驱逐相关条款容易形成单边压力。</w:t>
      </w:r>
    </w:p>
    <w:p>
      <w:pPr>
        <w:numPr>
          <w:ilvl w:val="0"/>
          <w:numId w:val="1"/>
        </w:numPr>
      </w:pPr>
      <w:r>
        <w:t xml:space="preserve">Employment Agreement：non-compete、IP assignment、termination、arbitration 等条款常超出普通求职者理解范围。</w:t>
      </w:r>
    </w:p>
    <w:p>
      <w:pPr>
        <w:numPr>
          <w:ilvl w:val="0"/>
          <w:numId w:val="1"/>
        </w:numPr>
      </w:pPr>
      <w:r>
        <w:t xml:space="preserve">Independent Contractor Agreement：责任上限、单方解约、赔偿责任等条款经常对 freelancer 不利。</w:t>
      </w:r>
    </w:p>
    <w:p>
      <w:pPr>
        <w:pStyle w:val="Heading1"/>
      </w:pPr>
      <w:r>
        <w:t xml:space="preserve">三、目标用户</w:t>
      </w:r>
    </w:p>
    <w:p>
      <w:r>
        <w:t xml:space="preserve">Primary Persona 是租客、求职者、自由职业者、低收入劳动者以及独立开发者。其共同痛点包括：看不懂法律语言、不知道条款后果、缺少谈判底气、不会把反对意见写成专业文本。</w:t>
      </w:r>
    </w:p>
    <w:p>
      <w:pPr>
        <w:numPr>
          <w:ilvl w:val="0"/>
          <w:numId w:val="1"/>
        </w:numPr>
      </w:pPr>
      <w:r>
        <w:t xml:space="preserve">Primary：普通合同签署者，强调公平、理解与可执行建议。</w:t>
      </w:r>
    </w:p>
    <w:p>
      <w:pPr>
        <w:numPr>
          <w:ilvl w:val="0"/>
          <w:numId w:val="1"/>
        </w:numPr>
      </w:pPr>
      <w:r>
        <w:t xml:space="preserve">Secondary：SMBs / 独立经营者，强调责任对等与效率。</w:t>
      </w:r>
    </w:p>
    <w:p>
      <w:pPr>
        <w:numPr>
          <w:ilvl w:val="0"/>
          <w:numId w:val="1"/>
        </w:numPr>
      </w:pPr>
      <w:r>
        <w:t xml:space="preserve">Tertiary：法律援助 / 小型律所，强调 first-pass triage。</w:t>
      </w:r>
    </w:p>
    <w:p>
      <w:pPr>
        <w:pStyle w:val="Heading1"/>
      </w:pPr>
      <w:r>
        <w:t xml:space="preserve">四、竞争格局</w:t>
      </w:r>
    </w:p>
    <w:p>
      <w:r>
        <w:t xml:space="preserve">当前赛道中已有 Spellbook、Juro、Ironclad、Luminance、DocJuris / LawGeex 类产品。它们大多服务企业法务或法律专业人员，在 enterprise CLM、批量审查或 playbook 对比方面较强，但面向普通签约者的身份感知解释、生活化后果模拟和一键 counter-offer 仍然较弱。</w:t>
      </w:r>
    </w:p>
    <w:p>
      <w:pPr>
        <w:numPr>
          <w:ilvl w:val="0"/>
          <w:numId w:val="1"/>
        </w:numPr>
      </w:pPr>
      <w:r>
        <w:t xml:space="preserve">Spellbook：强在 Word 内合同起草与审查，适合法律专业用户。</w:t>
      </w:r>
    </w:p>
    <w:p>
      <w:pPr>
        <w:numPr>
          <w:ilvl w:val="0"/>
          <w:numId w:val="1"/>
        </w:numPr>
      </w:pPr>
      <w:r>
        <w:t xml:space="preserve">Juro：强在浏览器内合同协作与签署，更偏 CLM 工作流。</w:t>
      </w:r>
    </w:p>
    <w:p>
      <w:pPr>
        <w:numPr>
          <w:ilvl w:val="0"/>
          <w:numId w:val="1"/>
        </w:numPr>
      </w:pPr>
      <w:r>
        <w:t xml:space="preserve">Ironclad：强在企业级合同生命周期管理。</w:t>
      </w:r>
    </w:p>
    <w:p>
      <w:pPr>
        <w:numPr>
          <w:ilvl w:val="0"/>
          <w:numId w:val="1"/>
        </w:numPr>
      </w:pPr>
      <w:r>
        <w:t xml:space="preserve">Luminance：强在大规模文档审查与尽调。</w:t>
      </w:r>
    </w:p>
    <w:p>
      <w:pPr>
        <w:numPr>
          <w:ilvl w:val="0"/>
          <w:numId w:val="1"/>
        </w:numPr>
      </w:pPr>
      <w:r>
        <w:t xml:space="preserve">DocJuris / LawGeex 类：强在与内部 playbook 对比和组织级流程控制。</w:t>
      </w:r>
    </w:p>
    <w:p>
      <w:pPr>
        <w:pStyle w:val="Heading1"/>
      </w:pPr>
      <w:r>
        <w:t xml:space="preserve">五、FairSign AI 的差异化</w:t>
      </w:r>
    </w:p>
    <w:p>
      <w:pPr>
        <w:numPr>
          <w:ilvl w:val="0"/>
          <w:numId w:val="1"/>
        </w:numPr>
      </w:pPr>
      <w:r>
        <w:t xml:space="preserve">同一条款在不同身份下显示不同影响与建议。</w:t>
      </w:r>
    </w:p>
    <w:p>
      <w:pPr>
        <w:numPr>
          <w:ilvl w:val="0"/>
          <w:numId w:val="1"/>
        </w:numPr>
      </w:pPr>
      <w:r>
        <w:t xml:space="preserve">从 risk spotting 升级到 negotiation assistance。</w:t>
      </w:r>
    </w:p>
    <w:p>
      <w:pPr>
        <w:numPr>
          <w:ilvl w:val="0"/>
          <w:numId w:val="1"/>
        </w:numPr>
      </w:pPr>
      <w:r>
        <w:t xml:space="preserve">把后果用生活化场景表达，而不是抽象评分。</w:t>
      </w:r>
    </w:p>
    <w:p>
      <w:pPr>
        <w:numPr>
          <w:ilvl w:val="0"/>
          <w:numId w:val="1"/>
        </w:numPr>
      </w:pPr>
      <w:r>
        <w:t xml:space="preserve">优先服务 workers、tenants、freelancers 等弱势签约群体。</w:t>
      </w:r>
    </w:p>
    <w:p>
      <w:pPr>
        <w:pStyle w:val="Heading1"/>
      </w:pPr>
      <w:r>
        <w:t xml:space="preserve">六、商业化路径</w:t>
      </w:r>
    </w:p>
    <w:p>
      <w:r>
        <w:t xml:space="preserve">第一阶段建议聚焦 2 到 3 类合同场景，用“身份选择 → 条款高亮 → 人话解释 → What-if → Counter-offer”形成完整闭环。商业化上可以先走 B2C 普惠工具，再逐步扩展到 SMB 和 legal aid 场景。</w:t>
      </w:r>
    </w:p>
    <w:p>
      <w:pPr>
        <w:numPr>
          <w:ilvl w:val="0"/>
          <w:numId w:val="1"/>
        </w:numPr>
      </w:pPr>
      <w:r>
        <w:t xml:space="preserve">B2C：按单份合同或订阅收费，突出“签字前最后一道保护”。</w:t>
      </w:r>
    </w:p>
    <w:p>
      <w:pPr>
        <w:numPr>
          <w:ilvl w:val="0"/>
          <w:numId w:val="1"/>
        </w:numPr>
      </w:pPr>
      <w:r>
        <w:t xml:space="preserve">SMB：按 seat 或月包收费，强调谈判效率与责任对等。</w:t>
      </w:r>
    </w:p>
    <w:p>
      <w:pPr>
        <w:numPr>
          <w:ilvl w:val="0"/>
          <w:numId w:val="1"/>
        </w:numPr>
      </w:pPr>
      <w:r>
        <w:t xml:space="preserve">Legal Aid：以合作、赞助或低价专业版切入，强化社会影响。</w:t>
      </w:r>
    </w:p>
    <w:p>
      <w:pPr>
        <w:pStyle w:val="Heading1"/>
      </w:pPr>
      <w:r>
        <w:t xml:space="preserve">七、主要风险</w:t>
      </w:r>
    </w:p>
    <w:p>
      <w:pPr>
        <w:numPr>
          <w:ilvl w:val="0"/>
          <w:numId w:val="1"/>
        </w:numPr>
      </w:pPr>
      <w:r>
        <w:t xml:space="preserve">司法辖区差异大，不宜过度承诺统一法律结论。</w:t>
      </w:r>
    </w:p>
    <w:p>
      <w:pPr>
        <w:numPr>
          <w:ilvl w:val="0"/>
          <w:numId w:val="1"/>
        </w:numPr>
      </w:pPr>
      <w:r>
        <w:t xml:space="preserve">Benchmarking 若无样本支撑，不应给出过强统计断言。</w:t>
      </w:r>
    </w:p>
    <w:p>
      <w:pPr>
        <w:numPr>
          <w:ilvl w:val="0"/>
          <w:numId w:val="1"/>
        </w:numPr>
      </w:pPr>
      <w:r>
        <w:t xml:space="preserve">产品应避免被理解为正式法律意见替代品。</w:t>
      </w:r>
    </w:p>
    <w:p>
      <w:pPr>
        <w:numPr>
          <w:ilvl w:val="0"/>
          <w:numId w:val="1"/>
        </w:numPr>
      </w:pPr>
      <w:r>
        <w:t xml:space="preserve">插件环境中的 PDF / 网页结构可能影响抽取质量。</w:t>
      </w:r>
    </w:p>
    <w:p>
      <w:pPr>
        <w:pStyle w:val="Heading1"/>
      </w:pPr>
      <w:r>
        <w:t xml:space="preserve">八、结论</w:t>
      </w:r>
    </w:p>
    <w:p>
      <w:r>
        <w:t xml:space="preserve">综合判断，FairSign AI 是一个具有清晰用户痛点、可做出强反馈 demo、同时具备商业与社会价值双重叙事的方向。它最适合被定义为“公平签约助手”，而不是普通合同审查插件。</w:t>
      </w:r>
    </w:p>
    <w:p>
      <w:r>
        <w:t xml:space="preserve">最值得强调的市场结论是：same clause, different impact, different advice。只要产品能把身份视角、后果模拟和可复制谈判文本稳定做出来，就能在现有 legal AI 赛道中形成清晰差异。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  <w:rPr>
        <w:rFonts w:ascii="Arial" w:hAnsi="Arial" w:eastAsia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 w:eastAsia="Arial"/>
      <w:sz w:val="22"/>
    </w:rPr>
  </w:style>
  <w:style w:type="paragraph" w:styleId="Title">
    <w:name w:val="Title"/>
    <w:basedOn w:val="Normal"/>
    <w:qFormat/>
    <w:pPr>
      <w:jc w:val="center"/>
      <w:spacing w:after="160"/>
    </w:pPr>
    <w:rPr>
      <w:b/>
      <w:sz w:val="44"/>
      <w:rFonts w:ascii="Arial" w:hAnsi="Arial" w:eastAsia="Arial"/>
    </w:rPr>
  </w:style>
  <w:style w:type="paragraph" w:styleId="Subtitle">
    <w:name w:val="Subtitle"/>
    <w:basedOn w:val="Normal"/>
    <w:qFormat/>
    <w:pPr>
      <w:jc w:val="center"/>
      <w:spacing w:after="220"/>
    </w:pPr>
    <w:rPr>
      <w:sz w:val="22"/>
      <w:rFonts w:ascii="Arial" w:hAnsi="Arial" w:eastAsia="Arial"/>
    </w:rPr>
  </w:style>
  <w:style w:type="paragraph" w:styleId="Heading1">
    <w:name w:val="heading 1"/>
    <w:basedOn w:val="Normal"/>
    <w:qFormat/>
    <w:pPr>
      <w:outlineLvl w:val="0"/>
      <w:spacing w:before="220" w:after="120"/>
    </w:pPr>
    <w:rPr>
      <w:b/>
      <w:color w:val="8C3F19"/>
      <w:sz w:val="32"/>
      <w:rFonts w:ascii="Arial" w:hAnsi="Arial" w:eastAsia="Arial"/>
    </w:rPr>
  </w:style>
  <w:style w:type="paragraph" w:styleId="Heading2">
    <w:name w:val="heading 2"/>
    <w:basedOn w:val="Normal"/>
    <w:qFormat/>
    <w:pPr>
      <w:outlineLvl w:val="1"/>
      <w:spacing w:before="160" w:after="80"/>
    </w:pPr>
    <w:rPr>
      <w:b/>
      <w:color w:val="A95A2A"/>
      <w:sz w:val="26"/>
      <w:rFonts w:ascii="Arial" w:hAnsi="Arial" w:eastAsia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FairSign AI 市场调研报告</dc:title>
  <dc:creator>OpenAI</dc:creator>
  <cp:lastModifiedBy>OpenAI</cp:lastModifiedBy>
  <dcterms:created xsi:type="dcterms:W3CDTF">2026-04-12T19:17:20Z</dcterms:created>
  <dcterms:modified xsi:type="dcterms:W3CDTF">2026-04-12T19:17:20Z</dcterms:modified>
</cp:coreProperties>
</file>