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-footer1.xml"/>
  <Override ContentType="application/vnd.openxmlformats-officedocument.wordprocessingml.header+xml" PartName="/word/header-header1.xml"/>
  <Override ContentType="image/png" PartName="/word/media/header-header1_image_rId1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jc w:val="center"/>
      </w:pPr>
      <w:r>
        <w:t/>
      </w:r>
      <w:r>
        <w:rPr>
          <w:rFonts w:ascii="Calibri" w:hAnsi="Calibri" w:eastAsia="Calibri" w:cs="Calibri"/>
          <w:b w:val="true"/>
          <w:color w:val="000000"/>
          <w:sz w:val="28"/>
        </w:rPr>
        <w:t xml:space="preserve">Data Safety Monitoring Committee (DSMC)</w:t>
        <w:br w:type="textWrapping"/>
      </w:r>
      <w:r>
        <w:rPr>
          <w:rFonts w:ascii="Calibri" w:hAnsi="Calibri" w:eastAsia="Calibri" w:cs="Calibri"/>
          <w:b w:val="true"/>
          <w:color w:val="000000"/>
          <w:sz w:val="28"/>
        </w:rPr>
        <w:t xml:space="preserve">CLOSED Report</w:t>
        <w:br w:type="textWrapping"/>
      </w:r>
      <w:r>
        <w:rPr>
          <w:rFonts w:ascii="Calibri" w:hAnsi="Calibri" w:eastAsia="Calibri" w:cs="Calibri"/>
          <w:b w:val="true"/>
          <w:color w:val="000000"/>
          <w:sz w:val="28"/>
        </w:rPr>
        <w:t xml:space="preserve">Date of Report:  5 Feb 2026</w:t>
      </w:r>
    </w:p>
    <w:p>
      <w:r>
        <w:t/>
      </w:r>
    </w:p>
    <w:p>
      <w:r>
        <w:t/>
      </w:r>
    </w:p>
    <w:p>
      <w:pPr>
        <w:jc w:val="center"/>
      </w:pPr>
      <w:r>
        <w:t/>
      </w:r>
      <w:r>
        <w:rPr>
          <w:rFonts w:ascii="Calibri" w:hAnsi="Calibri" w:eastAsia="Calibri" w:cs="Calibri"/>
          <w:b w:val="true"/>
          <w:color w:val="000000"/>
          <w:sz w:val="24"/>
        </w:rPr>
        <w:t xml:space="preserve">Name of trial:</w:t>
      </w:r>
      <w:r>
        <w:rPr>
          <w:rFonts w:ascii="Calibri" w:hAnsi="Calibri" w:eastAsia="Calibri" w:cs="Calibri"/>
          <w:color w:val="000000"/>
          <w:sz w:val="24"/>
        </w:rPr>
        <w:t xml:space="preserve"> TEST trial - Randomised cancer treatment trial for example purposes</w:t>
      </w:r>
    </w:p>
    <w:p>
      <w:pPr>
        <w:jc w:val="center"/>
      </w:pPr>
      <w:r>
        <w:t/>
      </w:r>
      <w:r>
        <w:rPr>
          <w:rFonts w:ascii="Calibri" w:hAnsi="Calibri" w:eastAsia="Calibri" w:cs="Calibri"/>
          <w:b w:val="true"/>
          <w:color w:val="000000"/>
          <w:sz w:val="24"/>
        </w:rPr>
        <w:t xml:space="preserve">Meeting :</w:t>
        <w:br w:type="textWrapping"/>
      </w:r>
      <w:r>
        <w:rPr>
          <w:rFonts w:ascii="Calibri" w:hAnsi="Calibri" w:eastAsia="Calibri" w:cs="Calibri"/>
          <w:color w:val="000000"/>
          <w:sz w:val="24"/>
        </w:rPr>
        <w:t xml:space="preserve">2nd meeting - Jan 2026</w:t>
      </w:r>
    </w:p>
    <w:p>
      <w:pPr>
        <w:jc w:val="center"/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Trial registration number: Clinicaltrials.gov Identifier NCTXXXXXX</w:t>
        <w:br w:type="textWrapping"/>
      </w:r>
      <w:r>
        <w:rPr>
          <w:rFonts w:ascii="Calibri" w:hAnsi="Calibri" w:eastAsia="Calibri" w:cs="Calibri"/>
          <w:color w:val="000000"/>
          <w:sz w:val="24"/>
        </w:rPr>
        <w:t xml:space="preserve">Based on: Protocol Version 1.0, Dated 1 August 2022</w:t>
      </w:r>
    </w:p>
    <w:p>
      <w:pPr>
        <w:jc w:val="left"/>
      </w:pPr>
      <w:r>
        <w:t/>
      </w:r>
      <w:r>
        <w:rPr>
          <w:rFonts w:ascii="Calibri" w:hAnsi="Calibri" w:eastAsia="Calibri" w:cs="Calibri"/>
          <w:b w:val="true"/>
          <w:color w:val="000000"/>
          <w:sz w:val="22"/>
        </w:rPr>
        <w:t xml:space="preserve">Investigators: 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1.       Dr Bob Smith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2.       Dr Penny Hudson</w:t>
        <w:br w:type="textWrapping"/>
      </w:r>
    </w:p>
    <w:p>
      <w:pPr>
        <w:jc w:val="left"/>
      </w:pPr>
      <w:r>
        <w:t/>
      </w:r>
      <w:r>
        <w:rPr>
          <w:rFonts w:ascii="Calibri" w:hAnsi="Calibri" w:eastAsia="Calibri" w:cs="Calibri"/>
          <w:b w:val="true"/>
          <w:color w:val="000000"/>
          <w:sz w:val="22"/>
        </w:rPr>
        <w:t xml:space="preserve">Study biostatistician:</w:t>
      </w:r>
      <w:r>
        <w:rPr>
          <w:rFonts w:ascii="Calibri" w:hAnsi="Calibri" w:eastAsia="Calibri" w:cs="Calibri"/>
          <w:color w:val="000000"/>
          <w:sz w:val="22"/>
        </w:rPr>
        <w:t xml:space="preserve"> Alannah Rudkin</w:t>
      </w:r>
    </w:p>
    <w:p>
      <w:pPr>
        <w:jc w:val="left"/>
      </w:pPr>
      <w:r>
        <w:t/>
      </w:r>
      <w:r>
        <w:rPr>
          <w:rFonts w:ascii="Calibri" w:hAnsi="Calibri" w:eastAsia="Calibri" w:cs="Calibri"/>
          <w:b w:val="true"/>
          <w:color w:val="000000"/>
          <w:sz w:val="22"/>
        </w:rPr>
        <w:t xml:space="preserve">Data and Safety Monitoring Committee Report produced by:</w:t>
        <w:br w:type="textWrapping"/>
      </w:r>
      <w:r>
        <w:rPr>
          <w:rFonts w:ascii="Calibri" w:hAnsi="Calibri" w:eastAsia="Calibri" w:cs="Calibri"/>
          <w:i w:val="true"/>
          <w:color w:val="FF0000"/>
          <w:sz w:val="22"/>
        </w:rPr>
        <w:t xml:space="preserve">Reporting statistician name here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Murdoch Childrens Research Institute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Melbourne</w:t>
      </w:r>
    </w:p>
    <w:p>
      <w:r>
        <w:t/>
      </w:r>
    </w:p>
    <w:p>
      <w:r>
        <w:t/>
      </w:r>
    </w:p>
    <w:p>
      <w:pPr>
        <w:jc w:val="center"/>
      </w:pPr>
      <w:r>
        <w:t/>
      </w:r>
      <w:r>
        <w:rPr>
          <w:rFonts w:ascii="Calibri" w:hAnsi="Calibri" w:eastAsia="Calibri" w:cs="Calibri"/>
          <w:color w:val="000000"/>
          <w:sz w:val="22"/>
        </w:rPr>
        <w:t xml:space="preserve">This report is based on data up to and including 14Jan2026.</w:t>
      </w:r>
    </w:p>
    <w:p>
      <w:r>
        <w:br w:type="page"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Trial Summary</w:t>
      </w:r>
    </w:p>
    <w:p>
      <w:pPr>
        <w:rPr>
          <w:rFonts w:ascii="Calibri" w:hAnsi="Calibri" w:eastAsia="Calibri" w:cs="Calibri"/>
          <w:color w:val="000000"/>
          <w:sz w:val="22"/>
        </w:rPr>
      </w:pPr>
      <w:r>
        <w:t/>
      </w:r>
      <w:r>
        <w:rPr>
          <w:rFonts w:ascii="Calibri" w:hAnsi="Calibri" w:eastAsia="Calibri" w:cs="Calibri"/>
          <w:color w:val="000000"/>
          <w:sz w:val="22"/>
        </w:rPr>
        <w:t xml:space="preserve">Summarised in open report.</w:t>
      </w:r>
    </w:p>
    <w:p>
      <w:r>
        <w:br w:type="page"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1. Recruitment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The planned sample size is 100 participants, of which 50 will be assigned to each of the 2 study arms.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1: Recruitment by randomisation stratum</w:t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0" w:type="auto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gridSpan w:val="2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Trial Arm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Placebo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Intervention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Number of Participants Randomised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27 (56.2%)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Cancer diagnosis type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GIT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5 (23.8%)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9 (33.3%)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14 (29.2%)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Brain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10 (47.6%)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11 (40.7%)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  Haematological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6 (28.6%)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7 (25.9%)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13 (27.1%)</w:t>
            </w:r>
          </w:p>
        </w:tc>
      </w:tr>
    </w:tbl>
    <w:p>
      <w:r>
        <w:t/>
      </w:r>
    </w:p>
    <w:p>
      <w:r>
        <w:t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2: Participant disposition</w:t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0" w:type="auto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gridSpan w:val="2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Trial Arm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Placebo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Intervention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Number of Participants Randomised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27 (56.2%)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Baseline Data Available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21 (100.0%)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27 (100.0%)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Primary Outcome Data Available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14 (66.7%)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20 (74.1%)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34 (70.8%)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Secondary Outcome Data Available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21 (100.0%)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27 (100.0%)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Withdrawn from the study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 (9.5%)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 (3.7%)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3 (6.2%)</w:t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Lost to follow up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 (4.8%)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2 (7.4%)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3 (6.2%)</w:t>
            </w:r>
          </w:p>
        </w:tc>
      </w:tr>
    </w:tbl>
    <w:p>
      <w:r>
        <w:t/>
      </w:r>
    </w:p>
    <w:p>
      <w:r>
        <w:br w:type="page"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2. Participant Characteristics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Table 3 shows the baseline characteristics of the 48 participants recruited to date.</w:t>
        <w:br w:type="textWrapping"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3: Baseline characteristics</w:t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0" w:type="auto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gridSpan w:val="2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Trial Arm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Placebo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Intervention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Number of Participants Randomised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27 (56.2%)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Patient age (years)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55.8 (4.4)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55.9 (6.5)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55.9 (5.7)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Gender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Male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10 (47.6%)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18 (66.7%)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28 (58.3%)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Female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11 (52.4%)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9 (33.3%)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20 (41.7%)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Cancer diagnosis type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GIT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5 (23.8%)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9 (33.3%)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14 (29.2%)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Brain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10 (47.6%)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11 (40.7%)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  Haematological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6 (28.6%)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7 (25.9%)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13 (27.1%)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3. Safety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b w:val="true"/>
          <w:color w:val="000000"/>
          <w:sz w:val="24"/>
        </w:rPr>
        <w:t xml:space="preserve">3.1 Adverse events</w:t>
        <w:br w:type="textWrapping"/>
      </w:r>
      <w:r>
        <w:rPr>
          <w:rFonts w:ascii="Calibri" w:hAnsi="Calibri" w:eastAsia="Calibri" w:cs="Calibri"/>
          <w:color w:val="000000"/>
          <w:sz w:val="24"/>
        </w:rPr>
        <w:t xml:space="preserve">Table 4 shows a summary of all the adverse events (AEs) before 14Jan2026. Listing 1 lists adverse event (AE) details.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4: Adverse Events</w:t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0" w:type="auto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gridSpan w:val="2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Trial Arm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Placebo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Intervention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Number of Participants Randomised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21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27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48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Participants who had at least one AE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 (0.0%)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5 (18.5%)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5 (10.4%)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Number of AEs: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Number of AEs by category: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Blood and lymphatic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Gastrointestinal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General disorders and administration site conditions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  Nervous system disorders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i w:val="true"/>
              </w:rPr>
              <w:t xml:space="preserve">Highest grade reported if multiple grades reported for the same participant adverse event.</w:t>
            </w:r>
          </w:p>
        </w:tc>
      </w:tr>
    </w:tbl>
    <w:p>
      <w:r>
        <w:t/>
      </w:r>
    </w:p>
    <w:p>
      <w:pPr>
        <w:sectPr>
          <w:headerReference w:type="default" r:id="rId3"/>
          <w:footerReference w:type="default" r:id="rId4"/>
          <w:pgSz w:w="12240" w:h="15840" w:code="1"/>
          <w:pgMar w:top="1440" w:right="1440" w:bottom="1440" w:left="1440"/>
        </w:sectPr>
      </w:pPr>
    </w:p>
    <w:p>
      <w:r>
        <w:t/>
      </w:r>
      <w:r>
        <w:rPr>
          <w:i w:val="true"/>
        </w:rPr>
        <w:t xml:space="preserve">Listing 1: Adverse events</w:t>
        <w:br w:type="textWrapping"/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Study ID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Trial Arm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Adverse Event Number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Adverse Event - System Organ Class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Adverse Event term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Grade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Serious Adverse Event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Attribution to treatment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SUSAR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19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Intervention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Gastrointestinal disorders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Pancreatitis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33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Intervention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Blood and lymphatic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Febrile neutropenia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Intervention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Nervous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Peripheral motor neuropathy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41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Intervention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General disorders and administration site conditions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Fatigue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41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Intervention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Blood and lymphatic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Febrile neutropenia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Intervention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Gastrointestinal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Diarrhea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</w:tbl>
    <w:p>
      <w:r>
        <w:t/>
      </w:r>
    </w:p>
    <w:p>
      <w:pPr>
        <w:sectPr>
          <w:headerReference w:type="default" r:id="rId3"/>
          <w:footerReference w:type="default" r:id="rId4"/>
          <w:pgSz w:w="15840" w:h="12240" w:orient="landscape" w:code="1"/>
          <w:pgMar w:top="1440" w:right="1440" w:bottom="1440" w:left="1440"/>
        </w:sectPr>
      </w:pP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5: Serious Adverse Events</w:t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0" w:type="auto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gridSpan w:val="2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Trial Arm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Placebo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Intervention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Participants who experienced Serious Adverse Events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0 (0.0%)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 (7.1%)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 (4.1%)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Total number of SAEs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Relationship of the SAE to the trial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Possibly related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 (.%)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 (100.0%)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 (100.0%)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SAE category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Blood and lymphatic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 (.%)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 Gastrointestinal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 (.%)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Suspected Unexpected Serious Adverse Reaction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0 (.%)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</w:tr>
      <w:tr>
        <w:tc>
          <w:tcPr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i w:val="true"/>
              </w:rPr>
              <w:t xml:space="preserve">Highest grade reported if multiple grades reported for the same participant adverse event.</w:t>
            </w:r>
          </w:p>
        </w:tc>
      </w:tr>
    </w:tbl>
    <w:p>
      <w:r>
        <w:t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6: Mortality</w:t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0" w:type="auto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gridSpan w:val="2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Trial Arm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Placebo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Intervention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Number of Participants Randomised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27 (56.2%)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Participants died on trial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12 (57.1%)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19 (70.4%)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31 (64.6%)</w:t>
            </w:r>
          </w:p>
        </w:tc>
      </w:tr>
      <w:tr>
        <w:tc>
          <w:tcPr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i w:val="true"/>
              </w:rPr>
              <w:t xml:space="preserve">Highest grade reported if multiple grades reported for the same participant adverse event.</w:t>
            </w:r>
          </w:p>
        </w:tc>
      </w:tr>
    </w:tbl>
    <w:p>
      <w:r>
        <w:t/>
      </w:r>
    </w:p>
    <w:sectPr>
      <w:headerReference w:type="default" r:id="rId3"/>
      <w:footerReference w:type="default" r:id="rId4"/>
      <w:pgSz w:w="12240" w:h="15840" w:code="1"/>
      <w:pgMar w:top="1440" w:right="1440" w:bottom="1440" w:left="1440"/>
    </w:sectPr>
  </w:body>
</w:document>
</file>

<file path=word/footer-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pStyle w:val="Footer"/>
      <w:jc w:val="center"/>
    </w:pPr>
    <w:r>
      <w:t/>
    </w:r>
    <w:r>
      <w:t xml:space="preserve">TEST trial DSMC CLOSED REPORT Jan 2026                          Page </w:t>
    </w:r>
    <w:r>
      <w:rPr/>
      <w:fldChar w:fldCharType="begin"/>
      <w:instrText xml:space="preserve"> PAGE \* MERGEFORMAT </w:instrText>
      <w:fldChar w:fldCharType="end"/>
    </w:r>
  </w:p>
</w:ftr>
</file>

<file path=word/header-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pStyle w:val="Header"/>
    </w:pPr>
    <w:r>
      <w:t/>
    </w:r>
    <w:r>
      <w:drawing>
        <wp:inline distT="0" distB="0" distL="0" distR="0">
          <wp:extent cx="5734050" cy="676275"/>
          <wp:effectExtent l="0" t="0" r="0" b="0"/>
          <wp:docPr id="0" name="" descr="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br w:type="textWrapping"/>
    </w:r>
    <w:r>
      <w:rPr>
        <w:u w:val="single"/>
      </w:rPr>
      <w:t xml:space="preserve">Confidential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Calibri" w:hAnsi="Calibri" w:eastAsia="Calibri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-header1.xml" Type="http://schemas.openxmlformats.org/officeDocument/2006/relationships/header" Id="rId3"/>
    <Relationship Target="footer-footer1.xml" Type="http://schemas.openxmlformats.org/officeDocument/2006/relationships/footer" Id="rId4"/>
</Relationships>

</file>

<file path=word/_rels/header-header1.xml.rels><?xml version="1.0" encoding="UTF-8" standalone="yes"?>
<Relationships xmlns="http://schemas.openxmlformats.org/package/2006/relationships">
    <Relationship Target="media/header-header1_image_rId1.png" Type="http://schemas.openxmlformats.org/officeDocument/2006/relationships/image" Id="rId1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