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-footer1.xml"/>
  <Override ContentType="application/vnd.openxmlformats-officedocument.wordprocessingml.header+xml" PartName="/word/header-header1.xml"/>
  <Override ContentType="image/png" PartName="/word/media/document_image_rId5.png"/>
  <Override ContentType="image/png" PartName="/word/media/header-header1_image_rId1.png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jc w:val="center"/>
      </w:pPr>
      <w:r>
        <w:t/>
      </w:r>
      <w:r>
        <w:rPr>
          <w:rFonts w:ascii="Calibri" w:hAnsi="Calibri" w:eastAsia="Calibri" w:cs="Calibri"/>
          <w:b w:val="true"/>
          <w:color w:val="000000"/>
          <w:sz w:val="28"/>
        </w:rPr>
        <w:t xml:space="preserve">Data Safety Monitoring Committee (DSMC)</w:t>
        <w:br w:type="textWrapping"/>
      </w:r>
      <w:r>
        <w:rPr>
          <w:rFonts w:ascii="Calibri" w:hAnsi="Calibri" w:eastAsia="Calibri" w:cs="Calibri"/>
          <w:b w:val="true"/>
          <w:color w:val="000000"/>
          <w:sz w:val="28"/>
        </w:rPr>
        <w:t xml:space="preserve">OPEN Report</w:t>
        <w:br w:type="textWrapping"/>
      </w:r>
      <w:r>
        <w:rPr>
          <w:rFonts w:ascii="Calibri" w:hAnsi="Calibri" w:eastAsia="Calibri" w:cs="Calibri"/>
          <w:b w:val="true"/>
          <w:color w:val="000000"/>
          <w:sz w:val="28"/>
        </w:rPr>
        <w:t xml:space="preserve">Date of Report:  5 Feb 2026</w:t>
      </w:r>
    </w:p>
    <w:p>
      <w:r>
        <w:t/>
      </w:r>
    </w:p>
    <w:p>
      <w:r>
        <w:t/>
      </w:r>
    </w:p>
    <w:p>
      <w:pPr>
        <w:jc w:val="center"/>
      </w:pPr>
      <w:r>
        <w:t/>
      </w:r>
      <w:r>
        <w:rPr>
          <w:rFonts w:ascii="Calibri" w:hAnsi="Calibri" w:eastAsia="Calibri" w:cs="Calibri"/>
          <w:b w:val="true"/>
          <w:color w:val="000000"/>
          <w:sz w:val="24"/>
        </w:rPr>
        <w:t xml:space="preserve">Name of trial:</w:t>
      </w:r>
      <w:r>
        <w:rPr>
          <w:rFonts w:ascii="Calibri" w:hAnsi="Calibri" w:eastAsia="Calibri" w:cs="Calibri"/>
          <w:color w:val="000000"/>
          <w:sz w:val="24"/>
        </w:rPr>
        <w:t xml:space="preserve"> TEST trial - Randomised cancer treatment trial for example purposes</w:t>
      </w:r>
    </w:p>
    <w:p>
      <w:pPr>
        <w:jc w:val="center"/>
      </w:pPr>
      <w:r>
        <w:t/>
      </w:r>
      <w:r>
        <w:rPr>
          <w:rFonts w:ascii="Calibri" w:hAnsi="Calibri" w:eastAsia="Calibri" w:cs="Calibri"/>
          <w:b w:val="true"/>
          <w:color w:val="000000"/>
          <w:sz w:val="24"/>
        </w:rPr>
        <w:t xml:space="preserve">Meeting:</w:t>
        <w:br w:type="textWrapping"/>
      </w:r>
      <w:r>
        <w:rPr>
          <w:rFonts w:ascii="Calibri" w:hAnsi="Calibri" w:eastAsia="Calibri" w:cs="Calibri"/>
          <w:color w:val="000000"/>
          <w:sz w:val="24"/>
        </w:rPr>
        <w:t xml:space="preserve">2nd meeting - Jan 2026</w:t>
      </w:r>
    </w:p>
    <w:p>
      <w:pPr>
        <w:jc w:val="center"/>
      </w:pPr>
      <w:r>
        <w:t/>
      </w:r>
      <w:r>
        <w:rPr>
          <w:rFonts w:ascii="Calibri" w:hAnsi="Calibri" w:eastAsia="Calibri" w:cs="Calibri"/>
          <w:color w:val="000000"/>
          <w:sz w:val="24"/>
        </w:rPr>
        <w:t xml:space="preserve">Trial registration number: Clinicaltrials.gov Identifier NCTXXXXXX</w:t>
        <w:br w:type="textWrapping"/>
      </w:r>
      <w:r>
        <w:rPr>
          <w:rFonts w:ascii="Calibri" w:hAnsi="Calibri" w:eastAsia="Calibri" w:cs="Calibri"/>
          <w:color w:val="000000"/>
          <w:sz w:val="24"/>
        </w:rPr>
        <w:t xml:space="preserve">Based on: Protocol Version 1.0, Dated 1 August 2022</w:t>
      </w:r>
    </w:p>
    <w:p>
      <w:pPr>
        <w:jc w:val="left"/>
      </w:pPr>
      <w:r>
        <w:t/>
      </w:r>
      <w:r>
        <w:rPr>
          <w:rFonts w:ascii="Calibri" w:hAnsi="Calibri" w:eastAsia="Calibri" w:cs="Calibri"/>
          <w:b w:val="true"/>
          <w:color w:val="000000"/>
          <w:sz w:val="22"/>
        </w:rPr>
        <w:t xml:space="preserve">Investigators: </w:t>
        <w:br w:type="textWrapping"/>
      </w:r>
      <w:r>
        <w:rPr>
          <w:rFonts w:ascii="Calibri" w:hAnsi="Calibri" w:eastAsia="Calibri" w:cs="Calibri"/>
          <w:color w:val="000000"/>
          <w:sz w:val="22"/>
        </w:rPr>
        <w:t xml:space="preserve">1.       Dr Bob Smith</w:t>
        <w:br w:type="textWrapping"/>
      </w:r>
      <w:r>
        <w:rPr>
          <w:rFonts w:ascii="Calibri" w:hAnsi="Calibri" w:eastAsia="Calibri" w:cs="Calibri"/>
          <w:color w:val="000000"/>
          <w:sz w:val="22"/>
        </w:rPr>
        <w:t xml:space="preserve">2.       Dr Penny Hudson</w:t>
        <w:br w:type="textWrapping"/>
      </w:r>
    </w:p>
    <w:p>
      <w:pPr>
        <w:jc w:val="left"/>
      </w:pPr>
      <w:r>
        <w:t/>
      </w:r>
      <w:r>
        <w:rPr>
          <w:rFonts w:ascii="Calibri" w:hAnsi="Calibri" w:eastAsia="Calibri" w:cs="Calibri"/>
          <w:b w:val="true"/>
          <w:color w:val="000000"/>
          <w:sz w:val="22"/>
        </w:rPr>
        <w:t xml:space="preserve">Study biostatistician:</w:t>
      </w:r>
      <w:r>
        <w:rPr>
          <w:rFonts w:ascii="Calibri" w:hAnsi="Calibri" w:eastAsia="Calibri" w:cs="Calibri"/>
          <w:color w:val="000000"/>
          <w:sz w:val="22"/>
        </w:rPr>
        <w:t xml:space="preserve"> Alannah Rudkin</w:t>
      </w:r>
    </w:p>
    <w:p>
      <w:pPr>
        <w:jc w:val="left"/>
      </w:pPr>
      <w:r>
        <w:t/>
      </w:r>
      <w:r>
        <w:rPr>
          <w:rFonts w:ascii="Calibri" w:hAnsi="Calibri" w:eastAsia="Calibri" w:cs="Calibri"/>
          <w:b w:val="true"/>
          <w:color w:val="000000"/>
          <w:sz w:val="22"/>
        </w:rPr>
        <w:t xml:space="preserve">Data and Safety Monitoring Committee Report produced by:</w:t>
        <w:br w:type="textWrapping"/>
      </w:r>
      <w:r>
        <w:rPr>
          <w:rFonts w:ascii="Calibri" w:hAnsi="Calibri" w:eastAsia="Calibri" w:cs="Calibri"/>
          <w:color w:val="000000"/>
          <w:sz w:val="22"/>
        </w:rPr>
        <w:t xml:space="preserve">Alannah Rudkin</w:t>
        <w:br w:type="textWrapping"/>
      </w:r>
      <w:r>
        <w:rPr>
          <w:rFonts w:ascii="Calibri" w:hAnsi="Calibri" w:eastAsia="Calibri" w:cs="Calibri"/>
          <w:color w:val="000000"/>
          <w:sz w:val="22"/>
        </w:rPr>
        <w:t xml:space="preserve">Murdoch Children's Research Institute</w:t>
        <w:br w:type="textWrapping"/>
      </w:r>
      <w:r>
        <w:rPr>
          <w:rFonts w:ascii="Calibri" w:hAnsi="Calibri" w:eastAsia="Calibri" w:cs="Calibri"/>
          <w:color w:val="000000"/>
          <w:sz w:val="22"/>
        </w:rPr>
        <w:t xml:space="preserve">Melbourne</w:t>
      </w:r>
    </w:p>
    <w:p>
      <w:r>
        <w:t/>
      </w:r>
    </w:p>
    <w:p>
      <w:r>
        <w:t/>
      </w:r>
    </w:p>
    <w:p>
      <w:pPr>
        <w:jc w:val="center"/>
      </w:pPr>
      <w:r>
        <w:t/>
      </w:r>
      <w:r>
        <w:rPr>
          <w:rFonts w:ascii="Calibri" w:hAnsi="Calibri" w:eastAsia="Calibri" w:cs="Calibri"/>
          <w:color w:val="000000"/>
          <w:sz w:val="22"/>
        </w:rPr>
        <w:t xml:space="preserve">This report is based on data up to and including 14Jan2026.</w:t>
      </w:r>
    </w:p>
    <w:p>
      <w:r>
        <w:br w:type="page"/>
      </w:r>
    </w:p>
    <w:p>
      <w:pPr>
        <w:pStyle w:val="Heading2"/>
      </w:pPr>
      <w:r>
        <w:t/>
      </w:r>
      <w:r>
        <w:t xml:space="preserve"/>
      </w:r>
      <w:r>
        <w:rPr>
          <w:rFonts w:ascii="Calibri Light" w:hAnsi="Calibri Light" w:eastAsia="Calibri Light" w:cs="Calibri Light"/>
          <w:b w:val="true"/>
          <w:color w:val="000000"/>
          <w:sz w:val="28"/>
        </w:rPr>
        <w:t xml:space="preserve">Trial Summary</w:t>
      </w:r>
    </w:p>
    <w:p>
      <w:pPr>
        <w:rPr>
          <w:rFonts w:ascii="Calibri" w:hAnsi="Calibri" w:eastAsia="Calibri" w:cs="Calibri"/>
          <w:color w:val="000000"/>
          <w:sz w:val="22"/>
        </w:rPr>
      </w:pPr>
      <w:r>
        <w:t/>
      </w:r>
    </w:p>
    <w:p>
      <w:r>
        <w:t/>
      </w:r>
      <w:r>
        <w:t xml:space="preserve">This trial is a multicentre, randomised, blinded, controlled trial with a parallel group design of treatment versus placebo.</w:t>
      </w:r>
    </w:p>
    <w:p>
      <w:r>
        <w:t/>
      </w:r>
      <w:r>
        <w:t xml:space="preserve"/>
      </w:r>
      <w:r>
        <w:t xml:space="preserve">The planned number of participants is 100 (50 per group).</w:t>
      </w:r>
    </w:p>
    <w:p>
      <w:r>
        <w:t/>
      </w:r>
      <w:r>
        <w:t xml:space="preserve"/>
      </w:r>
      <w:r>
        <w:t xml:space="preserve">With consent, eligible participants are randomly allocated using a web-based randomisation server, with stratification by cancer diagnosis type (brain, haematological, or gastrointestinal (GI)). </w:t>
      </w:r>
    </w:p>
    <w:p>
      <w:r>
        <w:t/>
      </w:r>
      <w:r>
        <w:t xml:space="preserve"/>
      </w:r>
      <w:r>
        <w:t xml:space="preserve">The primary aim of the study is complete response at 28 days. </w:t>
      </w:r>
    </w:p>
    <w:p>
      <w:r>
        <w:t/>
      </w:r>
      <w:r>
        <w:t xml:space="preserve"/>
      </w:r>
      <w:r>
        <w:t xml:space="preserve">Secondary aim of the study is lowered IgG level. 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color w:val="000000"/>
          <w:sz w:val="24"/>
        </w:rPr>
        <w:t xml:space="preserve">The current report includes all participants recruited and their follow-up data collected up to and including 14Jan2026, to allow for full data entry, data cleaning, data analysis, and report writing.  The 48 th participant was randomised on 21Jul2025.</w:t>
      </w:r>
    </w:p>
    <w:p>
      <w:r>
        <w:br w:type="page"/>
      </w:r>
    </w:p>
    <w:p>
      <w:pPr>
        <w:pStyle w:val="Heading2"/>
      </w:pPr>
      <w:r>
        <w:t/>
      </w:r>
      <w:r>
        <w:t xml:space="preserve"/>
      </w:r>
      <w:r>
        <w:rPr>
          <w:rFonts w:ascii="Calibri Light" w:hAnsi="Calibri Light" w:eastAsia="Calibri Light" w:cs="Calibri Light"/>
          <w:b w:val="true"/>
          <w:color w:val="000000"/>
          <w:sz w:val="28"/>
        </w:rPr>
        <w:t xml:space="preserve">Protocol Amendments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</w:p>
    <w:p>
      <w:r>
        <w:t/>
      </w:r>
      <w:r>
        <w:t xml:space="preserve">Version 1.0, Dated 1 August 2022 is the most recent version of the protocol. No changes were made since the previous meeting. But if any changes were made this is where we'd put them. </w:t>
      </w:r>
    </w:p>
    <w:p>
      <w:pPr>
        <w:pStyle w:val="Heading2"/>
      </w:pPr>
      <w:r>
        <w:t/>
      </w:r>
      <w:r>
        <w:t xml:space="preserve"/>
      </w:r>
      <w:r>
        <w:rPr>
          <w:rFonts w:ascii="Calibri Light" w:hAnsi="Calibri Light" w:eastAsia="Calibri Light" w:cs="Calibri Light"/>
          <w:b w:val="true"/>
          <w:color w:val="000000"/>
          <w:sz w:val="28"/>
        </w:rPr>
        <w:t xml:space="preserve">1. Recruitment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color w:val="000000"/>
          <w:sz w:val="24"/>
        </w:rPr>
        <w:t xml:space="preserve">The planned sample size is 100 participants, of which 50 will be assigned to each of the 2 study arms.</w:t>
        <w:br w:type="textWrapping"/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color w:val="000000"/>
          <w:sz w:val="24"/>
        </w:rPr>
        <w:t xml:space="preserve">Figure 1 shows the accrual of the first 48 participants into the study up to the 14Jan2026, and Table 1 shows a breakdown of these participants by randomisation stratum.</w:t>
        <w:br w:type="textWrapping"/>
      </w:r>
      <w:r>
        <w:rPr>
          <w:rFonts w:ascii="Calibri" w:hAnsi="Calibri" w:eastAsia="Calibri" w:cs="Calibri"/>
          <w:color w:val="000000"/>
          <w:sz w:val="24"/>
        </w:rPr>
        <w:t xml:space="preserve">Since the beginning of the study, there has been 1 issue related to the randomisation procedure. Details are listed below.</w:t>
      </w:r>
    </w:p>
    <w:p>
      <w:r>
        <w:t/>
      </w:r>
      <w:r>
        <w:t xml:space="preserve">Electronic randomisation system was down for 24hours on 06Jan2025. Unable to randomise in this time. Back-up paper/phone randomisation system now available.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1: Recruitment by randomisation stratum</w:t>
      </w:r>
    </w:p>
    <w:tbl>
      <w:tblPr>
        <w:tblStyle w:val="TableGrid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Number of Participants Randomised</w:t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48</w:t>
            </w:r>
          </w:p>
        </w:tc>
      </w:tr>
      <w:tr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Cancer diagnosis type</w:t>
            </w:r>
          </w:p>
        </w:tc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GIT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14 (29.2%)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Brain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21 (43.8%)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  Haematological</w:t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13 (27.1%)</w:t>
            </w:r>
          </w:p>
        </w:tc>
      </w:tr>
    </w:tbl>
    <w:p>
      <w:r>
        <w:t/>
      </w:r>
    </w:p>
    <w:p>
      <w:r>
        <w:t/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b w:val="true"/>
          <w:color w:val="000000"/>
          <w:sz w:val="24"/>
        </w:rPr>
        <w:t xml:space="preserve">Figure 1: Recruitment Rate as of 14Jan2026</w:t>
        <w:br w:type="textWrapping"/>
      </w:r>
      <w:r>
        <w:drawing>
          <wp:inline distT="0" distB="0" distL="0" distR="0">
            <wp:extent cx="5943600" cy="3566160"/>
            <wp:effectExtent l="0" t="0" r="0" b="0"/>
            <wp:docPr id="2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2: Participant disposition</w:t>
      </w:r>
    </w:p>
    <w:tbl>
      <w:tblPr>
        <w:tblStyle w:val="TableGrid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N= 48</w:t>
            </w:r>
          </w:p>
        </w:tc>
      </w:tr>
      <w:tr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Baseline Data Available</w:t>
            </w:r>
          </w:p>
        </w:tc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48 (100.0%)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Primary Outcome Data Available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34 (70.8%)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Secondary Outcome Data Available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48 (100.0%)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Withdrawn from the study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3 (6.2%)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Lost to follow up</w:t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3 (6.2%)</w:t>
            </w:r>
          </w:p>
        </w:tc>
      </w:tr>
    </w:tbl>
    <w:p>
      <w:r>
        <w:t/>
      </w:r>
    </w:p>
    <w:p>
      <w:r>
        <w:br w:type="page"/>
      </w:r>
    </w:p>
    <w:p>
      <w:pPr>
        <w:pStyle w:val="Heading2"/>
      </w:pPr>
      <w:r>
        <w:t/>
      </w:r>
      <w:r>
        <w:t xml:space="preserve"/>
      </w:r>
      <w:r>
        <w:rPr>
          <w:rFonts w:ascii="Calibri Light" w:hAnsi="Calibri Light" w:eastAsia="Calibri Light" w:cs="Calibri Light"/>
          <w:b w:val="true"/>
          <w:color w:val="000000"/>
          <w:sz w:val="28"/>
        </w:rPr>
        <w:t xml:space="preserve">2. Participant Characteristics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color w:val="000000"/>
          <w:sz w:val="24"/>
        </w:rPr>
        <w:t xml:space="preserve">Table 3 shows the baseline characteristics of the 48 participants recruited to date.</w:t>
        <w:br w:type="textWrapping"/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3: Baseline characteristics</w:t>
      </w:r>
    </w:p>
    <w:tbl>
      <w:tblPr>
        <w:tblStyle w:val="TableGrid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N= 48</w:t>
            </w:r>
          </w:p>
        </w:tc>
      </w:tr>
      <w:tr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Patient age (years)</w:t>
            </w:r>
          </w:p>
        </w:tc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55.9 (5.7)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Gender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Male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28 (58.3%)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Female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20 (41.7%)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Cancer diagnosis type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GIT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14 (29.2%)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Brain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21 (43.8%)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  Haematological</w:t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13 (27.1%)</w:t>
            </w:r>
          </w:p>
        </w:tc>
      </w:tr>
    </w:tbl>
    <w:p>
      <w:r>
        <w:t/>
      </w:r>
    </w:p>
    <w:p>
      <w:pPr>
        <w:pStyle w:val="Heading2"/>
      </w:pPr>
      <w:r>
        <w:t/>
      </w:r>
      <w:r>
        <w:t xml:space="preserve"/>
      </w:r>
      <w:r>
        <w:rPr>
          <w:rFonts w:ascii="Calibri Light" w:hAnsi="Calibri Light" w:eastAsia="Calibri Light" w:cs="Calibri Light"/>
          <w:b w:val="true"/>
          <w:color w:val="000000"/>
          <w:sz w:val="28"/>
        </w:rPr>
        <w:t xml:space="preserve">3. Safety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b w:val="true"/>
          <w:color w:val="000000"/>
          <w:sz w:val="24"/>
        </w:rPr>
        <w:t xml:space="preserve">3.1 Adverse events</w:t>
        <w:br w:type="textWrapping"/>
      </w:r>
      <w:r>
        <w:rPr>
          <w:rFonts w:ascii="Calibri" w:hAnsi="Calibri" w:eastAsia="Calibri" w:cs="Calibri"/>
          <w:color w:val="000000"/>
          <w:sz w:val="24"/>
        </w:rPr>
        <w:t xml:space="preserve">Table 4 shows a summary of all the adverse events (AEs) before 14Jan2026. Listing 1 lists adverse event (AE) details.</w:t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4: Adverse Events</w:t>
      </w:r>
    </w:p>
    <w:tbl>
      <w:tblPr>
        <w:tblStyle w:val="TableGrid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Number of Participants Randomised</w:t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48</w:t>
            </w:r>
          </w:p>
        </w:tc>
      </w:tr>
      <w:tr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Participants who had at least one AE</w:t>
            </w:r>
          </w:p>
        </w:tc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5 (10.4%)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Number of AEs: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6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Number of AEs by category: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Blood and lymphatic system disorders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Gastrointestinal disorders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General disorders and administration site conditions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  Nervous system disorders</w:t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</w:tr>
      <w:tr>
        <w:tc>
          <w:tcPr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i w:val="true"/>
              </w:rPr>
              <w:t xml:space="preserve">Highest grade reported if multiple grades reported for the same participant adverse event.</w:t>
            </w:r>
          </w:p>
        </w:tc>
      </w:tr>
    </w:tbl>
    <w:p>
      <w:r>
        <w:t/>
      </w:r>
    </w:p>
    <w:p>
      <w:pPr>
        <w:sectPr>
          <w:headerReference w:type="default" r:id="rId3"/>
          <w:footerReference w:type="default" r:id="rId4"/>
          <w:pgSz w:w="12240" w:h="15840" w:code="1"/>
          <w:pgMar w:top="1440" w:right="1440" w:bottom="1440" w:left="1440"/>
        </w:sectPr>
      </w:pPr>
    </w:p>
    <w:p>
      <w:r>
        <w:t/>
      </w:r>
      <w:r>
        <w:rPr>
          <w:i w:val="true"/>
        </w:rPr>
        <w:t xml:space="preserve">Listing 1: Adverse events</w:t>
        <w:br w:type="textWrapping"/>
      </w:r>
    </w:p>
    <w:tbl>
      <w:tblPr>
        <w:tblStyle w:val="TableGrid"/>
        <w:tblW w:w="0" w:type="auto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</w:tblPr>
      <w:tblGrid>
        <w:gridCol w:w="1620"/>
        <w:gridCol w:w="1620"/>
        <w:gridCol w:w="1620"/>
        <w:gridCol w:w="1620"/>
        <w:gridCol w:w="1620"/>
        <w:gridCol w:w="1620"/>
        <w:gridCol w:w="1620"/>
        <w:gridCol w:w="1620"/>
      </w:tblGrid>
      <w:tr>
        <w:trPr>
          <w:tblHeader w:val="true"/>
        </w:trPr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Study ID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>Adverse Event Number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Adverse Event - System Organ Class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Adverse Event term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Grade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Serious Adverse Event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Attribution to treatment</w:t>
            </w:r>
          </w:p>
        </w:tc>
        <w:tc>
          <w:tcPr>
            <w:tcW w:w="0" w:type="auto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SUSAR</w:t>
            </w:r>
          </w:p>
        </w:tc>
      </w:tr>
      <w:tr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19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Gastrointestinal disorders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Pancreatitis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4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1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10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Nervous system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Peripheral motor neuropathy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33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Blood and lymphatic system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Febrile neutropenia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41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General disorders and administration site conditions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Fatigue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41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Blood and lymphatic system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Febrile neutropenia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</w:tr>
      <w:tr>
        <w:tc>
          <w:tcPr>
            <w:tcW w:w="0" w:type="auto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0" w:type="auto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Gastrointestinal disorders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Diarrhea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0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  <w:tc>
          <w:tcPr>
            <w:tcW w:w="0" w:type="auto"/>
          </w:tcPr>
          <w:p>
            <w:pPr>
              <w:spacing w:after="0"/>
              <w:jc w:val="center"/>
            </w:pPr>
            <w:r>
              <w:t xml:space="preserve">.</w:t>
            </w:r>
          </w:p>
        </w:tc>
      </w:tr>
    </w:tbl>
    <w:p>
      <w:r>
        <w:t/>
      </w:r>
    </w:p>
    <w:p>
      <w:pPr>
        <w:sectPr>
          <w:headerReference w:type="default" r:id="rId3"/>
          <w:footerReference w:type="default" r:id="rId4"/>
          <w:pgSz w:w="15840" w:h="12240" w:orient="landscape" w:code="1"/>
          <w:pgMar w:top="1440" w:right="1440" w:bottom="1440" w:left="1440"/>
        </w:sectPr>
      </w:pP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5: Serious Adverse Events</w:t>
      </w:r>
    </w:p>
    <w:tbl>
      <w:tblPr>
        <w:tblStyle w:val="TableGrid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</w:pPr>
            <w:r>
              <w:t xml:space="preserve">Participants who experienced Serious Adverse Events</w:t>
            </w:r>
          </w:p>
        </w:tc>
        <w:tc>
          <w:tcPr>
            <w:tcW w:w="468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t xml:space="preserve">2 (4.1%)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>Total number of SAEs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2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Relationship of the SAE to the trial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Possibly related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2 (100.0%)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SAE category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/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Blood and lymphatic system disorders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1 (50.0%)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  Gastrointestinal disorders</w:t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t xml:space="preserve">1 (50.0%)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t xml:space="preserve">Suspected Unexpected Serious Adverse Reaction</w:t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1 (50.0%)</w:t>
            </w:r>
          </w:p>
        </w:tc>
      </w:tr>
      <w:tr>
        <w:tc>
          <w:tcPr>
            <w:gridSpan w:val="2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i w:val="true"/>
              </w:rPr>
              <w:t xml:space="preserve">Highest grade reported if multiple grades reported for the same participant adverse event.</w:t>
            </w:r>
          </w:p>
        </w:tc>
      </w:tr>
    </w:tbl>
    <w:p>
      <w:r>
        <w:t/>
      </w:r>
    </w:p>
    <w:p>
      <w:pPr>
        <w:rPr>
          <w:rFonts w:ascii="Calibri" w:hAnsi="Calibri" w:eastAsia="Calibri" w:cs="Calibri"/>
          <w:color w:val="000000"/>
          <w:sz w:val="24"/>
        </w:rPr>
      </w:pPr>
      <w:r>
        <w:t/>
      </w:r>
      <w:r>
        <w:rPr>
          <w:rFonts w:ascii="Calibri" w:hAnsi="Calibri" w:eastAsia="Calibri" w:cs="Calibri"/>
          <w:i w:val="true"/>
          <w:color w:val="000000"/>
          <w:sz w:val="24"/>
        </w:rPr>
        <w:t xml:space="preserve">Table 6: Mortality</w:t>
      </w:r>
    </w:p>
    <w:tbl>
      <w:tblPr>
        <w:tblStyle w:val="TableGrid"/>
        <w:tblBorders>
          <w:left w:val="single" w:color="000000" w:shadow="false"/>
          <w:right w:val="single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4680"/>
        <w:gridCol w:w="4680"/>
      </w:tblGrid>
      <w:tr>
        <w:trPr>
          <w:tblHeader w:val="true"/>
        </w:trPr>
        <w:tc>
          <w:tcPr>
            <w:tcW w:w="4680" w:type="dxa"/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4680" w:type="dxa"/>
          </w:tcPr>
          <w:p>
            <w:pPr>
              <w:spacing w:after="0"/>
              <w:jc w:val="center"/>
            </w:pPr>
            <w:r>
              <w:rPr>
                <w:b w:val="true"/>
              </w:rPr>
              <w:t xml:space="preserve">Total</w:t>
            </w:r>
          </w:p>
        </w:tc>
      </w:tr>
      <w:tr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</w:pPr>
            <w:r>
              <w:rPr>
                <w:b w:val="true"/>
              </w:rPr>
              <w:t xml:space="preserve"/>
            </w:r>
          </w:p>
        </w:tc>
        <w:tc>
          <w:tcPr>
            <w:tcW w:w="4680" w:type="dxa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N= 48</w:t>
            </w:r>
          </w:p>
        </w:tc>
      </w:tr>
      <w:tr>
        <w:tc>
          <w:tcPr>
            <w:tcW w:w="468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</w:pPr>
            <w:r>
              <w:t xml:space="preserve">Participants died on trial</w:t>
            </w:r>
          </w:p>
        </w:tc>
        <w:tc>
          <w:tcPr>
            <w:tcW w:w="4680" w:type="dxa"/>
            <w:tcBorders>
              <w:top w:val="single" w:color="000000"/>
              <w:bottom w:val="single" w:color="000000"/>
            </w:tcBorders>
          </w:tcPr>
          <w:p>
            <w:pPr>
              <w:spacing w:after="0"/>
              <w:jc w:val="center"/>
            </w:pPr>
            <w:r>
              <w:t xml:space="preserve">31 (64.6%)</w:t>
            </w:r>
          </w:p>
        </w:tc>
      </w:tr>
    </w:tbl>
    <w:p>
      <w:r>
        <w:t/>
      </w:r>
    </w:p>
    <w:sectPr>
      <w:headerReference w:type="default" r:id="rId3"/>
      <w:footerReference w:type="default" r:id="rId4"/>
      <w:pgSz w:w="12240" w:h="15840" w:code="1"/>
      <w:pgMar w:top="1440" w:right="1440" w:bottom="1440" w:left="1440"/>
    </w:sectPr>
  </w:body>
</w:document>
</file>

<file path=word/footer-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pStyle w:val="Footer"/>
      <w:jc w:val="center"/>
    </w:pPr>
    <w:r>
      <w:t/>
    </w:r>
    <w:r>
      <w:t xml:space="preserve">TEST trial DSMC OPEN REPORT Jan 2026                          Page </w:t>
    </w:r>
    <w:r>
      <w:rPr/>
      <w:fldChar w:fldCharType="begin"/>
      <w:instrText xml:space="preserve"> PAGE \* MERGEFORMAT </w:instrText>
      <w:fldChar w:fldCharType="end"/>
    </w:r>
  </w:p>
</w:ftr>
</file>

<file path=word/header-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pStyle w:val="Header"/>
    </w:pPr>
    <w:r>
      <w:t/>
    </w:r>
    <w:r>
      <w:drawing>
        <wp:inline distT="0" distB="0" distL="0" distR="0">
          <wp:extent cx="5734050" cy="676275"/>
          <wp:effectExtent l="0" t="0" r="0" b="0"/>
          <wp:docPr id="0" name="" descr="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4050" cy="676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  <w:br w:type="textWrapping"/>
    </w:r>
    <w:r>
      <w:rPr>
        <w:u w:val="single"/>
      </w:rPr>
      <w:t xml:space="preserve">Confidential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Calibri" w:hAnsi="Calibri" w:eastAsia="Calibri" w:cs="Calibri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-header1.xml" Type="http://schemas.openxmlformats.org/officeDocument/2006/relationships/header" Id="rId3"/>
    <Relationship Target="footer-footer1.xml" Type="http://schemas.openxmlformats.org/officeDocument/2006/relationships/footer" Id="rId4"/>
    <Relationship Target="media/document_image_rId5.png" Type="http://schemas.openxmlformats.org/officeDocument/2006/relationships/image" Id="rId5"/>
</Relationships>

</file>

<file path=word/_rels/header-header1.xml.rels><?xml version="1.0" encoding="UTF-8" standalone="yes"?>
<Relationships xmlns="http://schemas.openxmlformats.org/package/2006/relationships">
    <Relationship Target="media/header-header1_image_rId1.png" Type="http://schemas.openxmlformats.org/officeDocument/2006/relationships/image" Id="rId1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