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rtl w:val="0"/>
        </w:rPr>
        <w:t xml:space="preserve">MRA Paper Questions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How does the structure and content of MRA articles differ from primary scientific literature that you have read previously?</w:t>
      </w:r>
    </w:p>
    <w:p w:rsidR="00000000" w:rsidDel="00000000" w:rsidP="00000000" w:rsidRDefault="00000000" w:rsidRPr="00000000" w14:paraId="00000003">
      <w:pPr>
        <w:ind w:left="720" w:firstLine="0"/>
        <w:rPr/>
      </w:pPr>
      <w:r w:rsidDel="00000000" w:rsidR="00000000" w:rsidRPr="00000000">
        <w:rPr>
          <w:rtl w:val="0"/>
        </w:rPr>
        <w:t xml:space="preserve">MRA papers differ from primary literature because of the length requirement. MRA papers are expected to remain within a specific word limit (typically 500 words maximum), while primary literature papers are not required to remain within such a short word limit. Even though some primary literature articles must remain within a specific word count range, the word count would not be as small as 500 words.  Primary literature articles are also structured differently than MRA papers.  Primary literature articles have different titled structures of the paper (i.e. abstract, introduction, methods, results, discussion, conclusion), while MRA do not have all of these different sections. In regards to the MRA papers we just looked over, they had a section titled ‘Abstract,’ then squeezed the introduction, methods, and data into the remaining words. Primary literature papers heavily explain the results and discussion of their research, connecting it to their proposed hypothesis. MRA papers also have a limit on the number of tables and figures they can include in the paper; MRA papers can only have 1 table and 1 figure.  Meanwhile, primary literature papers can have more than 1 table and 1 figure. As a matter of fact, I think a primary literature paper containing only 1 table and 1 figure would be lacking. In regards to the content, MRA papers announce a specific resource that they are analyzing, with the intent of making the data publicly available. In contrast, primary literature articles are composed to test a hypothesis and also explain the future applications of the results.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Develop a list of the key features/information that all MRAs share.</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Identification of the research or resource being announced</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Condensed background information explaining the relevance of the resource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Description of the sample from which the resource was extracted from</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Condensed summary of the methods explaining how the DNA or RNA was extracted, sequenced, assembled, and annotated</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Summary of quality metrics (i.e. GC content, genome size, contig numbers, completeness)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Condensed interpretation of quality metrics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Accession number and data availability statements</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Does not contain a results, discussion, or conclusion section</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1 table and 1 figure can be utilized</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Purpose is to report data, rather than to compose a hypothesis and support/refute it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Develop a list of genome statistics that are present in all of the MRAs. Explain what each of these statistics mean, in your own words.</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Paper 1</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Genome size: 4,802,304 bp</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GC content: 52.83%</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Number of contigs: 111</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Contig N</w:t>
      </w:r>
      <w:r w:rsidDel="00000000" w:rsidR="00000000" w:rsidRPr="00000000">
        <w:rPr>
          <w:vertAlign w:val="subscript"/>
          <w:rtl w:val="0"/>
        </w:rPr>
        <w:t xml:space="preserve">50</w:t>
      </w:r>
      <w:r w:rsidDel="00000000" w:rsidR="00000000" w:rsidRPr="00000000">
        <w:rPr>
          <w:rtl w:val="0"/>
        </w:rPr>
        <w:t xml:space="preserve"> value: 149,367 bp</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Coding sequences: 4,499 genes</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RNA genes: 97 genes</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ANI: 99.87% similar to </w:t>
      </w:r>
      <w:r w:rsidDel="00000000" w:rsidR="00000000" w:rsidRPr="00000000">
        <w:rPr>
          <w:i w:val="1"/>
          <w:iCs w:val="1"/>
          <w:rtl w:val="0"/>
        </w:rPr>
        <w:t xml:space="preserve">S. Typhimurium </w:t>
      </w:r>
      <w:r w:rsidDel="00000000" w:rsidR="00000000" w:rsidRPr="00000000">
        <w:rPr>
          <w:rtl w:val="0"/>
        </w:rPr>
        <w:t xml:space="preserve">strain 138736 and 96.14% to </w:t>
      </w:r>
      <w:r w:rsidDel="00000000" w:rsidR="00000000" w:rsidRPr="00000000">
        <w:rPr>
          <w:i w:val="1"/>
          <w:iCs w:val="1"/>
          <w:rtl w:val="0"/>
        </w:rPr>
        <w:t xml:space="preserve">S. enterica </w:t>
      </w:r>
      <w:r w:rsidDel="00000000" w:rsidR="00000000" w:rsidRPr="00000000">
        <w:rPr>
          <w:rtl w:val="0"/>
        </w:rPr>
        <w:t xml:space="preserve">serovar Typhi 404ty.</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Paper 2</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Genome size: 2,862,301 bp</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GC content: 37.36%</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Number of contigs: 38</w:t>
      </w:r>
    </w:p>
    <w:p w:rsidR="00000000" w:rsidDel="00000000" w:rsidP="00000000" w:rsidRDefault="00000000" w:rsidRPr="00000000" w14:paraId="0000001C">
      <w:pPr>
        <w:numPr>
          <w:ilvl w:val="2"/>
          <w:numId w:val="1"/>
        </w:numPr>
        <w:ind w:left="2160" w:hanging="360"/>
      </w:pPr>
      <w:r w:rsidDel="00000000" w:rsidR="00000000" w:rsidRPr="00000000">
        <w:rPr>
          <w:rtl w:val="0"/>
        </w:rPr>
        <w:t xml:space="preserve">Contig N</w:t>
      </w:r>
      <w:r w:rsidDel="00000000" w:rsidR="00000000" w:rsidRPr="00000000">
        <w:rPr>
          <w:vertAlign w:val="subscript"/>
          <w:rtl w:val="0"/>
        </w:rPr>
        <w:t xml:space="preserve">50</w:t>
      </w:r>
      <w:r w:rsidDel="00000000" w:rsidR="00000000" w:rsidRPr="00000000">
        <w:rPr>
          <w:rtl w:val="0"/>
        </w:rPr>
        <w:t xml:space="preserve"> value: 326,766 bp</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Protein-coding sequences: 2,728</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tRNA genes: 48</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rRNA genes: 3</w:t>
      </w:r>
    </w:p>
    <w:p w:rsidR="00000000" w:rsidDel="00000000" w:rsidP="00000000" w:rsidRDefault="00000000" w:rsidRPr="00000000" w14:paraId="00000020">
      <w:pPr>
        <w:numPr>
          <w:ilvl w:val="2"/>
          <w:numId w:val="1"/>
        </w:numPr>
        <w:ind w:left="2160" w:hanging="360"/>
        <w:rPr>
          <w:u w:val="none"/>
        </w:rPr>
      </w:pPr>
      <w:r w:rsidDel="00000000" w:rsidR="00000000" w:rsidRPr="00000000">
        <w:rPr>
          <w:rtl w:val="0"/>
        </w:rPr>
        <w:t xml:space="preserve">Sequence type: ST862</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ARGs: 35</w:t>
      </w:r>
    </w:p>
    <w:p w:rsidR="00000000" w:rsidDel="00000000" w:rsidP="00000000" w:rsidRDefault="00000000" w:rsidRPr="00000000" w14:paraId="00000022">
      <w:pPr>
        <w:numPr>
          <w:ilvl w:val="2"/>
          <w:numId w:val="1"/>
        </w:numPr>
        <w:ind w:left="2160" w:hanging="360"/>
        <w:rPr>
          <w:u w:val="none"/>
        </w:rPr>
      </w:pPr>
      <w:r w:rsidDel="00000000" w:rsidR="00000000" w:rsidRPr="00000000">
        <w:rPr>
          <w:rtl w:val="0"/>
        </w:rPr>
        <w:t xml:space="preserve">VFGs: 35</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Functional subsystems: 779 subsystems with 29% coverage and 1,075 genes assigned to these features</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Paper 3</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Chromosome size: 4,594,703 bp</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GC content: 50.94%</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Coding sequences: 4,115</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tRNAs: 104</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rRNAs: 22</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ncRNAs: 7</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Plasmid p001: 206,206 bp; 45.6% GC content; 248 coding sequences</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Plasmid p002: 58,626 bp; 45.6 GC content; 33 coding sequences</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Plasmid p003: 4,042 bp; 52.46% GC content; 3 coding sequences</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Plasmid p004: 3, 179 bp; 45.08% GC content; 1 coding sequence</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Illumina short reads: 1,570,670 </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Nanopore long reads: 4,000 with N</w:t>
      </w:r>
      <w:r w:rsidDel="00000000" w:rsidR="00000000" w:rsidRPr="00000000">
        <w:rPr>
          <w:vertAlign w:val="subscript"/>
          <w:rtl w:val="0"/>
        </w:rPr>
        <w:t xml:space="preserve">50</w:t>
      </w:r>
      <w:r w:rsidDel="00000000" w:rsidR="00000000" w:rsidRPr="00000000">
        <w:rPr>
          <w:rtl w:val="0"/>
        </w:rPr>
        <w:t xml:space="preserve"> value of 5,824 bp</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Plasmid p002 is similar to pCP301 (ANI = 99.83%)</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Meaning of statistics:</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Genome size: total number of bps, or DNA, found in the genome</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GC content: the percentage of guanine and cytosines found in the genome</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Number of contigs: a measurement of how fragmented the assembly is. </w:t>
      </w:r>
    </w:p>
    <w:p w:rsidR="00000000" w:rsidDel="00000000" w:rsidP="00000000" w:rsidRDefault="00000000" w:rsidRPr="00000000" w14:paraId="00000036">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Lower number of contigs → more continuous/higher-quality assemblage</w:t>
      </w:r>
    </w:p>
    <w:p w:rsidR="00000000" w:rsidDel="00000000" w:rsidP="00000000" w:rsidRDefault="00000000" w:rsidRPr="00000000" w14:paraId="00000037">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Higher number of contigs → more fragmented assemblage</w:t>
      </w:r>
    </w:p>
    <w:p w:rsidR="00000000" w:rsidDel="00000000" w:rsidP="00000000" w:rsidRDefault="00000000" w:rsidRPr="00000000" w14:paraId="00000038">
      <w:pPr>
        <w:numPr>
          <w:ilvl w:val="2"/>
          <w:numId w:val="1"/>
        </w:numPr>
        <w:ind w:left="2160" w:hanging="360"/>
      </w:pPr>
      <w:r w:rsidDel="00000000" w:rsidR="00000000" w:rsidRPr="00000000">
        <w:rPr>
          <w:rtl w:val="0"/>
        </w:rPr>
        <w:t xml:space="preserve">Contig N</w:t>
      </w:r>
      <w:r w:rsidDel="00000000" w:rsidR="00000000" w:rsidRPr="00000000">
        <w:rPr>
          <w:vertAlign w:val="subscript"/>
          <w:rtl w:val="0"/>
        </w:rPr>
        <w:t xml:space="preserve">50</w:t>
      </w:r>
      <w:r w:rsidDel="00000000" w:rsidR="00000000" w:rsidRPr="00000000">
        <w:rPr>
          <w:rtl w:val="0"/>
        </w:rPr>
        <w:t xml:space="preserve"> value: the length of contigs that is representative of 50% of the total assembly length of contigs</w:t>
      </w:r>
    </w:p>
    <w:p w:rsidR="00000000" w:rsidDel="00000000" w:rsidP="00000000" w:rsidRDefault="00000000" w:rsidRPr="00000000" w14:paraId="00000039">
      <w:pPr>
        <w:numPr>
          <w:ilvl w:val="2"/>
          <w:numId w:val="1"/>
        </w:numPr>
        <w:ind w:left="2160" w:hanging="360"/>
        <w:rPr>
          <w:u w:val="none"/>
        </w:rPr>
      </w:pPr>
      <w:r w:rsidDel="00000000" w:rsidR="00000000" w:rsidRPr="00000000">
        <w:rPr>
          <w:rtl w:val="0"/>
        </w:rPr>
        <w:t xml:space="preserve">Coding sequences: the parts of the genome that encode proteins</w:t>
      </w:r>
    </w:p>
    <w:p w:rsidR="00000000" w:rsidDel="00000000" w:rsidP="00000000" w:rsidRDefault="00000000" w:rsidRPr="00000000" w14:paraId="0000003A">
      <w:pPr>
        <w:numPr>
          <w:ilvl w:val="2"/>
          <w:numId w:val="1"/>
        </w:numPr>
        <w:ind w:left="2160" w:hanging="360"/>
        <w:rPr>
          <w:u w:val="none"/>
        </w:rPr>
      </w:pPr>
      <w:r w:rsidDel="00000000" w:rsidR="00000000" w:rsidRPr="00000000">
        <w:rPr>
          <w:rtl w:val="0"/>
        </w:rPr>
        <w:t xml:space="preserve">RNA genes: genes that make RNA molecules and are not translated  into proteins</w:t>
      </w:r>
    </w:p>
    <w:p w:rsidR="00000000" w:rsidDel="00000000" w:rsidP="00000000" w:rsidRDefault="00000000" w:rsidRPr="00000000" w14:paraId="0000003B">
      <w:pPr>
        <w:numPr>
          <w:ilvl w:val="2"/>
          <w:numId w:val="1"/>
        </w:numPr>
        <w:ind w:left="2160" w:hanging="360"/>
        <w:rPr>
          <w:u w:val="none"/>
        </w:rPr>
      </w:pPr>
      <w:r w:rsidDel="00000000" w:rsidR="00000000" w:rsidRPr="00000000">
        <w:rPr>
          <w:rtl w:val="0"/>
        </w:rPr>
        <w:t xml:space="preserve">ANI: a measurement of the genetic similarity between 2 genomes</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Protein-coding sequences: segments of DNA/RNA that encode for proteins</w:t>
      </w:r>
    </w:p>
    <w:p w:rsidR="00000000" w:rsidDel="00000000" w:rsidP="00000000" w:rsidRDefault="00000000" w:rsidRPr="00000000" w14:paraId="0000003D">
      <w:pPr>
        <w:numPr>
          <w:ilvl w:val="2"/>
          <w:numId w:val="1"/>
        </w:numPr>
        <w:ind w:left="2160" w:hanging="360"/>
        <w:rPr>
          <w:u w:val="none"/>
        </w:rPr>
      </w:pPr>
      <w:r w:rsidDel="00000000" w:rsidR="00000000" w:rsidRPr="00000000">
        <w:rPr>
          <w:rtl w:val="0"/>
        </w:rPr>
        <w:t xml:space="preserve">tRNA genes: genes that encode transfer RNAs and are not translated into proteins</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rRNA genes: genes that encode ribosomal RNAs and are not translated into proteins</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Sequence type: a label that categorizes DNA organisms based on their DNA sequences</w:t>
      </w:r>
    </w:p>
    <w:p w:rsidR="00000000" w:rsidDel="00000000" w:rsidP="00000000" w:rsidRDefault="00000000" w:rsidRPr="00000000" w14:paraId="00000040">
      <w:pPr>
        <w:numPr>
          <w:ilvl w:val="2"/>
          <w:numId w:val="1"/>
        </w:numPr>
        <w:ind w:left="2160" w:hanging="360"/>
        <w:rPr>
          <w:u w:val="none"/>
        </w:rPr>
      </w:pPr>
      <w:r w:rsidDel="00000000" w:rsidR="00000000" w:rsidRPr="00000000">
        <w:rPr>
          <w:rtl w:val="0"/>
        </w:rPr>
        <w:t xml:space="preserve">ARGs: antibiotic resistance genes that enable organisms to better survive exposure to antibiotics</w:t>
      </w:r>
    </w:p>
    <w:p w:rsidR="00000000" w:rsidDel="00000000" w:rsidP="00000000" w:rsidRDefault="00000000" w:rsidRPr="00000000" w14:paraId="00000041">
      <w:pPr>
        <w:numPr>
          <w:ilvl w:val="2"/>
          <w:numId w:val="1"/>
        </w:numPr>
        <w:ind w:left="2160" w:hanging="360"/>
        <w:rPr>
          <w:u w:val="none"/>
        </w:rPr>
      </w:pPr>
      <w:r w:rsidDel="00000000" w:rsidR="00000000" w:rsidRPr="00000000">
        <w:rPr>
          <w:rtl w:val="0"/>
        </w:rPr>
        <w:t xml:space="preserve">VFGs: virulence factor genes enable organisms to infect host organisms and be pathogenic</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Functional subsystems: a set of genes/proteins that collectively encode a specific function</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ncRNAs: RNA proteins that do not encode proteins</w:t>
      </w:r>
    </w:p>
    <w:p w:rsidR="00000000" w:rsidDel="00000000" w:rsidP="00000000" w:rsidRDefault="00000000" w:rsidRPr="00000000" w14:paraId="00000044">
      <w:pPr>
        <w:numPr>
          <w:ilvl w:val="2"/>
          <w:numId w:val="1"/>
        </w:numPr>
        <w:ind w:left="2160" w:hanging="360"/>
        <w:rPr>
          <w:u w:val="none"/>
        </w:rPr>
      </w:pPr>
      <w:r w:rsidDel="00000000" w:rsidR="00000000" w:rsidRPr="00000000">
        <w:rPr>
          <w:rtl w:val="0"/>
        </w:rPr>
        <w:t xml:space="preserve">Illumina short reads: short DNA sequences that represent a small sequence of the genome</w:t>
      </w:r>
    </w:p>
    <w:p w:rsidR="00000000" w:rsidDel="00000000" w:rsidP="00000000" w:rsidRDefault="00000000" w:rsidRPr="00000000" w14:paraId="00000045">
      <w:pPr>
        <w:numPr>
          <w:ilvl w:val="2"/>
          <w:numId w:val="1"/>
        </w:numPr>
        <w:ind w:left="2160" w:hanging="360"/>
        <w:rPr>
          <w:u w:val="none"/>
        </w:rPr>
      </w:pPr>
      <w:r w:rsidDel="00000000" w:rsidR="00000000" w:rsidRPr="00000000">
        <w:rPr>
          <w:rtl w:val="0"/>
        </w:rPr>
        <w:t xml:space="preserve">Nanopore long reads: long, continuous sequences of DNA/RNA</w:t>
      </w: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What are the original sources of the microbes and how were they grown in pure culture?</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Paper 1: The original source of </w:t>
      </w:r>
      <w:r w:rsidDel="00000000" w:rsidR="00000000" w:rsidRPr="00000000">
        <w:rPr>
          <w:i w:val="1"/>
          <w:iCs w:val="1"/>
          <w:rtl w:val="0"/>
        </w:rPr>
        <w:t xml:space="preserve">S. Typhimurium</w:t>
      </w:r>
      <w:r w:rsidDel="00000000" w:rsidR="00000000" w:rsidRPr="00000000">
        <w:rPr>
          <w:rtl w:val="0"/>
        </w:rPr>
        <w:t xml:space="preserve"> was isolated from the cloaca of a </w:t>
      </w:r>
      <w:r w:rsidDel="00000000" w:rsidR="00000000" w:rsidRPr="00000000">
        <w:rPr>
          <w:i w:val="1"/>
          <w:iCs w:val="1"/>
          <w:rtl w:val="0"/>
        </w:rPr>
        <w:t xml:space="preserve">Spinus Pinus</w:t>
      </w:r>
      <w:r w:rsidDel="00000000" w:rsidR="00000000" w:rsidRPr="00000000">
        <w:rPr>
          <w:rtl w:val="0"/>
        </w:rPr>
        <w:t xml:space="preserve">. The bacteria was grown in a pure culture by swabbing a sterile, premoistened cotton swab on </w:t>
      </w:r>
      <w:r w:rsidDel="00000000" w:rsidR="00000000" w:rsidRPr="00000000">
        <w:rPr>
          <w:i w:val="1"/>
          <w:iCs w:val="1"/>
          <w:rtl w:val="0"/>
        </w:rPr>
        <w:t xml:space="preserve">Shigella-Salmonella </w:t>
      </w:r>
      <w:r w:rsidDel="00000000" w:rsidR="00000000" w:rsidRPr="00000000">
        <w:rPr>
          <w:rtl w:val="0"/>
        </w:rPr>
        <w:t xml:space="preserve">agar. An isolated colony was then placed from the plate into LB broth.</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Paper 2: The original source of </w:t>
      </w:r>
      <w:r w:rsidDel="00000000" w:rsidR="00000000" w:rsidRPr="00000000">
        <w:rPr>
          <w:i w:val="1"/>
          <w:iCs w:val="1"/>
          <w:rtl w:val="0"/>
        </w:rPr>
        <w:t xml:space="preserve">E. faecalis</w:t>
      </w:r>
      <w:r w:rsidDel="00000000" w:rsidR="00000000" w:rsidRPr="00000000">
        <w:rPr>
          <w:rtl w:val="0"/>
        </w:rPr>
        <w:t xml:space="preserve"> was from a combination of various body parts of </w:t>
      </w:r>
      <w:r w:rsidDel="00000000" w:rsidR="00000000" w:rsidRPr="00000000">
        <w:rPr>
          <w:i w:val="1"/>
          <w:iCs w:val="1"/>
          <w:rtl w:val="0"/>
        </w:rPr>
        <w:t xml:space="preserve">Penaeus indicus</w:t>
      </w:r>
      <w:r w:rsidDel="00000000" w:rsidR="00000000" w:rsidRPr="00000000">
        <w:rPr>
          <w:rtl w:val="0"/>
        </w:rPr>
        <w:t xml:space="preserve">. To be grown in a pure media, the culture was first enriched in nutrient broth, then streaked onto Enterococcus agar and incubated overnight at 37℃. Gram staining and biochemical tests were conducted to ensure a pure isolate of </w:t>
      </w:r>
      <w:r w:rsidDel="00000000" w:rsidR="00000000" w:rsidRPr="00000000">
        <w:rPr>
          <w:i w:val="1"/>
          <w:iCs w:val="1"/>
          <w:rtl w:val="0"/>
        </w:rPr>
        <w:t xml:space="preserve">E. faecalis</w:t>
      </w:r>
      <w:r w:rsidDel="00000000" w:rsidR="00000000" w:rsidRPr="00000000">
        <w:rPr>
          <w:rtl w:val="0"/>
        </w:rPr>
        <w:t xml:space="preserve">. </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Paper 3: The original source of </w:t>
      </w:r>
      <w:r w:rsidDel="00000000" w:rsidR="00000000" w:rsidRPr="00000000">
        <w:rPr>
          <w:i w:val="1"/>
          <w:iCs w:val="1"/>
          <w:rtl w:val="0"/>
        </w:rPr>
        <w:t xml:space="preserve">Shigella flexneri</w:t>
      </w:r>
      <w:r w:rsidDel="00000000" w:rsidR="00000000" w:rsidRPr="00000000">
        <w:rPr>
          <w:rtl w:val="0"/>
        </w:rPr>
        <w:t xml:space="preserve"> was collected via an oral swab from a rhesus monkey demonstrating clinical signs of gingivitis. The sample was originally submitted in November 2017 to an attending veterinarian. The bacteria was grown in a pure culture by streaking the culture onto TSA containing 5% sheep blood, MacConkey, Salmonella-Shigella, and Hektoen agar plates for 24 hrs at 37℃. The pure colonies were confirmed via the presence of mucoid colonies on the plates.</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How do the authors explain/justify their decisions to sequence those particular genomes? Why are these organisms of potential broader interest?</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Paper 1: The authors justify their decision to sequence this genome because </w:t>
      </w:r>
      <w:r w:rsidDel="00000000" w:rsidR="00000000" w:rsidRPr="00000000">
        <w:rPr>
          <w:i w:val="1"/>
          <w:iCs w:val="1"/>
          <w:rtl w:val="0"/>
        </w:rPr>
        <w:t xml:space="preserve">S. Typhimurium </w:t>
      </w:r>
      <w:r w:rsidDel="00000000" w:rsidR="00000000" w:rsidRPr="00000000">
        <w:rPr>
          <w:rtl w:val="0"/>
        </w:rPr>
        <w:t xml:space="preserve">causes bacterial infections in both birds and humans. Specifically, the concept of finding antibiotic resistant bacteria in birds was a crucial aspect of sequencing this genome because it demonstrates the importance behind cleaning bird feeders, not putting feeders out when disease is breaking out, and to wash hands after potentially coming into contact with objects that wild birds may have been in contact with. This organism is of potential broader interest because the presence of antibiotic cassettes that confer resistance to antibiotics can be identified.</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Paper 2: The authors justify their decision to sequence this genome because </w:t>
      </w:r>
      <w:r w:rsidDel="00000000" w:rsidR="00000000" w:rsidRPr="00000000">
        <w:rPr>
          <w:i w:val="1"/>
          <w:iCs w:val="1"/>
          <w:rtl w:val="0"/>
        </w:rPr>
        <w:t xml:space="preserve">E. faecalis</w:t>
      </w:r>
      <w:r w:rsidDel="00000000" w:rsidR="00000000" w:rsidRPr="00000000">
        <w:rPr>
          <w:rtl w:val="0"/>
        </w:rPr>
        <w:t xml:space="preserve"> possesses the ability to form biofilms, which increases bacterial pathogenicity within humans. Particularly, humans commonly consume seafood, which contains bacteria such as </w:t>
      </w:r>
      <w:r w:rsidDel="00000000" w:rsidR="00000000" w:rsidRPr="00000000">
        <w:rPr>
          <w:i w:val="1"/>
          <w:iCs w:val="1"/>
          <w:rtl w:val="0"/>
        </w:rPr>
        <w:t xml:space="preserve">E. faecalis</w:t>
      </w:r>
      <w:r w:rsidDel="00000000" w:rsidR="00000000" w:rsidRPr="00000000">
        <w:rPr>
          <w:rtl w:val="0"/>
        </w:rPr>
        <w:t xml:space="preserve">. When humans consume food containing this bacterium, they have the risk of developing blood, urinary tract, gastrointestinal infections. Furthermore, the consumption of food containing </w:t>
      </w:r>
      <w:r w:rsidDel="00000000" w:rsidR="00000000" w:rsidRPr="00000000">
        <w:rPr>
          <w:i w:val="1"/>
          <w:iCs w:val="1"/>
          <w:rtl w:val="0"/>
        </w:rPr>
        <w:t xml:space="preserve">E. faecalis</w:t>
      </w:r>
      <w:r w:rsidDel="00000000" w:rsidR="00000000" w:rsidRPr="00000000">
        <w:rPr>
          <w:rtl w:val="0"/>
        </w:rPr>
        <w:t xml:space="preserve"> can also cause diseases such as meningitis and periodontitis. This organism is of potential broader interest because it impacts the health and wellbeing of humans.  Sequencing this organism’s genome is important because it can reveal antimicrobial classes that can be utilized to control or prevent the spread of </w:t>
      </w:r>
      <w:r w:rsidDel="00000000" w:rsidR="00000000" w:rsidRPr="00000000">
        <w:rPr>
          <w:i w:val="1"/>
          <w:iCs w:val="1"/>
          <w:rtl w:val="0"/>
        </w:rPr>
        <w:t xml:space="preserve">E. faecalis</w:t>
      </w:r>
      <w:r w:rsidDel="00000000" w:rsidR="00000000" w:rsidRPr="00000000">
        <w:rPr>
          <w:rtl w:val="0"/>
        </w:rPr>
        <w:t xml:space="preserve">.</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Paper 3: The authors justify their decision to sequence this genome because it will characterize the role of </w:t>
      </w:r>
      <w:r w:rsidDel="00000000" w:rsidR="00000000" w:rsidRPr="00000000">
        <w:rPr>
          <w:i w:val="1"/>
          <w:iCs w:val="1"/>
          <w:rtl w:val="0"/>
        </w:rPr>
        <w:t xml:space="preserve">Shigella flexneri</w:t>
      </w:r>
      <w:r w:rsidDel="00000000" w:rsidR="00000000" w:rsidRPr="00000000">
        <w:rPr>
          <w:rtl w:val="0"/>
        </w:rPr>
        <w:t xml:space="preserve"> in host organisms. Specifically, the genome was sequenced to determine if </w:t>
      </w:r>
      <w:r w:rsidDel="00000000" w:rsidR="00000000" w:rsidRPr="00000000">
        <w:rPr>
          <w:i w:val="1"/>
          <w:iCs w:val="1"/>
          <w:rtl w:val="0"/>
        </w:rPr>
        <w:t xml:space="preserve">S. flexneri</w:t>
      </w:r>
      <w:r w:rsidDel="00000000" w:rsidR="00000000" w:rsidRPr="00000000">
        <w:rPr>
          <w:rtl w:val="0"/>
        </w:rPr>
        <w:t xml:space="preserve"> was an opportunistic or a keystone pathogen in rhesus monkeys that have gingivitis. This organism has broader potential interest because of its etiological role in host organisms.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Describe the content and significance of any tables or figures in the article.</w:t>
      </w:r>
    </w:p>
    <w:p w:rsidR="00000000" w:rsidDel="00000000" w:rsidP="00000000" w:rsidRDefault="00000000" w:rsidRPr="00000000" w14:paraId="0000004F">
      <w:pPr>
        <w:ind w:left="1440" w:firstLine="0"/>
        <w:rPr/>
      </w:pPr>
      <w:r w:rsidDel="00000000" w:rsidR="00000000" w:rsidRPr="00000000">
        <w:rPr>
          <w:rtl w:val="0"/>
        </w:rPr>
        <w:t xml:space="preserve">All of the papers do not contain any figures. The only paper that contains a table is the third paper. MRA papers have a limitation on the number of tables and figures they can include in the entirety of the work (maximum of 1 table and 1 figure per paper). The table in paper 3 plays a significant role because it summarizes the genetic characteristics of the chromosome and four plasmids found in </w:t>
      </w:r>
      <w:r w:rsidDel="00000000" w:rsidR="00000000" w:rsidRPr="00000000">
        <w:rPr>
          <w:i w:val="1"/>
          <w:iCs w:val="1"/>
          <w:rtl w:val="0"/>
        </w:rPr>
        <w:t xml:space="preserve">S. flexneri</w:t>
      </w:r>
      <w:r w:rsidDel="00000000" w:rsidR="00000000" w:rsidRPr="00000000">
        <w:rPr>
          <w:rtl w:val="0"/>
        </w:rPr>
        <w:t xml:space="preserve">. The table provides an overview of the number of bp, GC content, number of CDs, number of tRNAs, number of rRNAs, and the GenBank accession number.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