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54"/>
        <w:gridCol w:w="8366"/>
      </w:tblGrid>
      <w:tr>
        <w:tc>
          <w:tcPr>
            <w:tcW w:type="dxa" w:w="1354"/>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40" w:lineRule="auto"/>
              <w:jc w:val="left"/>
            </w:pPr>
            <w:r>
              <w:drawing>
                <wp:inline distT="0" distB="0" distL="0" distR="0">
                  <wp:extent cx="828675" cy="790575"/>
                  <wp:effectExtent t="0" r="0" b="0" l="0"/>
                  <wp:docPr id="1" name="logo" descr="Logo Kementerian Keuangan"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28675" cy="790575"/>
                          </a:xfrm>
                          <a:prstGeom prst="rect">
                            <a:avLst/>
                          </a:prstGeom>
                        </pic:spPr>
                      </pic:pic>
                    </a:graphicData>
                  </a:graphic>
                </wp:inline>
              </w:drawing>
            </w:r>
          </w:p>
        </w:tc>
        <w:tc>
          <w:tcPr>
            <w:tcW w:type="dxa" w:w="8366"/>
            <w:tcBorders>
              <w:top w:val="none" w:color="FFFFFF" w:sz="0"/>
              <w:left w:val="none" w:color="FFFFFF" w:sz="0"/>
              <w:bottom w:val="none" w:color="FFFFFF" w:sz="0"/>
              <w:right w:val="none" w:color="FFFFFF" w:sz="0"/>
            </w:tcBorders>
            <w:tcMar>
              <w:top w:type="dxa" w:w="0"/>
              <w:left w:type="dxa" w:w="0"/>
              <w:bottom w:type="dxa" w:w="0"/>
              <w:right w:type="dxa" w:w="0"/>
            </w:tcMar>
          </w:tcPr>
          <w:p>
            <w:pPr>
              <w:spacing w:after="32" w:before="0" w:line="240" w:lineRule="auto"/>
              <w:jc w:val="center"/>
            </w:pPr>
            <w:r>
              <w:rPr>
                <w:rFonts w:ascii="Arial" w:cs="Arial" w:eastAsia="Arial" w:hAnsi="Arial"/>
                <w:b/>
                <w:bCs/>
                <w:sz w:val="26"/>
                <w:szCs w:val="26"/>
              </w:rPr>
              <w:t xml:space="preserve">KEMENTERIAN KEUANGAN REPUBLIK INDONESIA</w:t>
            </w:r>
          </w:p>
          <w:p>
            <w:pPr>
              <w:spacing w:after="0" w:before="0" w:line="240" w:lineRule="auto"/>
              <w:jc w:val="center"/>
            </w:pPr>
            <w:r>
              <w:rPr>
                <w:rFonts w:ascii="Arial" w:cs="Arial" w:eastAsia="Arial" w:hAnsi="Arial"/>
                <w:b/>
                <w:bCs/>
                <w:sz w:val="22"/>
                <w:szCs w:val="22"/>
              </w:rPr>
              <w:t xml:space="preserve">DIREKTORAT JENDERAL KEKAYAAN NEGARA</w:t>
            </w:r>
          </w:p>
          <w:p>
            <w:pPr>
              <w:spacing w:after="0" w:before="0" w:line="240" w:lineRule="auto"/>
              <w:jc w:val="center"/>
            </w:pPr>
            <w:r>
              <w:rPr>
                <w:rFonts w:ascii="Arial" w:cs="Arial" w:eastAsia="Arial" w:hAnsi="Arial"/>
                <w:b/>
                <w:bCs/>
                <w:sz w:val="22"/>
                <w:szCs w:val="22"/>
              </w:rPr>
              <w:t xml:space="preserve">KANTOR WILAYAH DIREKTORAT JENDERAL KEKAYAAN NEGARA BALI DAN</w:t>
            </w:r>
          </w:p>
          <w:p>
            <w:pPr>
              <w:spacing w:after="0" w:before="0" w:line="240" w:lineRule="auto"/>
              <w:jc w:val="center"/>
            </w:pPr>
            <w:r>
              <w:rPr>
                <w:rFonts w:ascii="Arial" w:cs="Arial" w:eastAsia="Arial" w:hAnsi="Arial"/>
                <w:b/>
                <w:bCs/>
                <w:sz w:val="22"/>
                <w:szCs w:val="22"/>
              </w:rPr>
              <w:t xml:space="preserve">NUSA TENGGARA</w:t>
            </w:r>
          </w:p>
          <w:p>
            <w:pPr>
              <w:spacing w:after="0" w:before="0" w:line="240" w:lineRule="auto"/>
              <w:jc w:val="center"/>
            </w:pPr>
            <w:r>
              <w:rPr>
                <w:rFonts w:ascii="Arial" w:cs="Arial" w:eastAsia="Arial" w:hAnsi="Arial"/>
                <w:b/>
                <w:bCs/>
                <w:sz w:val="22"/>
                <w:szCs w:val="22"/>
              </w:rPr>
              <w:t xml:space="preserve">KANTOR PELAYANAN KEKAYAAN NEGARA DAN LELANG DENPASAR</w:t>
            </w:r>
          </w:p>
          <w:p>
            <w:pPr>
              <w:spacing w:after="0" w:before="0" w:line="240" w:lineRule="auto"/>
              <w:jc w:val="center"/>
            </w:pPr>
            <w:r>
              <w:rPr>
                <w:rFonts w:ascii="Arial" w:cs="Arial" w:eastAsia="Arial" w:hAnsi="Arial"/>
                <w:b w:val="false"/>
                <w:bCs w:val="false"/>
                <w:sz w:val="14"/>
                <w:szCs w:val="14"/>
              </w:rPr>
              <w:t xml:space="preserve">GEDUNG KEUANGAN NEGARA I, JALAN DR. KUSUMAATMAJA, DENPASAR, BALI 80235;</w:t>
            </w:r>
          </w:p>
          <w:p>
            <w:pPr>
              <w:spacing w:after="0" w:before="0" w:line="240" w:lineRule="auto"/>
              <w:jc w:val="center"/>
            </w:pPr>
            <w:r>
              <w:rPr>
                <w:rFonts w:ascii="Arial" w:cs="Arial" w:eastAsia="Arial" w:hAnsi="Arial"/>
                <w:b w:val="false"/>
                <w:bCs w:val="false"/>
                <w:sz w:val="14"/>
                <w:szCs w:val="14"/>
              </w:rPr>
              <w:t xml:space="preserve">TELEPON (0361) 229151, 234623; FAKSIMILE (0361) 229150; LAMAN www.djkn.kemenkeu.go.id</w:t>
            </w:r>
          </w:p>
        </w:tc>
      </w:tr>
    </w:tbl>
    <w:p>
      <w:pPr>
        <w:pBdr>
          <w:bottom w:val="single" w:color="000000" w:sz="12" w:space="0"/>
        </w:pBdr>
        <w:spacing w:after="0" w:before="0" w:line="90" w:lineRule="exact"/>
        <w:jc w:val="left"/>
      </w:pPr>
      <w:r>
        <w:rPr>
          <w:rFonts w:ascii="Arial" w:cs="Arial" w:eastAsia="Arial" w:hAnsi="Arial"/>
          <w:b w:val="false"/>
          <w:bCs w:val="false"/>
          <w:sz w:val="8"/>
          <w:szCs w:val="8"/>
        </w:rPr>
        <w:t xml:space="preserve"/>
      </w:r>
    </w:p>
    <w:p>
      <w:pPr>
        <w:spacing w:after="0" w:before="0" w:line="280" w:lineRule="exact"/>
        <w:jc w:val="left"/>
      </w:pPr>
      <w:r>
        <w:rPr>
          <w:rFonts w:ascii="Arial" w:cs="Arial" w:eastAsia="Arial" w:hAnsi="Arial"/>
          <w:b w:val="false"/>
          <w:bCs w:val="false"/>
          <w:sz w:val="22"/>
          <w:szCs w:val="22"/>
        </w:rPr>
        <w:t xml:space="preserve"/>
      </w:r>
    </w:p>
    <w:p>
      <w:pPr>
        <w:spacing w:after="0" w:before="0" w:line="240" w:lineRule="auto"/>
        <w:ind w:left="140"/>
        <w:jc w:val="center"/>
      </w:pPr>
      <w:r>
        <w:rPr>
          <w:rFonts w:ascii="Arial" w:cs="Arial" w:eastAsia="Arial" w:hAnsi="Arial"/>
          <w:b w:val="false"/>
          <w:bCs w:val="false"/>
          <w:sz w:val="22"/>
          <w:szCs w:val="22"/>
        </w:rPr>
        <w:t xml:space="preserve">NOTA DINAS</w:t>
      </w:r>
    </w:p>
    <w:p>
      <w:pPr>
        <w:spacing w:after="0" w:before="0" w:line="240" w:lineRule="auto"/>
        <w:ind w:left="140"/>
        <w:jc w:val="center"/>
      </w:pPr>
      <w:r>
        <w:rPr>
          <w:rFonts w:ascii="Arial" w:cs="Arial" w:eastAsia="Arial" w:hAnsi="Arial"/>
          <w:b w:val="false"/>
          <w:bCs w:val="false"/>
          <w:sz w:val="22"/>
          <w:szCs w:val="22"/>
        </w:rPr>
        <w:t xml:space="preserve">NOMOR [Nomor_ND]</w:t>
      </w:r>
    </w:p>
    <w:p>
      <w:pPr>
        <w:spacing w:after="0" w:before="0" w:line="240" w:lineRule="auto"/>
        <w:jc w:val="left"/>
      </w:pPr>
      <w:r>
        <w:rPr>
          <w:rFonts w:ascii="Arial" w:cs="Arial" w:eastAsia="Arial" w:hAnsi="Arial"/>
          <w:b w:val="false"/>
          <w:bCs w:val="false"/>
          <w:sz w:val="22"/>
          <w:szCs w:val="22"/>
        </w:rPr>
        <w:t xml:space="preserve"/>
      </w:r>
    </w:p>
    <w:p>
      <w:pPr>
        <w:spacing w:after="0" w:before="0" w:line="240" w:lineRule="auto"/>
        <w:jc w:val="left"/>
      </w:pPr>
      <w:r>
        <w:rPr>
          <w:rFonts w:ascii="Arial" w:cs="Arial" w:eastAsia="Arial" w:hAnsi="Arial"/>
          <w:b w:val="false"/>
          <w:bCs w:val="false"/>
          <w:sz w:val="22"/>
          <w:szCs w:val="22"/>
        </w:rPr>
        <w:t xml:space="preserve"/>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88"/>
        <w:gridCol w:w="364"/>
        <w:gridCol w:w="7788"/>
      </w:tblGrid>
      <w:tr>
        <w:tc>
          <w:tcPr>
            <w:tcW w:type="dxa" w:w="1488"/>
            <w:tcBorders>
              <w:top w:val="none" w:color="FFFFFF" w:sz="0"/>
              <w:left w:val="none" w:color="FFFFFF" w:sz="0"/>
              <w:bottom w:val="none" w:color="FFFFFF" w:sz="0"/>
              <w:right w:val="none" w:color="FFFFFF" w:sz="0"/>
            </w:tcBorders>
            <w:tcMar>
              <w:top w:type="dxa" w:w="0"/>
              <w:left w:type="dxa" w:w="108"/>
              <w:bottom w:type="dxa" w:w="0"/>
              <w:right w:type="dxa" w:w="0"/>
            </w:tcMar>
          </w:tcPr>
          <w:p>
            <w:pPr>
              <w:spacing w:after="0" w:before="0" w:line="240" w:lineRule="auto"/>
              <w:jc w:val="left"/>
            </w:pPr>
            <w:r>
              <w:rPr>
                <w:rFonts w:ascii="Arial" w:cs="Arial" w:eastAsia="Arial" w:hAnsi="Arial"/>
                <w:b w:val="false"/>
                <w:bCs w:val="false"/>
                <w:sz w:val="22"/>
                <w:szCs w:val="22"/>
              </w:rPr>
              <w:t xml:space="preserve">Yth.</w:t>
            </w:r>
          </w:p>
        </w:tc>
        <w:tc>
          <w:tcPr>
            <w:tcW w:type="dxa" w:w="364"/>
            <w:tcBorders>
              <w:top w:val="none" w:color="FFFFFF" w:sz="0"/>
              <w:left w:val="none" w:color="FFFFFF" w:sz="0"/>
              <w:bottom w:val="none" w:color="FFFFFF" w:sz="0"/>
              <w:right w:val="none" w:color="FFFFFF" w:sz="0"/>
            </w:tcBorders>
            <w:tcMar>
              <w:top w:type="dxa" w:w="0"/>
              <w:left w:type="dxa" w:w="152"/>
              <w:bottom w:type="dxa" w:w="0"/>
              <w:right w:type="dxa" w:w="0"/>
            </w:tcMar>
          </w:tcPr>
          <w:p>
            <w:pPr>
              <w:spacing w:after="0" w:before="0" w:line="240" w:lineRule="auto"/>
              <w:jc w:val="left"/>
            </w:pPr>
            <w:r>
              <w:rPr>
                <w:rFonts w:ascii="Arial" w:cs="Arial" w:eastAsia="Arial" w:hAnsi="Arial"/>
                <w:b w:val="false"/>
                <w:bCs w:val="false"/>
                <w:sz w:val="22"/>
                <w:szCs w:val="22"/>
              </w:rPr>
              <w:t xml:space="preserve">:</w:t>
            </w:r>
          </w:p>
        </w:tc>
        <w:tc>
          <w:tcPr>
            <w:tcW w:type="dxa" w:w="7788"/>
            <w:tcBorders>
              <w:top w:val="none" w:color="FFFFFF" w:sz="0"/>
              <w:left w:val="none" w:color="FFFFFF" w:sz="0"/>
              <w:bottom w:val="none" w:color="FFFFFF" w:sz="0"/>
              <w:right w:val="none" w:color="FFFFFF" w:sz="0"/>
            </w:tcBorders>
            <w:tcMar>
              <w:top w:type="dxa" w:w="0"/>
              <w:left w:type="dxa" w:w="108"/>
              <w:bottom w:type="dxa" w:w="0"/>
              <w:right w:type="dxa" w:w="108"/>
            </w:tcMar>
          </w:tcPr>
          <w:p>
            <w:pPr>
              <w:spacing w:after="0" w:before="0" w:line="240" w:lineRule="auto"/>
              <w:jc w:val="left"/>
            </w:pPr>
            <w:r>
              <w:rPr>
                <w:rFonts w:ascii="Arial" w:cs="Arial" w:eastAsia="Arial" w:hAnsi="Arial"/>
                <w:b w:val="false"/>
                <w:bCs w:val="false"/>
                <w:sz w:val="22"/>
                <w:szCs w:val="22"/>
              </w:rPr>
              <w:t xml:space="preserve">1. Kepala Kantor Wilayah Direktorat Jenderal Kekayaan Negara Bali dan Nusa Tenggara</w:t>
            </w:r>
          </w:p>
          <w:p>
            <w:pPr>
              <w:spacing w:after="0" w:before="0" w:line="240" w:lineRule="auto"/>
              <w:jc w:val="left"/>
            </w:pPr>
            <w:r>
              <w:rPr>
                <w:rFonts w:ascii="Arial" w:cs="Arial" w:eastAsia="Arial" w:hAnsi="Arial"/>
                <w:b w:val="false"/>
                <w:bCs w:val="false"/>
                <w:sz w:val="22"/>
                <w:szCs w:val="22"/>
              </w:rPr>
              <w:t xml:space="preserve">2. Kepala Kantor Pelayanan Perbendaharaan Negara Tipe A1 Denpasar</w:t>
            </w:r>
          </w:p>
        </w:tc>
      </w:tr>
      <w:tr>
        <w:tc>
          <w:tcPr>
            <w:tcW w:type="dxa" w:w="1488"/>
            <w:tcBorders>
              <w:top w:val="none" w:color="FFFFFF" w:sz="0"/>
              <w:left w:val="none" w:color="FFFFFF" w:sz="0"/>
              <w:bottom w:val="none" w:color="FFFFFF" w:sz="0"/>
              <w:right w:val="none" w:color="FFFFFF" w:sz="0"/>
            </w:tcBorders>
            <w:tcMar>
              <w:top w:type="dxa" w:w="0"/>
              <w:left w:type="dxa" w:w="108"/>
              <w:bottom w:type="dxa" w:w="0"/>
              <w:right w:type="dxa" w:w="0"/>
            </w:tcMar>
          </w:tcPr>
          <w:p>
            <w:pPr>
              <w:spacing w:after="0" w:before="0" w:line="240" w:lineRule="auto"/>
              <w:jc w:val="left"/>
            </w:pPr>
            <w:r>
              <w:rPr>
                <w:rFonts w:ascii="Arial" w:cs="Arial" w:eastAsia="Arial" w:hAnsi="Arial"/>
                <w:b w:val="false"/>
                <w:bCs w:val="false"/>
                <w:sz w:val="22"/>
                <w:szCs w:val="22"/>
              </w:rPr>
              <w:t xml:space="preserve">Dari</w:t>
            </w:r>
          </w:p>
        </w:tc>
        <w:tc>
          <w:tcPr>
            <w:tcW w:type="dxa" w:w="364"/>
            <w:tcBorders>
              <w:top w:val="none" w:color="FFFFFF" w:sz="0"/>
              <w:left w:val="none" w:color="FFFFFF" w:sz="0"/>
              <w:bottom w:val="none" w:color="FFFFFF" w:sz="0"/>
              <w:right w:val="none" w:color="FFFFFF" w:sz="0"/>
            </w:tcBorders>
            <w:tcMar>
              <w:top w:type="dxa" w:w="0"/>
              <w:left w:type="dxa" w:w="152"/>
              <w:bottom w:type="dxa" w:w="0"/>
              <w:right w:type="dxa" w:w="0"/>
            </w:tcMar>
          </w:tcPr>
          <w:p>
            <w:pPr>
              <w:spacing w:after="0" w:before="0" w:line="240" w:lineRule="auto"/>
              <w:jc w:val="left"/>
            </w:pPr>
            <w:r>
              <w:rPr>
                <w:rFonts w:ascii="Arial" w:cs="Arial" w:eastAsia="Arial" w:hAnsi="Arial"/>
                <w:b w:val="false"/>
                <w:bCs w:val="false"/>
                <w:sz w:val="22"/>
                <w:szCs w:val="22"/>
              </w:rPr>
              <w:t xml:space="preserve">:</w:t>
            </w:r>
          </w:p>
        </w:tc>
        <w:tc>
          <w:tcPr>
            <w:tcW w:type="dxa" w:w="7788"/>
            <w:tcBorders>
              <w:top w:val="none" w:color="FFFFFF" w:sz="0"/>
              <w:left w:val="none" w:color="FFFFFF" w:sz="0"/>
              <w:bottom w:val="none" w:color="FFFFFF" w:sz="0"/>
              <w:right w:val="none" w:color="FFFFFF" w:sz="0"/>
            </w:tcBorders>
            <w:tcMar>
              <w:top w:type="dxa" w:w="0"/>
              <w:left w:type="dxa" w:w="108"/>
              <w:bottom w:type="dxa" w:w="0"/>
              <w:right w:type="dxa" w:w="108"/>
            </w:tcMar>
          </w:tcPr>
          <w:p>
            <w:pPr>
              <w:spacing w:after="0" w:before="0" w:line="240" w:lineRule="auto"/>
              <w:jc w:val="left"/>
            </w:pPr>
            <w:r>
              <w:rPr>
                <w:rFonts w:ascii="Arial" w:cs="Arial" w:eastAsia="Arial" w:hAnsi="Arial"/>
                <w:b w:val="false"/>
                <w:bCs w:val="false"/>
                <w:sz w:val="22"/>
                <w:szCs w:val="22"/>
              </w:rPr>
              <w:t xml:space="preserve">Kepala Kantor Pelayanan Kekayaan Negara Dan Lelang Denpasar</w:t>
            </w:r>
          </w:p>
        </w:tc>
      </w:tr>
      <w:tr>
        <w:tc>
          <w:tcPr>
            <w:tcW w:type="dxa" w:w="1488"/>
            <w:tcBorders>
              <w:top w:val="none" w:color="FFFFFF" w:sz="0"/>
              <w:left w:val="none" w:color="FFFFFF" w:sz="0"/>
              <w:bottom w:val="none" w:color="FFFFFF" w:sz="0"/>
              <w:right w:val="none" w:color="FFFFFF" w:sz="0"/>
            </w:tcBorders>
            <w:tcMar>
              <w:top w:type="dxa" w:w="0"/>
              <w:left w:type="dxa" w:w="108"/>
              <w:bottom w:type="dxa" w:w="0"/>
              <w:right w:type="dxa" w:w="0"/>
            </w:tcMar>
          </w:tcPr>
          <w:p>
            <w:pPr>
              <w:spacing w:after="0" w:before="0" w:line="240" w:lineRule="auto"/>
              <w:jc w:val="left"/>
            </w:pPr>
            <w:r>
              <w:rPr>
                <w:rFonts w:ascii="Arial" w:cs="Arial" w:eastAsia="Arial" w:hAnsi="Arial"/>
                <w:b w:val="false"/>
                <w:bCs w:val="false"/>
                <w:sz w:val="22"/>
                <w:szCs w:val="22"/>
              </w:rPr>
              <w:t xml:space="preserve">Sifat</w:t>
            </w:r>
          </w:p>
        </w:tc>
        <w:tc>
          <w:tcPr>
            <w:tcW w:type="dxa" w:w="364"/>
            <w:tcBorders>
              <w:top w:val="none" w:color="FFFFFF" w:sz="0"/>
              <w:left w:val="none" w:color="FFFFFF" w:sz="0"/>
              <w:bottom w:val="none" w:color="FFFFFF" w:sz="0"/>
              <w:right w:val="none" w:color="FFFFFF" w:sz="0"/>
            </w:tcBorders>
            <w:tcMar>
              <w:top w:type="dxa" w:w="0"/>
              <w:left w:type="dxa" w:w="152"/>
              <w:bottom w:type="dxa" w:w="0"/>
              <w:right w:type="dxa" w:w="0"/>
            </w:tcMar>
          </w:tcPr>
          <w:p>
            <w:pPr>
              <w:spacing w:after="0" w:before="0" w:line="240" w:lineRule="auto"/>
              <w:jc w:val="left"/>
            </w:pPr>
            <w:r>
              <w:rPr>
                <w:rFonts w:ascii="Arial" w:cs="Arial" w:eastAsia="Arial" w:hAnsi="Arial"/>
                <w:b w:val="false"/>
                <w:bCs w:val="false"/>
                <w:sz w:val="22"/>
                <w:szCs w:val="22"/>
              </w:rPr>
              <w:t xml:space="preserve">:</w:t>
            </w:r>
          </w:p>
        </w:tc>
        <w:tc>
          <w:tcPr>
            <w:tcW w:type="dxa" w:w="7788"/>
            <w:tcBorders>
              <w:top w:val="none" w:color="FFFFFF" w:sz="0"/>
              <w:left w:val="none" w:color="FFFFFF" w:sz="0"/>
              <w:bottom w:val="none" w:color="FFFFFF" w:sz="0"/>
              <w:right w:val="none" w:color="FFFFFF" w:sz="0"/>
            </w:tcBorders>
            <w:tcMar>
              <w:top w:type="dxa" w:w="0"/>
              <w:left w:type="dxa" w:w="108"/>
              <w:bottom w:type="dxa" w:w="0"/>
              <w:right w:type="dxa" w:w="108"/>
            </w:tcMar>
          </w:tcPr>
          <w:p>
            <w:pPr>
              <w:spacing w:after="0" w:before="0" w:line="240" w:lineRule="auto"/>
              <w:jc w:val="left"/>
            </w:pPr>
            <w:r>
              <w:rPr>
                <w:rFonts w:ascii="Arial" w:cs="Arial" w:eastAsia="Arial" w:hAnsi="Arial"/>
                <w:b w:val="false"/>
                <w:bCs w:val="false"/>
                <w:sz w:val="22"/>
                <w:szCs w:val="22"/>
              </w:rPr>
              <w:t xml:space="preserve">Segera</w:t>
            </w:r>
          </w:p>
        </w:tc>
      </w:tr>
      <w:tr>
        <w:tc>
          <w:tcPr>
            <w:tcW w:type="dxa" w:w="1488"/>
            <w:tcBorders>
              <w:top w:val="none" w:color="FFFFFF" w:sz="0"/>
              <w:left w:val="none" w:color="FFFFFF" w:sz="0"/>
              <w:bottom w:val="none" w:color="FFFFFF" w:sz="0"/>
              <w:right w:val="none" w:color="FFFFFF" w:sz="0"/>
            </w:tcBorders>
            <w:tcMar>
              <w:top w:type="dxa" w:w="0"/>
              <w:left w:type="dxa" w:w="108"/>
              <w:bottom w:type="dxa" w:w="0"/>
              <w:right w:type="dxa" w:w="0"/>
            </w:tcMar>
          </w:tcPr>
          <w:p>
            <w:pPr>
              <w:spacing w:after="0" w:before="0" w:line="240" w:lineRule="auto"/>
              <w:jc w:val="left"/>
            </w:pPr>
            <w:r>
              <w:rPr>
                <w:rFonts w:ascii="Arial" w:cs="Arial" w:eastAsia="Arial" w:hAnsi="Arial"/>
                <w:b w:val="false"/>
                <w:bCs w:val="false"/>
                <w:sz w:val="22"/>
                <w:szCs w:val="22"/>
              </w:rPr>
              <w:t xml:space="preserve">Lampiran</w:t>
            </w:r>
          </w:p>
        </w:tc>
        <w:tc>
          <w:tcPr>
            <w:tcW w:type="dxa" w:w="364"/>
            <w:tcBorders>
              <w:top w:val="none" w:color="FFFFFF" w:sz="0"/>
              <w:left w:val="none" w:color="FFFFFF" w:sz="0"/>
              <w:bottom w:val="none" w:color="FFFFFF" w:sz="0"/>
              <w:right w:val="none" w:color="FFFFFF" w:sz="0"/>
            </w:tcBorders>
            <w:tcMar>
              <w:top w:type="dxa" w:w="0"/>
              <w:left w:type="dxa" w:w="152"/>
              <w:bottom w:type="dxa" w:w="0"/>
              <w:right w:type="dxa" w:w="0"/>
            </w:tcMar>
          </w:tcPr>
          <w:p>
            <w:pPr>
              <w:spacing w:after="0" w:before="0" w:line="240" w:lineRule="auto"/>
              <w:jc w:val="left"/>
            </w:pPr>
            <w:r>
              <w:rPr>
                <w:rFonts w:ascii="Arial" w:cs="Arial" w:eastAsia="Arial" w:hAnsi="Arial"/>
                <w:b w:val="false"/>
                <w:bCs w:val="false"/>
                <w:sz w:val="22"/>
                <w:szCs w:val="22"/>
              </w:rPr>
              <w:t xml:space="preserve">:</w:t>
            </w:r>
          </w:p>
        </w:tc>
        <w:tc>
          <w:tcPr>
            <w:tcW w:type="dxa" w:w="7788"/>
            <w:tcBorders>
              <w:top w:val="none" w:color="FFFFFF" w:sz="0"/>
              <w:left w:val="none" w:color="FFFFFF" w:sz="0"/>
              <w:bottom w:val="none" w:color="FFFFFF" w:sz="0"/>
              <w:right w:val="none" w:color="FFFFFF" w:sz="0"/>
            </w:tcBorders>
            <w:tcMar>
              <w:top w:type="dxa" w:w="0"/>
              <w:left w:type="dxa" w:w="108"/>
              <w:bottom w:type="dxa" w:w="0"/>
              <w:right w:type="dxa" w:w="108"/>
            </w:tcMar>
          </w:tcPr>
          <w:p>
            <w:pPr>
              <w:spacing w:after="0" w:before="0" w:line="240" w:lineRule="auto"/>
              <w:jc w:val="left"/>
            </w:pPr>
            <w:r>
              <w:rPr>
                <w:rFonts w:ascii="Arial" w:cs="Arial" w:eastAsia="Arial" w:hAnsi="Arial"/>
                <w:b w:val="false"/>
                <w:bCs w:val="false"/>
                <w:sz w:val="22"/>
                <w:szCs w:val="22"/>
              </w:rPr>
              <w:t xml:space="preserve">1 (satu) Set</w:t>
            </w:r>
          </w:p>
        </w:tc>
      </w:tr>
      <w:tr>
        <w:tc>
          <w:tcPr>
            <w:tcW w:type="dxa" w:w="1488"/>
            <w:tcBorders>
              <w:top w:val="none" w:color="FFFFFF" w:sz="0"/>
              <w:left w:val="none" w:color="FFFFFF" w:sz="0"/>
              <w:bottom w:val="none" w:color="FFFFFF" w:sz="0"/>
              <w:right w:val="none" w:color="FFFFFF" w:sz="0"/>
            </w:tcBorders>
            <w:tcMar>
              <w:top w:type="dxa" w:w="0"/>
              <w:left w:type="dxa" w:w="108"/>
              <w:bottom w:type="dxa" w:w="0"/>
              <w:right w:type="dxa" w:w="0"/>
            </w:tcMar>
          </w:tcPr>
          <w:p>
            <w:pPr>
              <w:spacing w:after="0" w:before="0" w:line="240" w:lineRule="auto"/>
              <w:jc w:val="left"/>
            </w:pPr>
            <w:r>
              <w:rPr>
                <w:rFonts w:ascii="Arial" w:cs="Arial" w:eastAsia="Arial" w:hAnsi="Arial"/>
                <w:b w:val="false"/>
                <w:bCs w:val="false"/>
                <w:sz w:val="22"/>
                <w:szCs w:val="22"/>
              </w:rPr>
              <w:t xml:space="preserve">Hal</w:t>
            </w:r>
          </w:p>
        </w:tc>
        <w:tc>
          <w:tcPr>
            <w:tcW w:type="dxa" w:w="364"/>
            <w:tcBorders>
              <w:top w:val="none" w:color="FFFFFF" w:sz="0"/>
              <w:left w:val="none" w:color="FFFFFF" w:sz="0"/>
              <w:bottom w:val="none" w:color="FFFFFF" w:sz="0"/>
              <w:right w:val="none" w:color="FFFFFF" w:sz="0"/>
            </w:tcBorders>
            <w:tcMar>
              <w:top w:type="dxa" w:w="0"/>
              <w:left w:type="dxa" w:w="152"/>
              <w:bottom w:type="dxa" w:w="0"/>
              <w:right w:type="dxa" w:w="0"/>
            </w:tcMar>
          </w:tcPr>
          <w:p>
            <w:pPr>
              <w:spacing w:after="0" w:before="0" w:line="240" w:lineRule="auto"/>
              <w:jc w:val="left"/>
            </w:pPr>
            <w:r>
              <w:rPr>
                <w:rFonts w:ascii="Arial" w:cs="Arial" w:eastAsia="Arial" w:hAnsi="Arial"/>
                <w:b w:val="false"/>
                <w:bCs w:val="false"/>
                <w:sz w:val="22"/>
                <w:szCs w:val="22"/>
              </w:rPr>
              <w:t xml:space="preserve">:</w:t>
            </w:r>
          </w:p>
        </w:tc>
        <w:tc>
          <w:tcPr>
            <w:tcW w:type="dxa" w:w="7788"/>
            <w:tcBorders>
              <w:top w:val="none" w:color="FFFFFF" w:sz="0"/>
              <w:left w:val="none" w:color="FFFFFF" w:sz="0"/>
              <w:bottom w:val="none" w:color="FFFFFF" w:sz="0"/>
              <w:right w:val="none" w:color="FFFFFF" w:sz="0"/>
            </w:tcBorders>
            <w:tcMar>
              <w:top w:type="dxa" w:w="0"/>
              <w:left w:type="dxa" w:w="108"/>
              <w:bottom w:type="dxa" w:w="0"/>
              <w:right w:type="dxa" w:w="108"/>
            </w:tcMar>
          </w:tcPr>
          <w:p>
            <w:pPr>
              <w:spacing w:after="0" w:before="0" w:line="240" w:lineRule="auto"/>
              <w:jc w:val="left"/>
            </w:pPr>
            <w:r>
              <w:rPr>
                <w:rFonts w:ascii="Arial" w:cs="Arial" w:eastAsia="Arial" w:hAnsi="Arial"/>
                <w:b w:val="false"/>
                <w:bCs w:val="false"/>
                <w:sz w:val="22"/>
                <w:szCs w:val="22"/>
              </w:rPr>
              <w:t xml:space="preserve">Penyampaian Laporan Pertanggungjawaban Bendahara Pengeluaran Bulan [Bulan_Laporan] [Tahun_Laporan]</w:t>
            </w:r>
          </w:p>
        </w:tc>
      </w:tr>
      <w:tr>
        <w:tc>
          <w:tcPr>
            <w:tcW w:type="dxa" w:w="1488"/>
            <w:tcBorders>
              <w:top w:val="none" w:color="FFFFFF" w:sz="0"/>
              <w:left w:val="none" w:color="FFFFFF" w:sz="0"/>
              <w:bottom w:val="single" w:color="000000" w:sz="8"/>
              <w:right w:val="none" w:color="FFFFFF" w:sz="0"/>
            </w:tcBorders>
            <w:tcMar>
              <w:top w:type="dxa" w:w="0"/>
              <w:left w:type="dxa" w:w="108"/>
              <w:bottom w:type="dxa" w:w="55"/>
              <w:right w:type="dxa" w:w="0"/>
            </w:tcMar>
          </w:tcPr>
          <w:p>
            <w:pPr>
              <w:spacing w:after="0" w:before="0" w:line="240" w:lineRule="auto"/>
              <w:jc w:val="left"/>
            </w:pPr>
            <w:r>
              <w:rPr>
                <w:rFonts w:ascii="Arial" w:cs="Arial" w:eastAsia="Arial" w:hAnsi="Arial"/>
                <w:b w:val="false"/>
                <w:bCs w:val="false"/>
                <w:sz w:val="22"/>
                <w:szCs w:val="22"/>
              </w:rPr>
              <w:t xml:space="preserve">Tanggal</w:t>
            </w:r>
          </w:p>
        </w:tc>
        <w:tc>
          <w:tcPr>
            <w:tcW w:type="dxa" w:w="364"/>
            <w:tcBorders>
              <w:top w:val="none" w:color="FFFFFF" w:sz="0"/>
              <w:left w:val="none" w:color="FFFFFF" w:sz="0"/>
              <w:bottom w:val="single" w:color="000000" w:sz="8"/>
              <w:right w:val="none" w:color="FFFFFF" w:sz="0"/>
            </w:tcBorders>
            <w:tcMar>
              <w:top w:type="dxa" w:w="0"/>
              <w:left w:type="dxa" w:w="152"/>
              <w:bottom w:type="dxa" w:w="55"/>
              <w:right w:type="dxa" w:w="0"/>
            </w:tcMar>
          </w:tcPr>
          <w:p>
            <w:pPr>
              <w:spacing w:after="0" w:before="0" w:line="240" w:lineRule="auto"/>
              <w:jc w:val="left"/>
            </w:pPr>
            <w:r>
              <w:rPr>
                <w:rFonts w:ascii="Arial" w:cs="Arial" w:eastAsia="Arial" w:hAnsi="Arial"/>
                <w:b w:val="false"/>
                <w:bCs w:val="false"/>
                <w:sz w:val="22"/>
                <w:szCs w:val="22"/>
              </w:rPr>
              <w:t xml:space="preserve">:</w:t>
            </w:r>
          </w:p>
        </w:tc>
        <w:tc>
          <w:tcPr>
            <w:tcW w:type="dxa" w:w="7788"/>
            <w:tcBorders>
              <w:top w:val="none" w:color="FFFFFF" w:sz="0"/>
              <w:left w:val="none" w:color="FFFFFF" w:sz="0"/>
              <w:bottom w:val="single" w:color="000000" w:sz="8"/>
              <w:right w:val="none" w:color="FFFFFF" w:sz="0"/>
            </w:tcBorders>
            <w:tcMar>
              <w:top w:type="dxa" w:w="0"/>
              <w:left w:type="dxa" w:w="108"/>
              <w:bottom w:type="dxa" w:w="55"/>
              <w:right w:type="dxa" w:w="108"/>
            </w:tcMar>
          </w:tcPr>
          <w:p>
            <w:pPr>
              <w:spacing w:after="0" w:before="0" w:line="240" w:lineRule="auto"/>
              <w:jc w:val="left"/>
            </w:pPr>
            <w:r>
              <w:rPr>
                <w:rFonts w:ascii="Arial" w:cs="Arial" w:eastAsia="Arial" w:hAnsi="Arial"/>
                <w:b w:val="false"/>
                <w:bCs w:val="false"/>
                <w:sz w:val="22"/>
                <w:szCs w:val="22"/>
              </w:rPr>
              <w:t xml:space="preserve">[Tanggal_ND]</w:t>
            </w:r>
          </w:p>
        </w:tc>
      </w:tr>
    </w:tbl>
    <w:p>
      <w:pPr>
        <w:spacing w:after="0" w:before="0" w:line="316" w:lineRule="exact"/>
        <w:jc w:val="left"/>
      </w:pPr>
      <w:r>
        <w:rPr>
          <w:rFonts w:ascii="Arial" w:cs="Arial" w:eastAsia="Arial" w:hAnsi="Arial"/>
          <w:b w:val="false"/>
          <w:bCs w:val="false"/>
          <w:sz w:val="22"/>
          <w:szCs w:val="22"/>
        </w:rPr>
        <w:t xml:space="preserve"/>
      </w:r>
    </w:p>
    <w:p>
      <w:pPr>
        <w:spacing w:after="0" w:before="0" w:line="259" w:lineRule="auto"/>
        <w:ind w:left="108" w:right="60" w:firstLine="720"/>
        <w:jc w:val="both"/>
      </w:pPr>
      <w:r>
        <w:rPr>
          <w:rFonts w:ascii="Arial" w:cs="Arial" w:eastAsia="Arial" w:hAnsi="Arial"/>
          <w:b w:val="false"/>
          <w:bCs w:val="false"/>
          <w:sz w:val="22"/>
          <w:szCs w:val="22"/>
        </w:rPr>
        <w:t xml:space="preserve">Berdasarkan Peraturan Menteri Keuangan Nomor 162/PMK.05/2013 tentang Kedudukan dan Tanggung Jawab Bendahara pada Satuan Kerja Pengelola Anggaran Pendapatan dan Belanja Negara, berikut kami kirim Laporan Pertanggungjawaban Bendahara Pengeluaran Satuan Kerja Kantor Pelayanan Kekayaan Negara dan Lelang Denpasar Bulan [Bulan_Laporan] [Tahun_Laporan].</w:t>
      </w:r>
    </w:p>
    <w:p>
      <w:pPr>
        <w:spacing w:after="0" w:before="0" w:line="259" w:lineRule="auto"/>
        <w:ind w:left="108" w:right="60" w:firstLine="0"/>
        <w:jc w:val="both"/>
      </w:pPr>
      <w:r>
        <w:rPr>
          <w:rFonts w:ascii="Arial" w:cs="Arial" w:eastAsia="Arial" w:hAnsi="Arial"/>
          <w:b w:val="false"/>
          <w:bCs w:val="false"/>
          <w:sz w:val="22"/>
          <w:szCs w:val="22"/>
        </w:rPr>
        <w:t xml:space="preserve"/>
      </w:r>
    </w:p>
    <w:p>
      <w:pPr>
        <w:spacing w:after="0" w:before="0" w:line="259" w:lineRule="auto"/>
        <w:ind w:left="108" w:right="60" w:firstLine="720"/>
        <w:jc w:val="both"/>
      </w:pPr>
      <w:r>
        <w:rPr>
          <w:rFonts w:ascii="Arial" w:cs="Arial" w:eastAsia="Arial" w:hAnsi="Arial"/>
          <w:b w:val="false"/>
          <w:bCs w:val="false"/>
          <w:sz w:val="22"/>
          <w:szCs w:val="22"/>
        </w:rPr>
        <w:t xml:space="preserve">Demikian kami sampaikan. Atas perhatiannya kami ucapkan terima kasih.</w:t>
      </w:r>
    </w:p>
    <w:p>
      <w:pPr>
        <w:spacing w:after="0" w:before="0" w:line="600" w:lineRule="exact"/>
        <w:jc w:val="left"/>
      </w:pPr>
      <w:r>
        <w:rPr>
          <w:rFonts w:ascii="Arial" w:cs="Arial" w:eastAsia="Arial" w:hAnsi="Arial"/>
          <w:b w:val="false"/>
          <w:bCs w:val="false"/>
          <w:sz w:val="22"/>
          <w:szCs w:val="22"/>
        </w:rPr>
        <w:t xml:space="preserve"/>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540"/>
        <w:gridCol w:w="4100"/>
      </w:tblGrid>
      <w:tr>
        <w:trPr>
          <w:trHeight w:val="1954" w:hRule="exact"/>
        </w:trPr>
        <w:tc>
          <w:tcPr>
            <w:tcW w:type="dxa" w:w="5540"/>
            <w:tcBorders>
              <w:top w:val="none" w:color="FFFFFF" w:sz="0"/>
              <w:left w:val="none" w:color="FFFFFF" w:sz="0"/>
              <w:bottom w:val="none" w:color="FFFFFF" w:sz="0"/>
              <w:right w:val="none" w:color="FFFFFF" w:sz="0"/>
            </w:tcBorders>
            <w:tcMar>
              <w:top w:type="dxa" w:w="0"/>
              <w:left w:type="dxa" w:w="108"/>
              <w:bottom w:type="dxa" w:w="0"/>
              <w:right w:type="dxa" w:w="0"/>
            </w:tcMar>
          </w:tcPr>
          <w:p>
            <w:pPr>
              <w:spacing w:after="0" w:before="0" w:line="240" w:lineRule="auto"/>
              <w:jc w:val="left"/>
            </w:pPr>
            <w:r>
              <w:rPr>
                <w:rFonts w:ascii="Arial" w:cs="Arial" w:eastAsia="Arial" w:hAnsi="Arial"/>
                <w:b w:val="false"/>
                <w:bCs w:val="false"/>
                <w:sz w:val="22"/>
                <w:szCs w:val="22"/>
              </w:rPr>
              <w:t xml:space="preserve"/>
            </w:r>
          </w:p>
        </w:tc>
        <w:tc>
          <w:tcPr>
            <w:tcW w:type="dxa" w:w="41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0" w:before="0" w:line="240" w:lineRule="auto"/>
              <w:jc w:val="left"/>
            </w:pPr>
            <w:r>
              <w:rPr>
                <w:rFonts w:ascii="Arial" w:cs="Arial" w:eastAsia="Arial" w:hAnsi="Arial"/>
                <w:b w:val="false"/>
                <w:bCs w:val="false"/>
                <w:sz w:val="22"/>
                <w:szCs w:val="22"/>
              </w:rPr>
              <w:t xml:space="preserve"/>
            </w:r>
          </w:p>
        </w:tc>
      </w:tr>
      <w:tr>
        <w:tc>
          <w:tcPr>
            <w:tcW w:type="dxa" w:w="5540"/>
            <w:tcBorders>
              <w:top w:val="none" w:color="FFFFFF" w:sz="0"/>
              <w:left w:val="none" w:color="FFFFFF" w:sz="0"/>
              <w:bottom w:val="none" w:color="FFFFFF" w:sz="0"/>
              <w:right w:val="none" w:color="FFFFFF" w:sz="0"/>
            </w:tcBorders>
            <w:tcMar>
              <w:top w:type="dxa" w:w="0"/>
              <w:left w:type="dxa" w:w="108"/>
              <w:bottom w:type="dxa" w:w="0"/>
              <w:right w:type="dxa" w:w="0"/>
            </w:tcMar>
          </w:tcPr>
          <w:p>
            <w:pPr>
              <w:spacing w:after="0" w:before="0" w:line="240" w:lineRule="auto"/>
              <w:jc w:val="left"/>
            </w:pPr>
            <w:r>
              <w:rPr>
                <w:rFonts w:ascii="Arial" w:cs="Arial" w:eastAsia="Arial" w:hAnsi="Arial"/>
                <w:b w:val="false"/>
                <w:bCs w:val="false"/>
                <w:sz w:val="22"/>
                <w:szCs w:val="22"/>
              </w:rPr>
              <w:t xml:space="preserve"/>
            </w:r>
          </w:p>
        </w:tc>
        <w:tc>
          <w:tcPr>
            <w:tcW w:type="dxa" w:w="41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0" w:before="0" w:line="240" w:lineRule="auto"/>
              <w:jc w:val="left"/>
            </w:pPr>
            <w:r>
              <w:rPr>
                <w:rFonts w:ascii="Arial" w:cs="Arial" w:eastAsia="Arial" w:hAnsi="Arial"/>
                <w:b w:val="false"/>
                <w:bCs w:val="false"/>
                <w:color w:val="BFBFBF"/>
                <w:sz w:val="22"/>
                <w:szCs w:val="22"/>
              </w:rPr>
              <w:t xml:space="preserve">Ditandatangani secara elektronik</w:t>
            </w:r>
          </w:p>
        </w:tc>
      </w:tr>
      <w:tr>
        <w:tc>
          <w:tcPr>
            <w:tcW w:type="dxa" w:w="5540"/>
            <w:tcBorders>
              <w:top w:val="none" w:color="FFFFFF" w:sz="0"/>
              <w:left w:val="none" w:color="FFFFFF" w:sz="0"/>
              <w:bottom w:val="none" w:color="FFFFFF" w:sz="0"/>
              <w:right w:val="none" w:color="FFFFFF" w:sz="0"/>
            </w:tcBorders>
            <w:tcMar>
              <w:top w:type="dxa" w:w="0"/>
              <w:left w:type="dxa" w:w="108"/>
              <w:bottom w:type="dxa" w:w="0"/>
              <w:right w:type="dxa" w:w="0"/>
            </w:tcMar>
          </w:tcPr>
          <w:p>
            <w:pPr>
              <w:spacing w:after="0" w:before="0" w:line="240" w:lineRule="auto"/>
              <w:jc w:val="left"/>
            </w:pPr>
            <w:r>
              <w:rPr>
                <w:rFonts w:ascii="Arial" w:cs="Arial" w:eastAsia="Arial" w:hAnsi="Arial"/>
                <w:b w:val="false"/>
                <w:bCs w:val="false"/>
                <w:sz w:val="22"/>
                <w:szCs w:val="22"/>
              </w:rPr>
              <w:t xml:space="preserve"/>
            </w:r>
          </w:p>
        </w:tc>
        <w:tc>
          <w:tcPr>
            <w:tcW w:type="dxa" w:w="41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0" w:before="0" w:line="240" w:lineRule="auto"/>
              <w:jc w:val="left"/>
            </w:pPr>
            <w:r>
              <w:rPr>
                <w:rFonts w:ascii="Arial" w:cs="Arial" w:eastAsia="Arial" w:hAnsi="Arial"/>
                <w:b w:val="false"/>
                <w:bCs w:val="false"/>
                <w:sz w:val="22"/>
                <w:szCs w:val="22"/>
              </w:rPr>
              <w:t xml:space="preserve">I Ketut Arimbawa</w:t>
            </w:r>
          </w:p>
        </w:tc>
      </w:tr>
    </w:tbl>
    <w:p>
      <w:pPr>
        <w:spacing w:after="0" w:before="0" w:line="324" w:lineRule="exact"/>
        <w:jc w:val="left"/>
      </w:pPr>
      <w:r>
        <w:rPr>
          <w:rFonts w:ascii="Arial" w:cs="Arial" w:eastAsia="Arial" w:hAnsi="Arial"/>
          <w:b w:val="false"/>
          <w:bCs w:val="false"/>
          <w:sz w:val="22"/>
          <w:szCs w:val="22"/>
        </w:rPr>
        <w:t xml:space="preserve"/>
      </w:r>
    </w:p>
    <w:p>
      <w:pPr>
        <w:spacing w:after="0" w:before="0" w:line="240" w:lineRule="auto"/>
        <w:ind w:left="108"/>
        <w:jc w:val="left"/>
      </w:pPr>
      <w:r>
        <w:rPr>
          <w:rFonts w:ascii="Arial" w:cs="Arial" w:eastAsia="Arial" w:hAnsi="Arial"/>
          <w:b w:val="false"/>
          <w:bCs w:val="false"/>
          <w:sz w:val="22"/>
          <w:szCs w:val="22"/>
        </w:rPr>
        <w:t xml:space="preserve">Tembusan:</w:t>
      </w:r>
    </w:p>
    <w:sectPr>
      <w:pgSz w:w="11906" w:h="16838" w:orient="portrait"/>
      <w:pgMar w:top="746"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fdc4c4ead67f66ea73869a327f891a99aecdc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Penyampaian LPJ Bendahara Pengeluaran Bulan [Bulan_Laporan] [Tahun_Laporan]</dc:title>
  <dc:creator>Kantor Pelayanan Kekayaan Negara dan Lelang Denpasar</dc:creator>
  <cp:lastModifiedBy>Un-named</cp:lastModifiedBy>
  <cp:revision>1</cp:revision>
  <dcterms:created xsi:type="dcterms:W3CDTF">2026-10-14T14:41:41.938Z</dcterms:created>
  <dcterms:modified xsi:type="dcterms:W3CDTF">2026-10-14T14:41:41.950Z</dcterms:modified>
</cp:coreProperties>
</file>

<file path=docProps/custom.xml><?xml version="1.0" encoding="utf-8"?>
<Properties xmlns="http://schemas.openxmlformats.org/officeDocument/2006/custom-properties" xmlns:vt="http://schemas.openxmlformats.org/officeDocument/2006/docPropsVTypes"/>
</file>