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20"/>
        <w:jc w:val="center"/>
      </w:pPr>
      <w:r>
        <w:rPr>
          <w:rFonts w:ascii="Calibri" w:hAnsi="Calibri" w:eastAsia="Microsoft YaHei"/>
          <w:b/>
          <w:color w:val="D26A3A"/>
          <w:sz w:val="22"/>
        </w:rPr>
        <w:t>IMPROVEMENT STUDY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E5F"/>
          <w:sz w:val="56"/>
        </w:rPr>
        <w:t>AlphaEarth Embedding 可解释性复现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A7F7F"/>
          <w:sz w:val="42"/>
        </w:rPr>
        <w:t>改进方案与性能提升分析报告</w:t>
      </w:r>
    </w:p>
    <w:p>
      <w:pPr>
        <w:spacing w:after="880"/>
        <w:jc w:val="center"/>
      </w:pPr>
      <w:r>
        <w:rPr>
          <w:rFonts w:ascii="Calibri" w:hAnsi="Calibri" w:eastAsia="Microsoft YaHei"/>
          <w:i/>
          <w:color w:val="667788"/>
          <w:sz w:val="25"/>
        </w:rPr>
        <w:t>Extremely Randomized Trees as a Lightweight Upgrade to the Random Forest Module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基线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chabingcha/alphaearth-reproduction 的 64-D embedding → 26 环境变量 RF 复现</w:t>
            </w:r>
          </w:p>
        </w:tc>
      </w:tr>
      <w:tr>
        <w:trPr>
          <w:cantSplit/>
        </w:trPr>
        <w:tc>
          <w:tcPr>
            <w:tcW w:type="dxa" w:w="19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改进组件</w:t>
            </w:r>
          </w:p>
        </w:tc>
        <w:tc>
          <w:tcPr>
            <w:tcW w:type="dxa" w:w="74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论文 2.4.2 Random Forest regression 模块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主实验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20 个独立数据种子 × 26 个目标变量；严格配对随机留出评估</w:t>
            </w:r>
          </w:p>
        </w:tc>
      </w:tr>
      <w:tr>
        <w:trPr>
          <w:cantSplit/>
        </w:trPr>
        <w:tc>
          <w:tcPr>
            <w:tcW w:type="dxa" w:w="19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扩展验证</w:t>
            </w:r>
          </w:p>
        </w:tc>
        <w:tc>
          <w:tcPr>
            <w:tcW w:type="dxa" w:w="74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空间分块留出、五模型消融、4 组鲁棒性压力测试、支持集恢复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AI 辅助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方案推理、代码生成、测试、统计分析、可视化与报告编制</w:t>
            </w:r>
          </w:p>
        </w:tc>
      </w:tr>
      <w:tr>
        <w:trPr>
          <w:cantSplit/>
        </w:trPr>
        <w:tc>
          <w:tcPr>
            <w:tcW w:type="dxa" w:w="19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日期</w:t>
            </w:r>
          </w:p>
        </w:tc>
        <w:tc>
          <w:tcPr>
            <w:tcW w:type="dxa" w:w="74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2026-07-29</w:t>
            </w:r>
          </w:p>
        </w:tc>
      </w:tr>
    </w:tbl>
    <w:p>
      <w:pPr>
        <w:spacing w:after="40"/>
      </w:pPr>
    </w:p>
    <w:p>
      <w:pPr>
        <w:spacing w:before="480"/>
        <w:jc w:val="center"/>
      </w:pPr>
      <w:r>
        <w:rPr>
          <w:rFonts w:ascii="Calibri" w:hAnsi="Calibri" w:eastAsia="Microsoft YaHei"/>
          <w:b/>
          <w:color w:val="D26A3A"/>
          <w:sz w:val="19"/>
        </w:rPr>
        <w:t>实测结果；不含虚构或外推到真实 AlphaEarth 数据的性能数字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本研究基于 AlphaEarth embedding 可解释性基线复现，针对论文中“为每个环境变量训练独立随机森林”的组件提出轻量改进：使用 Extremely Randomized Trees（ExtraTrees），通过随机化切分阈值降低树间相关性，并以 70% 特征子采样和 100 棵树控制方差。为避免原复现单次随机种子与 OOB 评分带来的证据不足，本研究将性能声明限定在严格外部留出集，并在 20 个独立合成数据种子上进行配对实验。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主结果显示，随机留出宏平均 R² 从 0.4909 提升至 0.5158，平均配对增益为 +0.0249，95% bootstrap 置信区间 [0.0223, 0.0275]；配对 t 检验 p=2.06e-13，Wilcoxon p=1.91e-06，20/20 个种子全部获益。空间分块留出同样从 0.4406 提升至 0.4685（ΔR²=+0.0279）。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完整 ExtraTrees 的中位拟合与评估时间为 2.71s，基线为 3.19s，机器实测约快 15%。支持集 mAP 从 0.8827 增至 0.8901，但未达到显著性；Mapping Recall@3 保持 0.9625。因此结论是：该改进显著提高合成复现任务的预测精度和效率，且未观察到可解释性恢复退化；尚不能据此声称真实 12.1M AlphaEarth 样本上同等提升。</w:t>
      </w:r>
    </w:p>
    <w:p>
      <w:pPr>
        <w:keepLines/>
        <w:spacing w:before="100" w:after="140" w:line="300" w:lineRule="auto"/>
        <w:ind w:left="115" w:right="115"/>
        <w:shd w:fill="E8EEF5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Microsoft YaHei"/>
          <w:b/>
          <w:color w:val="203E5F"/>
          <w:sz w:val="22"/>
        </w:rPr>
        <w:t xml:space="preserve">核心结论 </w:t>
      </w:r>
      <w:r>
        <w:rPr>
          <w:rFonts w:ascii="Calibri" w:hAnsi="Calibri" w:eastAsia="Microsoft YaHei"/>
          <w:color w:val="111111"/>
          <w:sz w:val="22"/>
        </w:rPr>
        <w:t>ExtraTrees 是一个经配对统计支持的 RF 轻量替换：随机留出 +0.0249 R²，空间留出 +0.0279 R²，20/20 种子获益，同时保持 Top-3 映射召回。</w:t>
      </w:r>
    </w:p>
    <w:p>
      <w:pPr>
        <w:pStyle w:val="Heading1"/>
      </w:pPr>
      <w:r>
        <w:t>1. 研究背景与改进入口</w:t>
      </w:r>
    </w:p>
    <w:p>
      <w:pPr>
        <w:pStyle w:val="Heading2"/>
      </w:pPr>
      <w:r>
        <w:t>1.1 原论文与复现基线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Rahman（2026）使用 12.1M 个 CONUS 多年样本，将 64 维 AlphaEarth embeddings 与 26 个环境变量对应起来。论文使用 Spearman 相关、随机森林和多任务 Transformer 三种互补方法；其中 RF 以全部 64 维为输入，为每个环境变量分别建模，并通过 5 折交叉验证与置换重要性形成 64×26 重要性矩阵。论文报告 12/26 个变量 R²&gt;0.90，Transformer 对全部 26 个变量优于 RF。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课程基线复现由于真实 AlphaEarth 数据访问与算力限制，采用具有已知映射的合成数据、2,000 个样本、30–50 棵 RF 树与 OOB 评分。该设计成功验证了方法流程，但单次数据种子、OOB 指标与容易达到上限的 Top-3 恢复率不足以支撑“改进有效”的统计结论。</w:t>
      </w:r>
    </w:p>
    <w:p>
      <w:pPr>
        <w:pStyle w:val="Heading2"/>
      </w:pPr>
      <w:r>
        <w:t>1.2 识别出的限制与优化空间</w:t>
      </w:r>
    </w:p>
    <w:p>
      <w:pPr>
        <w:pStyle w:val="Caption"/>
        <w:keepNext/>
      </w:pPr>
      <w:r>
        <w:t>表 1  基线复现的关键限制及本研究响应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60"/>
        <w:gridCol w:w="380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限制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证据/风险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本研究处理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单次种子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结果可能依赖一次随机映射和噪声实现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20 个独立数据种子，所有比较严格配对</w:t>
            </w:r>
          </w:p>
        </w:tc>
      </w:tr>
      <w:tr>
        <w:trPr>
          <w:cantSplit/>
        </w:trPr>
        <w:tc>
          <w:tcPr>
            <w:tcW w:type="dxa" w:w="17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OOB 与训练流程耦合</w:t>
            </w:r>
          </w:p>
        </w:tc>
        <w:tc>
          <w:tcPr>
            <w:tcW w:type="dxa" w:w="38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不等价于统一外部测试集；模型间不一定公平</w:t>
            </w:r>
          </w:p>
        </w:tc>
        <w:tc>
          <w:tcPr>
            <w:tcW w:type="dxa" w:w="38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同一 75/25 留出切分作为主终点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RF 树间相关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bootstrap + 最优阈值可能在小样本下放大分裂方差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随机切分阈值的 ExtraTrees</w:t>
            </w:r>
          </w:p>
        </w:tc>
      </w:tr>
      <w:tr>
        <w:trPr>
          <w:cantSplit/>
        </w:trPr>
        <w:tc>
          <w:tcPr>
            <w:tcW w:type="dxa" w:w="17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Top-1 指标上限</w:t>
            </w:r>
          </w:p>
        </w:tc>
        <w:tc>
          <w:tcPr>
            <w:tcW w:type="dxa" w:w="38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多个真维度映射到同一变量时逐映射 Top-1 理论上不可达 100%</w:t>
            </w:r>
          </w:p>
        </w:tc>
        <w:tc>
          <w:tcPr>
            <w:tcW w:type="dxa" w:w="38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报告 support mAP、Recall@true-k、Recall@3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随机空间切分乐观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相邻样本共享空间结构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独立 4° 空间块 GroupShuffleSplit</w:t>
            </w:r>
          </w:p>
        </w:tc>
      </w:tr>
      <w:tr>
        <w:trPr>
          <w:cantSplit/>
        </w:trPr>
        <w:tc>
          <w:tcPr>
            <w:tcW w:type="dxa" w:w="17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合成数据外部效度</w:t>
            </w:r>
          </w:p>
        </w:tc>
        <w:tc>
          <w:tcPr>
            <w:tcW w:type="dxa" w:w="38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缺少真实光谱、时间和传感器噪声结构</w:t>
            </w:r>
          </w:p>
        </w:tc>
        <w:tc>
          <w:tcPr>
            <w:tcW w:type="dxa" w:w="38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结论仅限合成复现，并明确未来真实数据验证</w:t>
            </w:r>
          </w:p>
        </w:tc>
      </w:tr>
    </w:tbl>
    <w:p>
      <w:pPr>
        <w:spacing w:after="40"/>
      </w:pPr>
    </w:p>
    <w:p>
      <w:pPr>
        <w:pStyle w:val="Heading1"/>
      </w:pPr>
      <w:r>
        <w:t>2. 改进假设与技术方案</w:t>
      </w:r>
    </w:p>
    <w:p>
      <w:pPr>
        <w:pStyle w:val="Heading2"/>
      </w:pPr>
      <w:r>
        <w:t>2.1 可证伪假设</w:t>
      </w:r>
    </w:p>
    <w:p>
      <w:pPr>
        <w:keepLines/>
        <w:spacing w:before="100" w:after="140" w:line="300" w:lineRule="auto"/>
        <w:ind w:left="115" w:right="115"/>
        <w:shd w:fill="E8F3F1"/>
        <w:pBdr>
          <w:top w:val="single" w:sz="4" w:space="5" w:color="E8F3F1"/>
          <w:left w:val="single" w:sz="4" w:space="5" w:color="E8F3F1"/>
          <w:bottom w:val="single" w:sz="4" w:space="5" w:color="E8F3F1"/>
          <w:right w:val="single" w:sz="4" w:space="5" w:color="E8F3F1"/>
        </w:pBdr>
      </w:pPr>
      <w:r>
        <w:rPr>
          <w:rFonts w:ascii="Calibri" w:hAnsi="Calibri" w:eastAsia="Microsoft YaHei"/>
          <w:b/>
          <w:color w:val="203E5F"/>
          <w:sz w:val="22"/>
        </w:rPr>
        <w:t xml:space="preserve">H1（主假设） </w:t>
      </w:r>
      <w:r>
        <w:rPr>
          <w:rFonts w:ascii="Calibri" w:hAnsi="Calibri" w:eastAsia="Microsoft YaHei"/>
          <w:color w:val="111111"/>
          <w:sz w:val="22"/>
        </w:rPr>
        <w:t>在相同合成数据种子和相同外部测试划分下，100 棵 ExtraTrees + max_features=0.7 的宏平均测试 R² 高于 50 棵标准 Random Forest。</w:t>
      </w:r>
    </w:p>
    <w:p>
      <w:pPr>
        <w:keepLines/>
        <w:spacing w:before="100" w:after="140" w:line="300" w:lineRule="auto"/>
        <w:ind w:left="115" w:right="115"/>
        <w:shd w:fill="E8F3F1"/>
        <w:pBdr>
          <w:top w:val="single" w:sz="4" w:space="5" w:color="E8F3F1"/>
          <w:left w:val="single" w:sz="4" w:space="5" w:color="E8F3F1"/>
          <w:bottom w:val="single" w:sz="4" w:space="5" w:color="E8F3F1"/>
          <w:right w:val="single" w:sz="4" w:space="5" w:color="E8F3F1"/>
        </w:pBdr>
      </w:pPr>
      <w:r>
        <w:rPr>
          <w:rFonts w:ascii="Calibri" w:hAnsi="Calibri" w:eastAsia="Microsoft YaHei"/>
          <w:b/>
          <w:color w:val="203E5F"/>
          <w:sz w:val="22"/>
        </w:rPr>
        <w:t xml:space="preserve">H2（空间稳健性） </w:t>
      </w:r>
      <w:r>
        <w:rPr>
          <w:rFonts w:ascii="Calibri" w:hAnsi="Calibri" w:eastAsia="Microsoft YaHei"/>
          <w:color w:val="111111"/>
          <w:sz w:val="22"/>
        </w:rPr>
        <w:t>改进在未见空间块上仍保持正的配对 ΔR²，而不是仅在随机留出中受益。</w:t>
      </w:r>
    </w:p>
    <w:p>
      <w:pPr>
        <w:keepLines/>
        <w:spacing w:before="100" w:after="140" w:line="300" w:lineRule="auto"/>
        <w:ind w:left="115" w:right="115"/>
        <w:shd w:fill="E8F3F1"/>
        <w:pBdr>
          <w:top w:val="single" w:sz="4" w:space="5" w:color="E8F3F1"/>
          <w:left w:val="single" w:sz="4" w:space="5" w:color="E8F3F1"/>
          <w:bottom w:val="single" w:sz="4" w:space="5" w:color="E8F3F1"/>
          <w:right w:val="single" w:sz="4" w:space="5" w:color="E8F3F1"/>
        </w:pBdr>
      </w:pPr>
      <w:r>
        <w:rPr>
          <w:rFonts w:ascii="Calibri" w:hAnsi="Calibri" w:eastAsia="Microsoft YaHei"/>
          <w:b/>
          <w:color w:val="203E5F"/>
          <w:sz w:val="22"/>
        </w:rPr>
        <w:t xml:space="preserve">H3（可解释性非劣化） </w:t>
      </w:r>
      <w:r>
        <w:rPr>
          <w:rFonts w:ascii="Calibri" w:hAnsi="Calibri" w:eastAsia="Microsoft YaHei"/>
          <w:color w:val="111111"/>
          <w:sz w:val="22"/>
        </w:rPr>
        <w:t>维度支持集恢复指标不出现系统性下降；特别是 Mapping Recall@3 不低于基线。</w:t>
      </w:r>
    </w:p>
    <w:p>
      <w:pPr>
        <w:pStyle w:val="Heading2"/>
      </w:pPr>
      <w:r>
        <w:t>2.2 为什么选择 ExtraTrees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标准 RF 在每个候选特征上搜索较优切分点，再通过 bootstrap 聚合树。ExtraTrees 进一步随机化候选切分阈值，用更高的单树随机性换取更低的树间相关性；大量树平均后可降低集成方差。Geurts 等（2006）将计算效率和偏差—方差分析列为该方法的核心性质。这一改动不改变输入/输出接口：仍是 64 维 embedding 到单个连续环境变量的树集成回归，因此能直接替换论文 RF 组件，也保留特征重要性。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完整方案设 100 棵树、max_features=0.7、min_samples_leaf=1、无 bootstrap。树数增加用于稳定随机阈值带来的方差；70% 特征曝光进一步去相关。消融实验分别隔离“随机阈值”“增加树数”“特征子采样”与完整组合。</w:t>
      </w:r>
    </w:p>
    <w:p>
      <w:pPr>
        <w:pStyle w:val="Heading1"/>
      </w:pPr>
      <w:r>
        <w:t>3. AI 辅助实现与代码鲁棒性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AI 编码工具协助完成了改进假设细化、指标上限审计、模块化代码生成、统计方法实现、可视化与报告编制。所有模型结果均由本机脚本实际运行生成；AI 未手工填写任何 R² 或 p 值。</w:t>
      </w:r>
    </w:p>
    <w:p>
      <w:pPr>
        <w:pStyle w:val="Caption"/>
        <w:keepNext/>
      </w:pPr>
      <w:r>
        <w:t>表 2  修改代码与鲁棒性措施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420"/>
        <w:gridCol w:w="244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修改内容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清晰标记/保障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data/generate_synthetic_data.py</w:t>
            </w:r>
          </w:p>
        </w:tc>
        <w:tc>
          <w:tcPr>
            <w:tcW w:type="dxa" w:w="44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新增 per-call random_seed，消除运行顺序依赖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IMPROVEMENT MODIFICATION START/END</w:t>
            </w:r>
          </w:p>
        </w:tc>
      </w:tr>
      <w:tr>
        <w:trPr>
          <w:cantSplit/>
        </w:trPr>
        <w:tc>
          <w:tcPr>
            <w:tcW w:type="dxa" w:w="25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src/improved_extra_trees.py</w:t>
            </w:r>
          </w:p>
        </w:tc>
        <w:tc>
          <w:tcPr>
            <w:tcW w:type="dxa" w:w="442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模型工厂、外部留出评估、支持集指标</w:t>
            </w:r>
          </w:p>
        </w:tc>
        <w:tc>
          <w:tcPr>
            <w:tcW w:type="dxa" w:w="244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AI-ASSISTED IMPROVEMENT 文件头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experiments/run_improvement_experiment.py</w:t>
            </w:r>
          </w:p>
        </w:tc>
        <w:tc>
          <w:tcPr>
            <w:tcW w:type="dxa" w:w="44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主实验、空间验证、消融、鲁棒性、统计、图表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配置写入 JSON；原始行级 CSV 可审计</w:t>
            </w:r>
          </w:p>
        </w:tc>
      </w:tr>
      <w:tr>
        <w:trPr>
          <w:cantSplit/>
        </w:trPr>
        <w:tc>
          <w:tcPr>
            <w:tcW w:type="dxa" w:w="25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tests/test_improvement.py</w:t>
            </w:r>
          </w:p>
        </w:tc>
        <w:tc>
          <w:tcPr>
            <w:tcW w:type="dxa" w:w="442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模型类型、完美排名、GT 反转测试</w:t>
            </w:r>
          </w:p>
        </w:tc>
        <w:tc>
          <w:tcPr>
            <w:tcW w:type="dxa" w:w="244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3/3 pytest 通过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results/improvement/</w:t>
            </w:r>
          </w:p>
        </w:tc>
        <w:tc>
          <w:tcPr>
            <w:tcW w:type="dxa" w:w="442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CSV、JSON 和 6 张实测图</w:t>
            </w:r>
          </w:p>
        </w:tc>
        <w:tc>
          <w:tcPr>
            <w:tcW w:type="dxa" w:w="244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可由单命令完整重建</w:t>
            </w:r>
          </w:p>
        </w:tc>
      </w:tr>
    </w:tbl>
    <w:p>
      <w:pPr>
        <w:spacing w:after="40"/>
      </w:pP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输入检查覆盖 X/Y 形状、变量名数量、训练/测试集合非空与互斥、ground truth 索引范围；模型随机种子按 dataset seed 与 target index 派生。统计输出同时记录 Python、NumPy、SciPy、scikit-learn、平台和 CPU 数量。</w:t>
      </w:r>
    </w:p>
    <w:p>
      <w:pPr>
        <w:pStyle w:val="Heading1"/>
      </w:pPr>
      <w:r>
        <w:t>4. 实验设计</w:t>
      </w:r>
    </w:p>
    <w:p>
      <w:pPr>
        <w:pStyle w:val="Caption"/>
        <w:keepNext/>
      </w:pPr>
      <w:r>
        <w:t>表 3  预先规定的比较实验设计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设置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主数据</w:t>
            </w:r>
          </w:p>
        </w:tc>
        <w:tc>
          <w:tcPr>
            <w:tcW w:type="dxa" w:w="72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每个种子 1,200 样本；64-D embeddings；26 targets；12 active dimensions；noise=0.3</w:t>
            </w:r>
          </w:p>
        </w:tc>
      </w:tr>
      <w:tr>
        <w:trPr>
          <w:cantSplit/>
        </w:trPr>
        <w:tc>
          <w:tcPr>
            <w:tcW w:type="dxa" w:w="21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重复</w:t>
            </w:r>
          </w:p>
        </w:tc>
        <w:tc>
          <w:tcPr>
            <w:tcW w:type="dxa" w:w="72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20 个独立 dataset seeds（0–19）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随机留出</w:t>
            </w:r>
          </w:p>
        </w:tc>
        <w:tc>
          <w:tcPr>
            <w:tcW w:type="dxa" w:w="72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75% train / 25% test；同一 seed 下模型共享完全相同划分</w:t>
            </w:r>
          </w:p>
        </w:tc>
      </w:tr>
      <w:tr>
        <w:trPr>
          <w:cantSplit/>
        </w:trPr>
        <w:tc>
          <w:tcPr>
            <w:tcW w:type="dxa" w:w="21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空间留出</w:t>
            </w:r>
          </w:p>
        </w:tc>
        <w:tc>
          <w:tcPr>
            <w:tcW w:type="dxa" w:w="72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4° 矩形 block；GroupShuffleSplit；25% blocks 作为测试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基线</w:t>
            </w:r>
          </w:p>
        </w:tc>
        <w:tc>
          <w:tcPr>
            <w:tcW w:type="dxa" w:w="72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RandomForestRegressor；50 trees；max_features=1.0；bootstrap=True</w:t>
            </w:r>
          </w:p>
        </w:tc>
      </w:tr>
      <w:tr>
        <w:trPr>
          <w:cantSplit/>
        </w:trPr>
        <w:tc>
          <w:tcPr>
            <w:tcW w:type="dxa" w:w="21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完整改进</w:t>
            </w:r>
          </w:p>
        </w:tc>
        <w:tc>
          <w:tcPr>
            <w:tcW w:type="dxa" w:w="72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ExtraTreesRegressor；100 trees；max_features=0.7；bootstrap=False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主终点</w:t>
            </w:r>
          </w:p>
        </w:tc>
        <w:tc>
          <w:tcPr>
            <w:tcW w:type="dxa" w:w="72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每个 seed 对 26 个 target test R² 的宏平均</w:t>
            </w:r>
          </w:p>
        </w:tc>
      </w:tr>
      <w:tr>
        <w:trPr>
          <w:cantSplit/>
        </w:trPr>
        <w:tc>
          <w:tcPr>
            <w:tcW w:type="dxa" w:w="21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统计</w:t>
            </w:r>
          </w:p>
        </w:tc>
        <w:tc>
          <w:tcPr>
            <w:tcW w:type="dxa" w:w="72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配对 t；Wilcoxon；10,000 次 seed-cluster bootstrap 95% CI；Cohen dz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多重比较</w:t>
            </w:r>
          </w:p>
        </w:tc>
        <w:tc>
          <w:tcPr>
            <w:tcW w:type="dxa" w:w="72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26 个变量的配对 t 检验使用 Benjamini–Hochberg FDR</w:t>
            </w:r>
          </w:p>
        </w:tc>
      </w:tr>
      <w:tr>
        <w:trPr>
          <w:cantSplit/>
        </w:trPr>
        <w:tc>
          <w:tcPr>
            <w:tcW w:type="dxa" w:w="21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鲁棒性</w:t>
            </w:r>
          </w:p>
        </w:tc>
        <w:tc>
          <w:tcPr>
            <w:tcW w:type="dxa" w:w="72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n∈{500,1200} × noise∈{0.3,0.9}；每格 8 seeds</w:t>
            </w:r>
          </w:p>
        </w:tc>
      </w:tr>
    </w:tbl>
    <w:p>
      <w:pPr>
        <w:spacing w:after="40"/>
      </w:pP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主分析单位是“数据种子”，而不是把 26 个高度相关的目标变量错误地当作 520 个独立重复。每次 bootstrap 重采样 20 个 seed 级配对差值，从而保持每个 seed 内 26 targets 的相关结构。</w:t>
      </w:r>
    </w:p>
    <w:p>
      <w:pPr>
        <w:pStyle w:val="Heading1"/>
      </w:pPr>
      <w:r>
        <w:t>5. 主实验结果</w:t>
      </w:r>
    </w:p>
    <w:p>
      <w:pPr>
        <w:pStyle w:val="Caption"/>
        <w:keepNext/>
      </w:pPr>
      <w:r>
        <w:t>表 4  主终点与空间稳健性结果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200"/>
        <w:gridCol w:w="1350"/>
        <w:gridCol w:w="1200"/>
        <w:gridCol w:w="2100"/>
        <w:gridCol w:w="131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终点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RF 基线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ExtraTrees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配对 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95% CI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p（paired t）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随机留出 macro R²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0.4909</w:t>
            </w:r>
          </w:p>
        </w:tc>
        <w:tc>
          <w:tcPr>
            <w:tcW w:type="dxa" w:w="13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0.5158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+0.0249</w:t>
            </w:r>
          </w:p>
        </w:tc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[0.0223, 0.0275]</w:t>
            </w:r>
          </w:p>
        </w:tc>
        <w:tc>
          <w:tcPr>
            <w:tcW w:type="dxa" w:w="13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2.06e-13</w:t>
            </w:r>
          </w:p>
        </w:tc>
      </w:tr>
      <w:tr>
        <w:trPr>
          <w:cantSplit/>
        </w:trPr>
        <w:tc>
          <w:tcPr>
            <w:tcW w:type="dxa" w:w="22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空间分块 macro R²</w:t>
            </w:r>
          </w:p>
        </w:tc>
        <w:tc>
          <w:tcPr>
            <w:tcW w:type="dxa" w:w="12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0.4406</w:t>
            </w:r>
          </w:p>
        </w:tc>
        <w:tc>
          <w:tcPr>
            <w:tcW w:type="dxa" w:w="135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0.4685</w:t>
            </w:r>
          </w:p>
        </w:tc>
        <w:tc>
          <w:tcPr>
            <w:tcW w:type="dxa" w:w="12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+0.0279</w:t>
            </w:r>
          </w:p>
        </w:tc>
        <w:tc>
          <w:tcPr>
            <w:tcW w:type="dxa" w:w="21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[0.0222, 0.0343]</w:t>
            </w:r>
          </w:p>
        </w:tc>
        <w:tc>
          <w:tcPr>
            <w:tcW w:type="dxa" w:w="131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4.62e-08</w:t>
            </w:r>
          </w:p>
        </w:tc>
      </w:tr>
    </w:tbl>
    <w:p>
      <w:pPr>
        <w:spacing w:after="40"/>
      </w:pP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随机留出相对提升为 5.1%，Cohen dz=4.03；20/20 seeds 的差值均为正。Wilcoxon 检验同样显著（p=1.91e-06），说明结论不依赖正态差值假设。空间分块相对提升为 6.3%，20/20 seeds 同样获益。</w:t>
      </w: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663440"/>
            <wp:docPr id="1" name="Picture 1" descr="图 1  20 个独立数据种子的配对宏平均测试 R²。所有点均位于等值线之上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ired_random_r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  20 个独立数据种子的配对宏平均测试 R²。所有点均位于等值线之上。</w:t>
      </w: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5053977"/>
            <wp:docPr id="2" name="Picture 2" descr="图 2  26 个环境变量的配对 ΔR² 与 seed-cluster bootstrap 95% CI。青色表示 BH 校正后 q&lt;0.05；本实验 26/26 全部显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er_variable_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  26 个环境变量的配对 ΔR² 与 seed-cluster bootstrap 95% CI。青色表示 BH 校正后 q&lt;0.05；本实验 26/26 全部显著。</w:t>
      </w:r>
    </w:p>
    <w:p>
      <w:pPr>
        <w:pStyle w:val="Heading1"/>
      </w:pPr>
      <w:r>
        <w:t>6. 消融研究与机制分析</w:t>
      </w:r>
    </w:p>
    <w:p>
      <w:pPr>
        <w:pStyle w:val="Caption"/>
        <w:keepNext/>
      </w:pPr>
      <w:r>
        <w:t>表 5  ExtraTrees 组件消融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1350"/>
        <w:gridCol w:w="1400"/>
        <w:gridCol w:w="2350"/>
        <w:gridCol w:w="1510"/>
      </w:tblGrid>
      <w:tr>
        <w:trPr>
          <w:tblHeader w:val="true"/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Macro R²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vs RF ΔR²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95% paired CI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Seed win rate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RF 50 trees</w:t>
            </w:r>
          </w:p>
        </w:tc>
        <w:tc>
          <w:tcPr>
            <w:tcW w:type="dxa" w:w="13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0.4909</w:t>
            </w:r>
          </w:p>
        </w:tc>
        <w:tc>
          <w:tcPr>
            <w:tcW w:type="dxa" w:w="14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+0.0000</w:t>
            </w:r>
          </w:p>
        </w:tc>
        <w:tc>
          <w:tcPr>
            <w:tcW w:type="dxa" w:w="23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[+0.0000, +0.0000]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0%</w:t>
            </w:r>
          </w:p>
        </w:tc>
      </w:tr>
      <w:tr>
        <w:trPr>
          <w:cantSplit/>
        </w:trPr>
        <w:tc>
          <w:tcPr>
            <w:tcW w:type="dxa" w:w="275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ET 50 trees, all features</w:t>
            </w:r>
          </w:p>
        </w:tc>
        <w:tc>
          <w:tcPr>
            <w:tcW w:type="dxa" w:w="135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0.5082</w:t>
            </w:r>
          </w:p>
        </w:tc>
        <w:tc>
          <w:tcPr>
            <w:tcW w:type="dxa" w:w="14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+0.0173</w:t>
            </w:r>
          </w:p>
        </w:tc>
        <w:tc>
          <w:tcPr>
            <w:tcW w:type="dxa" w:w="235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[+0.0152, +0.0195]</w:t>
            </w:r>
          </w:p>
        </w:tc>
        <w:tc>
          <w:tcPr>
            <w:tcW w:type="dxa" w:w="151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ET 100 trees, all features</w:t>
            </w:r>
          </w:p>
        </w:tc>
        <w:tc>
          <w:tcPr>
            <w:tcW w:type="dxa" w:w="13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0.5141</w:t>
            </w:r>
          </w:p>
        </w:tc>
        <w:tc>
          <w:tcPr>
            <w:tcW w:type="dxa" w:w="14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+0.0232</w:t>
            </w:r>
          </w:p>
        </w:tc>
        <w:tc>
          <w:tcPr>
            <w:tcW w:type="dxa" w:w="23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[+0.0211, +0.0254]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275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ET 50 trees, 0.7 features</w:t>
            </w:r>
          </w:p>
        </w:tc>
        <w:tc>
          <w:tcPr>
            <w:tcW w:type="dxa" w:w="135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0.5094</w:t>
            </w:r>
          </w:p>
        </w:tc>
        <w:tc>
          <w:tcPr>
            <w:tcW w:type="dxa" w:w="14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+0.0185</w:t>
            </w:r>
          </w:p>
        </w:tc>
        <w:tc>
          <w:tcPr>
            <w:tcW w:type="dxa" w:w="235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[+0.0157, +0.0213]</w:t>
            </w:r>
          </w:p>
        </w:tc>
        <w:tc>
          <w:tcPr>
            <w:tcW w:type="dxa" w:w="151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27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ET 100 trees, 0.7 features</w:t>
            </w:r>
          </w:p>
        </w:tc>
        <w:tc>
          <w:tcPr>
            <w:tcW w:type="dxa" w:w="13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0.5158</w:t>
            </w:r>
          </w:p>
        </w:tc>
        <w:tc>
          <w:tcPr>
            <w:tcW w:type="dxa" w:w="14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+0.0249</w:t>
            </w:r>
          </w:p>
        </w:tc>
        <w:tc>
          <w:tcPr>
            <w:tcW w:type="dxa" w:w="23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[+0.0223, +0.0275]</w:t>
            </w:r>
          </w:p>
        </w:tc>
        <w:tc>
          <w:tcPr>
            <w:tcW w:type="dxa" w:w="15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仅把标准 RF 换成相同 50 棵树的 ExtraTrees 即贡献 +0.0173 R²，说明随机阈值是主要收益来源。增加到 100 棵树将增益扩大到 +0.0232；单独进行 70% 特征子采样得到 +0.0185。二者组合达到 +0.0249，表明更多树主要用于稳定额外随机性，而特征子采样提供较小但一致的补充收益。</w:t>
      </w: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27268"/>
            <wp:docPr id="3" name="Picture 3" descr="图 3  各消融模型相对 RF 的配对宏平均 ΔR²；误差线为 95% bootstrap CI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  各消融模型相对 RF 的配对宏平均 ΔR²；误差线为 95% bootstrap CI。</w:t>
      </w:r>
    </w:p>
    <w:p>
      <w:pPr>
        <w:pStyle w:val="Heading1"/>
      </w:pPr>
      <w:r>
        <w:t>7. 鲁棒性、效率与可解释性权衡</w:t>
      </w:r>
    </w:p>
    <w:p>
      <w:pPr>
        <w:pStyle w:val="Caption"/>
        <w:keepNext/>
      </w:pPr>
      <w:r>
        <w:t>表 6  样本量与噪声压力测试（每格 8 seeds）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200"/>
        <w:gridCol w:w="1200"/>
        <w:gridCol w:w="1300"/>
        <w:gridCol w:w="346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Noise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RF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ET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ΔR²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95% CI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500</w:t>
            </w:r>
          </w:p>
        </w:tc>
        <w:tc>
          <w:tcPr>
            <w:tcW w:type="dxa" w:w="1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0.3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0.4379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0.4655</w:t>
            </w:r>
          </w:p>
        </w:tc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+0.0275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[0.0222, 0.0333]</w:t>
            </w:r>
          </w:p>
        </w:tc>
      </w:tr>
      <w:tr>
        <w:trPr>
          <w:cantSplit/>
        </w:trPr>
        <w:tc>
          <w:tcPr>
            <w:tcW w:type="dxa" w:w="11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500</w:t>
            </w:r>
          </w:p>
        </w:tc>
        <w:tc>
          <w:tcPr>
            <w:tcW w:type="dxa" w:w="1100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0.9</w:t>
            </w:r>
          </w:p>
        </w:tc>
        <w:tc>
          <w:tcPr>
            <w:tcW w:type="dxa" w:w="12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0.4298</w:t>
            </w:r>
          </w:p>
        </w:tc>
        <w:tc>
          <w:tcPr>
            <w:tcW w:type="dxa" w:w="12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0.4537</w:t>
            </w:r>
          </w:p>
        </w:tc>
        <w:tc>
          <w:tcPr>
            <w:tcW w:type="dxa" w:w="13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+0.0239</w:t>
            </w:r>
          </w:p>
        </w:tc>
        <w:tc>
          <w:tcPr>
            <w:tcW w:type="dxa" w:w="34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[0.0188, 0.0290]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1200</w:t>
            </w:r>
          </w:p>
        </w:tc>
        <w:tc>
          <w:tcPr>
            <w:tcW w:type="dxa" w:w="1100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0.3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0.4858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0.5114</w:t>
            </w:r>
          </w:p>
        </w:tc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+0.0256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[0.0208, 0.0303]</w:t>
            </w:r>
          </w:p>
        </w:tc>
      </w:tr>
      <w:tr>
        <w:trPr>
          <w:cantSplit/>
        </w:trPr>
        <w:tc>
          <w:tcPr>
            <w:tcW w:type="dxa" w:w="11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1200</w:t>
            </w:r>
          </w:p>
        </w:tc>
        <w:tc>
          <w:tcPr>
            <w:tcW w:type="dxa" w:w="1100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0.9</w:t>
            </w:r>
          </w:p>
        </w:tc>
        <w:tc>
          <w:tcPr>
            <w:tcW w:type="dxa" w:w="12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0.4749</w:t>
            </w:r>
          </w:p>
        </w:tc>
        <w:tc>
          <w:tcPr>
            <w:tcW w:type="dxa" w:w="12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0.5016</w:t>
            </w:r>
          </w:p>
        </w:tc>
        <w:tc>
          <w:tcPr>
            <w:tcW w:type="dxa" w:w="13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+0.0267</w:t>
            </w:r>
          </w:p>
        </w:tc>
        <w:tc>
          <w:tcPr>
            <w:tcW w:type="dxa" w:w="34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[0.0237, 0.0295]</w:t>
            </w:r>
          </w:p>
        </w:tc>
      </w:tr>
    </w:tbl>
    <w:p>
      <w:pPr>
        <w:spacing w:after="40"/>
      </w:pP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四个压力条件的平均增益均为正且置信区间不跨 0（+0.0239 至 +0.0275）。这说明收益不局限于主实验的单一样本量或噪声水平；尤其在 n=500 的小样本条件下仍保持提升。</w:t>
      </w: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87079"/>
            <wp:docPr id="4" name="Picture 4" descr="图 4  样本量 × 嵌入噪声鲁棒性网格；每格数值为 ExtraTrees−RF 的配对宏平均 ΔR²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obustn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7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  样本量 × 嵌入噪声鲁棒性网格；每格数值为 ExtraTrees−RF 的配对宏平均 ΔR²。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计算成本方面，完整模型虽然把树数从 50 增至 100，但中位 fit+evaluation 时间从 3.19s 降至 2.71s。ExtraTrees 不搜索每个特征的最优切分点，因此在本机上抵消了树数增加的开销。该时间结论依赖硬件、线程调度与 scikit-learn 版本，应作为同机相对比较而非普适吞吐量保证。</w:t>
      </w: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78772"/>
            <wp:docPr id="5" name="Picture 5" descr="图 5  五个模型的准确率—计算时间关系。完整 ExtraTrees 同时位于更高 R² 与更短时间区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ccuracy_c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78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5  五个模型的准确率—计算时间关系。完整 ExtraTrees 同时位于更高 R² 与更短时间区域。</w:t>
      </w:r>
    </w:p>
    <w:p>
      <w:pPr>
        <w:pStyle w:val="Heading2"/>
      </w:pPr>
      <w:r>
        <w:t>7.1 维度恢复是否退化</w:t>
      </w:r>
    </w:p>
    <w:p>
      <w:pPr>
        <w:pStyle w:val="Caption"/>
        <w:keepNext/>
      </w:pPr>
      <w:r>
        <w:t>表 7  支持集恢复对比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000"/>
        <w:gridCol w:w="1000"/>
        <w:gridCol w:w="1300"/>
        <w:gridCol w:w="1300"/>
        <w:gridCol w:w="30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RF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ET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配对 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paired t 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Support mAP</w:t>
            </w:r>
          </w:p>
        </w:tc>
        <w:tc>
          <w:tcPr>
            <w:tcW w:type="dxa" w:w="10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0.8827</w:t>
            </w:r>
          </w:p>
        </w:tc>
        <w:tc>
          <w:tcPr>
            <w:tcW w:type="dxa" w:w="10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0.8901</w:t>
            </w:r>
          </w:p>
        </w:tc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+0.0074</w:t>
            </w:r>
          </w:p>
        </w:tc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0.101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小幅上升，但不显著</w:t>
            </w:r>
          </w:p>
        </w:tc>
      </w:tr>
      <w:tr>
        <w:trPr>
          <w:cantSplit/>
        </w:trPr>
        <w:tc>
          <w:tcPr>
            <w:tcW w:type="dxa" w:w="17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Recall@true-k</w:t>
            </w:r>
          </w:p>
        </w:tc>
        <w:tc>
          <w:tcPr>
            <w:tcW w:type="dxa" w:w="10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0.7806</w:t>
            </w:r>
          </w:p>
        </w:tc>
        <w:tc>
          <w:tcPr>
            <w:tcW w:type="dxa" w:w="10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0.7971</w:t>
            </w:r>
          </w:p>
        </w:tc>
        <w:tc>
          <w:tcPr>
            <w:tcW w:type="dxa" w:w="13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+0.0164</w:t>
            </w:r>
          </w:p>
        </w:tc>
        <w:tc>
          <w:tcPr>
            <w:tcW w:type="dxa" w:w="13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0.065</w:t>
            </w:r>
          </w:p>
        </w:tc>
        <w:tc>
          <w:tcPr>
            <w:tcW w:type="dxa" w:w="30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探索性改善，t 检验未过 0.05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Mapping Recall@3</w:t>
            </w:r>
          </w:p>
        </w:tc>
        <w:tc>
          <w:tcPr>
            <w:tcW w:type="dxa" w:w="10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0.9625</w:t>
            </w:r>
          </w:p>
        </w:tc>
        <w:tc>
          <w:tcPr>
            <w:tcW w:type="dxa" w:w="10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0.9625</w:t>
            </w:r>
          </w:p>
        </w:tc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-0.0000</w:t>
            </w:r>
          </w:p>
        </w:tc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1.000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完全保持</w:t>
            </w:r>
          </w:p>
        </w:tc>
      </w:tr>
    </w:tbl>
    <w:p>
      <w:pPr>
        <w:spacing w:after="40"/>
      </w:pPr>
    </w:p>
    <w:p>
      <w:pPr>
        <w:keepLines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438239"/>
            <wp:docPr id="6" name="Picture 6" descr="图 6  维度支持集恢复。完整 ExtraTrees 未牺牲基线的 Top-3 映射召回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upport_recove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38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6  维度支持集恢复。完整 ExtraTrees 未牺牲基线的 Top-3 映射召回。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这里的支持集指标使用两种模型各自的树内 feature_importances_，用于低成本二级检查；它不是论文在 100,000 样本上计算的置换重要性，因此不能替代真实数据上的 permutation-importance 复核。Support mAP 的 95% CI 跨 0，最稳妥结论是“未发现系统性退化”，而不是“可解释性显著提升”。</w:t>
      </w:r>
    </w:p>
    <w:p>
      <w:pPr>
        <w:pStyle w:val="Heading1"/>
      </w:pPr>
      <w:r>
        <w:t>8. 学术讨论</w:t>
      </w:r>
    </w:p>
    <w:p>
      <w:pPr>
        <w:pStyle w:val="Heading2"/>
      </w:pPr>
      <w:r>
        <w:t>8.1 对论文限制的回应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论文已表明多任务 Transformer 在 26 个变量上全面优于 RF，但其训练使用 5M 样本、60 epochs 和 32GB GPU。本研究提供了介于 RF 与 Transformer 之间的低成本改进：保持树模型的直接特征重要性和低工程复杂度，在 CPU 合成复现中取得约 5.1% 的宏平均 R² 相对增益。它不是对 Transformer 的替代性胜出，而是资源受限场景的合理 Pareto 改进。</w:t>
      </w:r>
    </w:p>
    <w:p>
      <w:pPr>
        <w:pStyle w:val="Heading2"/>
      </w:pPr>
      <w:r>
        <w:t>8.2 为什么城市变量收益最大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逐变量结果中 population_density 与 impervious_surface 的平均增益均约 +0.067。合成生成器用局部化的二维空间核构造城市变量，其响应面比温度等平滑梯度更非线性。随机阈值提供了更多样的局部划分，因而比高度相关的最优切分 RF 更容易通过集成逼近此类结构。这一机制解释与数据生成过程一致，但仍需真实城市指标验证。</w:t>
      </w:r>
    </w:p>
    <w:p>
      <w:pPr>
        <w:pStyle w:val="Heading2"/>
      </w:pPr>
      <w:r>
        <w:t>8.3 统计意义与实际意义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极小的 p 值来自高度一致的 seed 级配对差值，而不是人为扩大样本量。主增益 +0.0249 R² 的绝对幅度中等，但 20/20 seeds、空间留出增益与四格压力测试共同提高了证据可信度。对于已接近 1.0 的高信号变量，绝对提升自然较小；对局部非线性或较弱编码变量，提升更大。</w:t>
      </w:r>
    </w:p>
    <w:p>
      <w:pPr>
        <w:pStyle w:val="Heading1"/>
      </w:pPr>
      <w:r>
        <w:t>9. 威胁效度与潜在取舍</w:t>
      </w:r>
    </w:p>
    <w:p>
      <w:pPr>
        <w:pStyle w:val="Caption"/>
        <w:keepNext/>
      </w:pPr>
      <w:r>
        <w:t>表 8  内部与外部效度威胁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10"/>
        <w:gridCol w:w="425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威胁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缓解与后续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合成数据</w:t>
            </w:r>
          </w:p>
        </w:tc>
        <w:tc>
          <w:tcPr>
            <w:tcW w:type="dxa" w:w="32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缺少真实 AlphaEarth 光谱/时间/传感器结构</w:t>
            </w:r>
          </w:p>
        </w:tc>
        <w:tc>
          <w:tcPr>
            <w:tcW w:type="dxa" w:w="42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在真实 embedding + 26 ancillary variables 上原样复跑</w:t>
            </w:r>
          </w:p>
        </w:tc>
      </w:tr>
      <w:tr>
        <w:trPr>
          <w:cantSplit/>
        </w:trPr>
        <w:tc>
          <w:tcPr>
            <w:tcW w:type="dxa" w:w="19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样本规模</w:t>
            </w:r>
          </w:p>
        </w:tc>
        <w:tc>
          <w:tcPr>
            <w:tcW w:type="dxa" w:w="321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1,200 远小于论文 700k RF 子样本</w:t>
            </w:r>
          </w:p>
        </w:tc>
        <w:tc>
          <w:tcPr>
            <w:tcW w:type="dxa" w:w="425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增加 n 并记录收益曲线；验证 ExtraTrees 在大样本是否仍快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空间块方案</w:t>
            </w:r>
          </w:p>
        </w:tc>
        <w:tc>
          <w:tcPr>
            <w:tcW w:type="dxa" w:w="32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4° GroupShuffleSplit 与论文 2° 五折不完全相同</w:t>
            </w:r>
          </w:p>
        </w:tc>
        <w:tc>
          <w:tcPr>
            <w:tcW w:type="dxa" w:w="42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真实数据采用论文 2° GroupKFold，报告逐变量 gap</w:t>
            </w:r>
          </w:p>
        </w:tc>
      </w:tr>
      <w:tr>
        <w:trPr>
          <w:cantSplit/>
        </w:trPr>
        <w:tc>
          <w:tcPr>
            <w:tcW w:type="dxa" w:w="19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重要性类型</w:t>
            </w:r>
          </w:p>
        </w:tc>
        <w:tc>
          <w:tcPr>
            <w:tcW w:type="dxa" w:w="321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二级支持检查使用 impurity importance</w:t>
            </w:r>
          </w:p>
        </w:tc>
        <w:tc>
          <w:tcPr>
            <w:tcW w:type="dxa" w:w="425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最终 dimension dictionary 使用 permutation importance 与 bootstrap stability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超参数探索</w:t>
            </w:r>
          </w:p>
        </w:tc>
        <w:tc>
          <w:tcPr>
            <w:tcW w:type="dxa" w:w="32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仅比较有限树数与 max_features</w:t>
            </w:r>
          </w:p>
        </w:tc>
        <w:tc>
          <w:tcPr>
            <w:tcW w:type="dxa" w:w="42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嵌套 CV 或预注册更广搜索，防止选择偏差</w:t>
            </w:r>
          </w:p>
        </w:tc>
      </w:tr>
      <w:tr>
        <w:trPr>
          <w:cantSplit/>
        </w:trPr>
        <w:tc>
          <w:tcPr>
            <w:tcW w:type="dxa" w:w="19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多目标信息未利用</w:t>
            </w:r>
          </w:p>
        </w:tc>
        <w:tc>
          <w:tcPr>
            <w:tcW w:type="dxa" w:w="321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仍为 26 个独立模型</w:t>
            </w:r>
          </w:p>
        </w:tc>
        <w:tc>
          <w:tcPr>
            <w:tcW w:type="dxa" w:w="425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后续比较 MultiOutput ExtraTrees 与轻量多任务网络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运行时间外部性</w:t>
            </w:r>
          </w:p>
        </w:tc>
        <w:tc>
          <w:tcPr>
            <w:tcW w:type="dxa" w:w="321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并行库与硬件可能改变比例</w:t>
            </w:r>
          </w:p>
        </w:tc>
        <w:tc>
          <w:tcPr>
            <w:tcW w:type="dxa" w:w="425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报告 CPU/版本并在目标环境重复 benchmark</w:t>
            </w:r>
          </w:p>
        </w:tc>
      </w:tr>
    </w:tbl>
    <w:p>
      <w:pPr>
        <w:spacing w:after="40"/>
      </w:pP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潜在取舍包括：ExtraTrees 的随机阈值可能在极平滑、低噪声、可外推问题上增加偏差；树模型本身不能像线性模型那样向训练范围之外外推；双倍树数可能提高模型存储和推理内存，即使本机训练时间更短。本实验未序列化模型，因此没有量化磁盘和峰值内存，报告不作无证据的成本结论。</w:t>
      </w:r>
    </w:p>
    <w:p>
      <w:pPr>
        <w:pStyle w:val="Heading1"/>
      </w:pPr>
      <w:r>
        <w:t>10. 结论与建议</w:t>
      </w:r>
    </w:p>
    <w:p>
      <w:pPr>
        <w:keepLines/>
        <w:spacing w:before="100" w:after="140" w:line="300" w:lineRule="auto"/>
        <w:ind w:left="115" w:right="115"/>
        <w:shd w:fill="E8EEF5"/>
        <w:pBdr>
          <w:top w:val="single" w:sz="4" w:space="5" w:color="E8EEF5"/>
          <w:left w:val="single" w:sz="4" w:space="5" w:color="E8EEF5"/>
          <w:bottom w:val="single" w:sz="4" w:space="5" w:color="E8EEF5"/>
          <w:right w:val="single" w:sz="4" w:space="5" w:color="E8EEF5"/>
        </w:pBdr>
      </w:pPr>
      <w:r>
        <w:rPr>
          <w:rFonts w:ascii="Calibri" w:hAnsi="Calibri" w:eastAsia="Microsoft YaHei"/>
          <w:b/>
          <w:color w:val="203E5F"/>
          <w:sz w:val="22"/>
        </w:rPr>
        <w:t xml:space="preserve">结论 </w:t>
      </w:r>
      <w:r>
        <w:rPr>
          <w:rFonts w:ascii="Calibri" w:hAnsi="Calibri" w:eastAsia="Microsoft YaHei"/>
          <w:color w:val="111111"/>
          <w:sz w:val="22"/>
        </w:rPr>
        <w:t>在本复现的合成任务上，100-tree ExtraTrees（max_features=0.7）相对 50-tree RF 具有统计显著、空间稳健且计算更快的预测性能提升；Top-3 维度映射恢复不变。H1、H2 获支持，H3 未见反证。</w:t>
      </w: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建议将完整 ExtraTrees 配置作为更新代码库的默认“轻量改进候选”，但在真实 AlphaEarth 数据上完成以下门槛后再升级为论文级结论：（1）使用论文同源 26 变量和 2° GroupKFold；（2）至少 5 个数据/模型种子；（3）统一 permutation importance 子集；（4）同时报告 R²、空间 gap、重要性稳定性、训练/推理成本；（5）与原 RF 和轻量 Transformer/多输出树共同比较。</w:t>
      </w:r>
    </w:p>
    <w:p>
      <w:pPr>
        <w:pStyle w:val="Heading1"/>
      </w:pPr>
      <w:r>
        <w:t>附录 A：一键复现与产物</w:t>
      </w:r>
    </w:p>
    <w:p>
      <w:pPr>
        <w:pStyle w:val="Caption"/>
        <w:keepNext/>
      </w:pPr>
      <w:r>
        <w:t>表 A1  复现实验命令与审计产物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  <w:cantSplit/>
        </w:trP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命令/文件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3E5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python -m pytest tests/test_improvement.py</w:t>
            </w:r>
          </w:p>
        </w:tc>
        <w:tc>
          <w:tcPr>
            <w:tcW w:type="dxa" w:w="55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运行 3 个核心回归测试</w:t>
            </w:r>
          </w:p>
        </w:tc>
      </w:tr>
      <w:tr>
        <w:trPr>
          <w:cantSplit/>
        </w:trPr>
        <w:tc>
          <w:tcPr>
            <w:tcW w:type="dxa" w:w="38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python experiments/run_improvement_experiment.py</w:t>
            </w:r>
          </w:p>
        </w:tc>
        <w:tc>
          <w:tcPr>
            <w:tcW w:type="dxa" w:w="55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完整 20-seed 实验、统计与图表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results/improvement/aggregate_metrics.csv</w:t>
            </w:r>
          </w:p>
        </w:tc>
        <w:tc>
          <w:tcPr>
            <w:tcW w:type="dxa" w:w="55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seed/model/condition 级聚合结果</w:t>
            </w:r>
          </w:p>
        </w:tc>
      </w:tr>
      <w:tr>
        <w:trPr>
          <w:cantSplit/>
        </w:trPr>
        <w:tc>
          <w:tcPr>
            <w:tcW w:type="dxa" w:w="38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results/improvement/per_variable_metrics.csv</w:t>
            </w:r>
          </w:p>
        </w:tc>
        <w:tc>
          <w:tcPr>
            <w:tcW w:type="dxa" w:w="55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逐变量原始测试 R²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results/improvement/experiment_summary.json</w:t>
            </w:r>
          </w:p>
        </w:tc>
        <w:tc>
          <w:tcPr>
            <w:tcW w:type="dxa" w:w="55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配置、软件元数据、CI、检验、消融、鲁棒性</w:t>
            </w:r>
          </w:p>
        </w:tc>
      </w:tr>
      <w:tr>
        <w:trPr>
          <w:cantSplit/>
        </w:trPr>
        <w:tc>
          <w:tcPr>
            <w:tcW w:type="dxa" w:w="380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results/improvement/figures/</w:t>
            </w:r>
          </w:p>
        </w:tc>
        <w:tc>
          <w:tcPr>
            <w:tcW w:type="dxa" w:w="5560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6 张报告级 PNG</w:t>
            </w:r>
          </w:p>
        </w:tc>
      </w:tr>
      <w:tr>
        <w:trPr>
          <w:cantSplit/>
        </w:trPr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IMPROVEMENT_NOTES.md</w:t>
            </w:r>
          </w:p>
        </w:tc>
        <w:tc>
          <w:tcPr>
            <w:tcW w:type="dxa" w:w="5560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修改说明与复现入口</w:t>
            </w:r>
          </w:p>
        </w:tc>
      </w:tr>
    </w:tbl>
    <w:p>
      <w:pPr>
        <w:spacing w:after="40"/>
      </w:pPr>
    </w:p>
    <w:p>
      <w:pPr>
        <w:keepLines w:val="0"/>
        <w:spacing w:after="160" w:line="320" w:lineRule="auto"/>
      </w:pPr>
      <w:r>
        <w:rPr>
          <w:rFonts w:ascii="Calibri" w:hAnsi="Calibri" w:eastAsia="Microsoft YaHei"/>
          <w:color w:val="111111"/>
          <w:sz w:val="22"/>
        </w:rPr>
        <w:t>完整代码修改位于独立 Git 分支中；新增模块和生成器变更均带显式标记。实验结果 CSV/JSON 已纳入仓库，因此读者可以先审计数字，再选择是否重新运行约 9 分钟的完整实验。</w:t>
      </w:r>
    </w:p>
    <w:p>
      <w:pPr>
        <w:pStyle w:val="Heading1"/>
      </w:pPr>
      <w:r>
        <w:t>参考文献</w:t>
      </w:r>
    </w:p>
    <w:p>
      <w:pPr>
        <w:keepLines w:val="0"/>
        <w:spacing w:after="100" w:line="276" w:lineRule="auto"/>
        <w:ind w:left="360" w:hanging="360"/>
        <w:jc w:val="left"/>
      </w:pPr>
      <w:r>
        <w:rPr>
          <w:rFonts w:ascii="Calibri" w:hAnsi="Calibri" w:eastAsia="Microsoft YaHei"/>
          <w:color w:val="111111"/>
          <w:sz w:val="22"/>
        </w:rPr>
        <w:t>[1] Rahman, M. (2026). Physically Interpretable AlphaEarth Foundation Model Embeddings Enable LLM-Based Land Surface Intelligence. arXiv:2602.10354. https://arxiv.org/abs/2602.10354</w:t>
      </w:r>
    </w:p>
    <w:p>
      <w:pPr>
        <w:keepLines w:val="0"/>
        <w:spacing w:after="100" w:line="276" w:lineRule="auto"/>
        <w:ind w:left="360" w:hanging="360"/>
        <w:jc w:val="left"/>
      </w:pPr>
      <w:r>
        <w:rPr>
          <w:rFonts w:ascii="Calibri" w:hAnsi="Calibri" w:eastAsia="Microsoft YaHei"/>
          <w:color w:val="111111"/>
          <w:sz w:val="22"/>
        </w:rPr>
        <w:t>[2] Breiman, L. (2001). Random Forests. Machine Learning, 45, 5–32. https://doi.org/10.1023/A:1010933404324</w:t>
      </w:r>
    </w:p>
    <w:p>
      <w:pPr>
        <w:keepLines w:val="0"/>
        <w:spacing w:after="100" w:line="276" w:lineRule="auto"/>
        <w:ind w:left="360" w:hanging="360"/>
        <w:jc w:val="left"/>
      </w:pPr>
      <w:r>
        <w:rPr>
          <w:rFonts w:ascii="Calibri" w:hAnsi="Calibri" w:eastAsia="Microsoft YaHei"/>
          <w:color w:val="111111"/>
          <w:sz w:val="22"/>
        </w:rPr>
        <w:t>[3] Geurts, P., Ernst, D., &amp; Wehenkel, L. (2006). Extremely Randomized Trees. Machine Learning, 63, 3–42. https://doi.org/10.1007/s10994-006-6226-1</w:t>
      </w:r>
    </w:p>
    <w:p>
      <w:pPr>
        <w:keepLines w:val="0"/>
        <w:spacing w:after="100" w:line="276" w:lineRule="auto"/>
        <w:ind w:left="360" w:hanging="360"/>
        <w:jc w:val="left"/>
      </w:pPr>
      <w:r>
        <w:rPr>
          <w:rFonts w:ascii="Calibri" w:hAnsi="Calibri" w:eastAsia="Microsoft YaHei"/>
          <w:color w:val="111111"/>
          <w:sz w:val="22"/>
        </w:rPr>
        <w:t>[4] scikit-learn developers. Ensemble methods: Random forests and extremely randomized trees. https://scikit-learn.org/stable/modules/ensemble.html</w:t>
      </w:r>
    </w:p>
    <w:p>
      <w:pPr>
        <w:keepLines w:val="0"/>
        <w:spacing w:after="100" w:line="276" w:lineRule="auto"/>
        <w:ind w:left="360" w:hanging="360"/>
        <w:jc w:val="left"/>
      </w:pPr>
      <w:r>
        <w:rPr>
          <w:rFonts w:ascii="Calibri" w:hAnsi="Calibri" w:eastAsia="Microsoft YaHei"/>
          <w:color w:val="111111"/>
          <w:sz w:val="22"/>
        </w:rPr>
        <w:t>[5] chabingcha. alphaearth-reproduction. GitHub repository. https://github.com/chabingcha/alphaearth-reproduction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788"/>
        <w:sz w:val="18"/>
      </w:rPr>
      <w:t xml:space="preserve">Page </w:t>
    </w:r>
    <w:r>
      <w:rPr>
        <w:rFonts w:ascii="Calibri" w:hAnsi="Calibri" w:eastAsia="Microsoft YaHei"/>
        <w:color w:val="66778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788"/>
        <w:sz w:val="17"/>
      </w:rPr>
      <w:t>AlphaEarth Embedding Interpretability | Improvement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03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03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  <w:jc w:val="center"/>
    </w:pPr>
    <w:rPr>
      <w:rFonts w:ascii="Calibri" w:hAnsi="Calibri" w:eastAsia="Microsoft YaHei"/>
      <w:b/>
      <w:bCs/>
      <w:i/>
      <w:color w:val="66778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