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 w:line="240" w:lineRule="auto"/>
        <w:jc w:val="center"/>
      </w:pPr>
      <w:r>
        <w:rPr>
          <w:rFonts w:ascii="黑体" w:hAnsi="黑体" w:eastAsia="黑体" w:cs="黑体"/>
          <w:b w:val="0"/>
          <w:i w:val="0"/>
          <w:sz w:val="28"/>
        </w:rPr>
        <w:t>Q1 建模流程与逻辑框架总结（本方案）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/>
          <w:i w:val="0"/>
          <w:sz w:val="24"/>
        </w:rPr>
        <w:t>范围</w:t>
      </w:r>
      <w:r>
        <w:rPr>
          <w:rFonts w:ascii="宋体" w:hAnsi="宋体" w:eastAsia="宋体" w:cs="宋体"/>
          <w:b w:val="0"/>
          <w:i w:val="0"/>
          <w:sz w:val="24"/>
        </w:rPr>
        <w:t>：仅问题一。逐节给出本方案在「总体思路 / 关键判断 / 每一步的取舍与代价」上的对应内容。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/>
          <w:i w:val="0"/>
          <w:sz w:val="24"/>
        </w:rPr>
        <w:t>日期</w:t>
      </w:r>
      <w:r>
        <w:rPr>
          <w:rFonts w:ascii="宋体" w:hAnsi="宋体" w:eastAsia="宋体" w:cs="宋体"/>
          <w:b w:val="0"/>
          <w:i w:val="0"/>
          <w:sz w:val="24"/>
        </w:rPr>
        <w:t>：2026-09-26</w:t>
      </w:r>
    </w:p>
    <w:p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1. 总体思路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问题1的核心目标是：</w:t>
      </w:r>
    </w:p>
    <w:p>
      <w:pPr>
        <w:spacing w:before="80" w:after="80" w:line="240" w:lineRule="auto"/>
        <w:ind w:left="425"/>
        <w:jc w:val="left"/>
      </w:pPr>
      <w:r>
        <w:rPr>
          <w:rFonts w:ascii="楷体" w:hAnsi="楷体" w:eastAsia="楷体" w:cs="楷体"/>
          <w:b w:val="0"/>
          <w:i w:val="0"/>
          <w:sz w:val="24"/>
        </w:rPr>
        <w:t>从附件1的100条原始视频出发，分别提取文本、语音、视觉情感特征，以实测视频流时长为统一时间基准，采用等分 50 槽的定长归约把三模态聚合到同一坐标系，输出与附件2/3/4 官方接口同形的100条三模态时序特征。文本模态不含逐词时间戳，故先做一次强制对齐取得实测词时刻，再按可机检的对齐质量把样本路由为「实测档」与「均匀假设档」，两档分别标注。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整体流程如下：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附件1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100个原始 MP4（分属 37 个 video_id）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+ label-100.xlsx 官方文本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│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▼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① 样本身份与数据质量检查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sample_key = video_id$_$clip_id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MP4 / official text 一一对应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│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▼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② 建立统一时间基准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T = ffprobe 视频流时长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slot_edges = linspace(0, T, 51)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T 随特征落盘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│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├─────────────┬─────────────┐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▼             ▼             ▼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③ 文本特征       ③ 语音特征       ③ 视觉特征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official text     MP4实际音轨      MP4实际画面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RoBERTa-base     librosa          MTCNN → ResNet-50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subword hidden   16 kHz mono      → 固定随机投影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word 平均      win1024/hop800   2048 → 35 维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768维            20 Hz 帧         15 Hz 抽帧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74维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│             │             │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▼             │             │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④ 文本强制对齐（仅文本支路的前置）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stable-ts 2.19.1 + whisper base.en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官方词 → 实测半开区间 [start, end)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逐样本给出证据路由档位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word_level / clip_level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│             │             │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└─────────────┴─────────────┘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▼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⑤ 按公共时间轴归约到 50 槽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k(t) = clip(floor(t·S/T), 0, S-1)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槽内均值聚合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文本时间基准按路由逐样本选用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│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▼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⑥ 输出100条正式特征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features_q1.npz（变长 + offsets）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+ alignment_q1.json + summary_q1.csv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+ anomaly_ledger.csv + extract_config.json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│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▼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⑦ 全量验证与复现闭环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13 项机器核验 V1–V13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17,772 条断言 / 0 失败</w:t>
      </w:r>
    </w:p>
    <w:p>
      <w:pPr>
        <w:spacing w:before="0" w:after="80" w:line="240" w:lineRule="auto"/>
        <w:jc w:val="left"/>
      </w:pPr>
    </w:p>
    <w:p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2. 三模态特征建模</w:t>
      </w:r>
    </w:p>
    <w:p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2.1 文本模态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文本输入使用 </w:t>
      </w:r>
      <w:r>
        <w:rPr>
          <w:rFonts w:ascii="Consolas" w:hAnsi="Consolas" w:eastAsia="Consolas" w:cs="Consolas"/>
          <w:b w:val="0"/>
          <w:i w:val="0"/>
          <w:sz w:val="21"/>
        </w:rPr>
        <w:t>label-100.xlsx</w:t>
      </w:r>
      <w:r>
        <w:rPr>
          <w:rFonts w:ascii="宋体" w:hAnsi="宋体" w:eastAsia="宋体" w:cs="宋体"/>
          <w:b w:val="0"/>
          <w:i w:val="0"/>
          <w:sz w:val="24"/>
        </w:rPr>
        <w:t xml:space="preserve"> 中的官方 </w:t>
      </w:r>
      <w:r>
        <w:rPr>
          <w:rFonts w:ascii="Consolas" w:hAnsi="Consolas" w:eastAsia="Consolas" w:cs="Consolas"/>
          <w:b w:val="0"/>
          <w:i w:val="0"/>
          <w:sz w:val="21"/>
        </w:rPr>
        <w:t>text</w:t>
      </w:r>
      <w:r>
        <w:rPr>
          <w:rFonts w:ascii="宋体" w:hAnsi="宋体" w:eastAsia="宋体" w:cs="宋体"/>
          <w:b w:val="0"/>
          <w:i w:val="0"/>
          <w:sz w:val="24"/>
        </w:rPr>
        <w:t>。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official text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RoBERTa-base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subword hidden states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按原文字符区间平均回 word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每个 word 得到 768 维文本特征</w:t>
      </w:r>
    </w:p>
    <w:p>
      <w:pPr>
        <w:spacing w:before="0" w:after="80" w:line="240" w:lineRule="auto"/>
        <w:jc w:val="left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每条样本的词数为 </w:t>
      </w:r>
      <m:oMath>
        <m:r>
          <w:rPr>
            <w:rFonts w:ascii="Cambria Math" w:hAnsi="Cambria Math" w:eastAsia="Cambria Math"/>
          </w:rPr>
          <m:t>W</m:t>
        </m:r>
      </m:oMath>
      <w:r>
        <w:rPr>
          <w:rFonts w:ascii="宋体" w:hAnsi="宋体" w:eastAsia="宋体" w:cs="宋体"/>
          <w:b w:val="0"/>
          <w:i w:val="0"/>
          <w:sz w:val="24"/>
        </w:rPr>
        <w:t xml:space="preserve">，词级特征的序列长度为 </w:t>
      </w:r>
      <m:oMath>
        <m:r>
          <w:rPr>
            <w:rFonts w:ascii="Cambria Math" w:hAnsi="Cambria Math" w:eastAsia="Cambria Math"/>
          </w:rPr>
          <m:t>W</m:t>
        </m:r>
      </m:oMath>
      <w:r>
        <w:rPr>
          <w:rFonts w:ascii="宋体" w:hAnsi="宋体" w:eastAsia="宋体" w:cs="宋体"/>
          <w:b w:val="0"/>
          <w:i w:val="0"/>
          <w:sz w:val="24"/>
        </w:rPr>
        <w:t>，100 条合计 2,191 个词，单元数区间 5–78。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/>
          <w:i w:val="0"/>
          <w:sz w:val="24"/>
        </w:rPr>
        <w:t>文本时间基准（逐样本二选一）</w:t>
      </w:r>
      <w:r>
        <w:rPr>
          <w:rFonts w:ascii="宋体" w:hAnsi="宋体" w:eastAsia="宋体" w:cs="宋体"/>
          <w:b w:val="0"/>
          <w:i w:val="0"/>
          <w:sz w:val="24"/>
        </w:rPr>
        <w:t>：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文本本身不含逐词时间戳。对每一条样本，把官方文本强制对齐到该样本的音轨，再按对齐质量决定这条样本的文本时间基准：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official text + 原MP4音轨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stable-ts 2.19.1（openai-whisper base.en）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逐词实测半开区间 [start, end)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区间中心作为词时刻</w:t>
      </w:r>
    </w:p>
    <w:p>
      <w:pPr>
        <w:spacing w:before="0" w:after="80" w:line="240" w:lineRule="auto"/>
        <w:jc w:val="left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路由判据（三个条件同时成立才升为 </w:t>
      </w:r>
      <w:r>
        <w:rPr>
          <w:rFonts w:ascii="Consolas" w:hAnsi="Consolas" w:eastAsia="Consolas" w:cs="Consolas"/>
          <w:b w:val="0"/>
          <w:i w:val="0"/>
          <w:sz w:val="21"/>
        </w:rPr>
        <w:t>word_level</w:t>
      </w:r>
      <w:r>
        <w:rPr>
          <w:rFonts w:ascii="宋体" w:hAnsi="宋体" w:eastAsia="宋体" w:cs="宋体"/>
          <w:b w:val="0"/>
          <w:i w:val="0"/>
          <w:sz w:val="24"/>
        </w:rPr>
        <w:t>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档位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判据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文本时间基准</w:t>
            </w:r>
          </w:p>
        </w:tc>
      </w:tr>
      <w:tr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word_level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官方每个词都对齐到、无零时长词、区间不越出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[0,T]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实测词时刻（区间中心）</w:t>
            </w:r>
          </w:p>
        </w:tc>
      </w:tr>
      <w:tr>
        <w:tc>
          <w:tcPr>
            <w:tcW w:type="dxa" w:w="2771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clip_level</w:t>
            </w:r>
          </w:p>
        </w:tc>
        <w:tc>
          <w:tcPr>
            <w:tcW w:type="dxa" w:w="2771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其余全部样本</w:t>
            </w:r>
          </w:p>
        </w:tc>
        <w:tc>
          <w:tcPr>
            <w:tcW w:type="dxa" w:w="2771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均匀假设 </w:t>
            </w:r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Cambria Math"/>
                    </w:rPr>
                    <m:t>j</m:t>
                  </m:r>
                </m:sub>
              </m:sSub>
              <m:r>
                <w:rPr>
                  <w:rFonts w:ascii="Cambria Math" w:hAnsi="Cambria Math" w:eastAsia="Cambria Math"/>
                </w:rPr>
                <m:t>=</m:t>
              </m:r>
              <m:r>
                <w:rPr>
                  <w:rFonts w:ascii="Cambria Math" w:hAnsi="Cambria Math" w:eastAsia="Cambria Math"/>
                </w:rPr>
                <m:t>(</m:t>
              </m:r>
              <m:r>
                <w:rPr>
                  <w:rFonts w:ascii="Cambria Math" w:hAnsi="Cambria Math" w:eastAsia="Cambria Math"/>
                </w:rPr>
                <m:t>j</m:t>
              </m:r>
              <m:r>
                <w:rPr>
                  <w:rFonts w:ascii="Cambria Math" w:hAnsi="Cambria Math" w:eastAsia="Cambria Math"/>
                </w:rPr>
                <m:t>+</m:t>
              </m:r>
              <m:r>
                <w:rPr>
                  <w:rFonts w:ascii="Cambria Math" w:hAnsi="Cambria Math" w:eastAsia="Cambria Math"/>
                </w:rPr>
                <m:t>0</m:t>
              </m:r>
              <m:r>
                <w:rPr>
                  <w:rFonts w:ascii="Cambria Math" w:hAnsi="Cambria Math" w:eastAsia="Cambria Math"/>
                </w:rPr>
                <m:t>.</m:t>
              </m:r>
              <m:r>
                <w:rPr>
                  <w:rFonts w:ascii="Cambria Math" w:hAnsi="Cambria Math" w:eastAsia="Cambria Math"/>
                </w:rPr>
                <m:t>5</m:t>
              </m:r>
              <m:r>
                <w:rPr>
                  <w:rFonts w:ascii="Cambria Math" w:hAnsi="Cambria Math" w:eastAsia="Cambria Math"/>
                </w:rPr>
                <m:t>)</m:t>
              </m:r>
              <m:r>
                <w:rPr>
                  <w:rFonts w:ascii="Cambria Math" w:hAnsi="Cambria Math" w:eastAsia="Cambria Math"/>
                </w:rPr>
                <m:t>T</m:t>
              </m:r>
              <m:r>
                <w:rPr>
                  <w:rFonts w:ascii="Cambria Math" w:hAnsi="Cambria Math" w:eastAsia="Cambria Math"/>
                </w:rPr>
                <m:t>/</m:t>
              </m:r>
              <m:r>
                <w:rPr>
                  <w:rFonts w:ascii="Cambria Math" w:hAnsi="Cambria Math" w:eastAsia="Cambria Math"/>
                </w:rPr>
                <m:t>W</m:t>
              </m:r>
            </m:oMath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，并如实标注</w:t>
            </w:r>
          </w:p>
        </w:tc>
      </w:tr>
    </w:tbl>
    <w:p>
      <w:pPr>
        <w:spacing w:after="0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100 条实测：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项</w:t>
            </w:r>
          </w:p>
        </w:tc>
        <w:tc>
          <w:tcPr>
            <w:tcW w:type="dxa" w:w="4156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数值</w:t>
            </w:r>
          </w:p>
        </w:tc>
      </w:tr>
      <w:tr>
        <w:tc>
          <w:tcPr>
            <w:tcW w:type="dxa" w:w="4156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word_level</w:t>
            </w:r>
          </w:p>
        </w:tc>
        <w:tc>
          <w:tcPr>
            <w:tcW w:type="dxa" w:w="4156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</w:t>
            </w:r>
          </w:p>
        </w:tc>
      </w:tr>
      <w:tr>
        <w:tc>
          <w:tcPr>
            <w:tcW w:type="dxa" w:w="4156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clip_level</w:t>
            </w:r>
          </w:p>
        </w:tc>
        <w:tc>
          <w:tcPr>
            <w:tcW w:type="dxa" w:w="4156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93</w:t>
            </w:r>
          </w:p>
        </w:tc>
      </w:tr>
      <w:tr>
        <w:tc>
          <w:tcPr>
            <w:tcW w:type="dxa" w:w="4156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官方词数合计</w:t>
            </w:r>
          </w:p>
        </w:tc>
        <w:tc>
          <w:tcPr>
            <w:tcW w:type="dxa" w:w="4156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2,191</w:t>
            </w:r>
          </w:p>
        </w:tc>
      </w:tr>
      <w:tr>
        <w:tc>
          <w:tcPr>
            <w:tcW w:type="dxa" w:w="4156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对齐出词数合计</w:t>
            </w:r>
          </w:p>
        </w:tc>
        <w:tc>
          <w:tcPr>
            <w:tcW w:type="dxa" w:w="4156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798</w:t>
            </w:r>
          </w:p>
        </w:tc>
      </w:tr>
      <w:tr>
        <w:tc>
          <w:tcPr>
            <w:tcW w:type="dxa" w:w="4156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词恢复率</w:t>
            </w:r>
          </w:p>
        </w:tc>
        <w:tc>
          <w:tcPr>
            <w:tcW w:type="dxa" w:w="4156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36.4%</w:t>
            </w:r>
          </w:p>
        </w:tc>
      </w:tr>
    </w:tbl>
    <w:p>
      <w:pPr>
        <w:spacing w:after="0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词恢复率 36.4% 说明多数样本的官方文本与实际语音内容对不上，对齐器只能放下它真听到的词。此时词序与词数都已不再对应，故这些样本保持均匀假设，并在字段中标明——不把「对齐器的输出」写成「官方文本的时间」。</w:t>
      </w:r>
    </w:p>
    <w:p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2.2 语音模态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原MP4音轨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librosa 解码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16 kHz mono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win_length=1024 / hop_length=800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帧率 20 Hz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74 维 = MFCC20 + ΔMFCC20 + ΔΔMFCC20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+ logF0 + voiced_prob + logRMS + ZCR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+ 谱质心 / 带宽 / 滚降 / 平坦度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+ 谱对比度5 + VAD</w:t>
      </w:r>
    </w:p>
    <w:p>
      <w:pPr>
        <w:spacing w:before="0" w:after="80" w:line="240" w:lineRule="auto"/>
        <w:jc w:val="left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每个声学帧保存实测 </w:t>
      </w:r>
      <w:r>
        <w:rPr>
          <w:rFonts w:ascii="Consolas" w:hAnsi="Consolas" w:eastAsia="Consolas" w:cs="Consolas"/>
          <w:b w:val="0"/>
          <w:i w:val="0"/>
          <w:sz w:val="21"/>
        </w:rPr>
        <w:t>pts</w:t>
      </w:r>
      <w:r>
        <w:rPr>
          <w:rFonts w:ascii="宋体" w:hAnsi="宋体" w:eastAsia="宋体" w:cs="宋体"/>
          <w:b w:val="0"/>
          <w:i w:val="0"/>
          <w:sz w:val="24"/>
        </w:rPr>
        <w:t>，不使用帧序号推算时间。100 条合计 15,588 个声学帧，单元数区间 45–583。</w:t>
      </w:r>
    </w:p>
    <w:p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2.3 视觉模态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原MP4视频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15 Hz 抽帧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MTCNN 人脸检测（keep_all=False，取主脸）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ResNet-50 全局池化 → 2048 维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固定随机投影 R ∈ R^{2048×35}，N(0, 1/2048)，seed=42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→ 35 维视觉特征</w:t>
      </w:r>
    </w:p>
    <w:p>
      <w:pPr>
        <w:spacing w:before="0" w:after="80" w:line="240" w:lineRule="auto"/>
        <w:jc w:val="left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固定随机投影矩阵为全批次共享的单一矩阵，</w:t>
      </w:r>
      <w:r>
        <w:rPr>
          <w:rFonts w:ascii="Consolas" w:hAnsi="Consolas" w:eastAsia="Consolas" w:cs="Consolas"/>
          <w:b w:val="0"/>
          <w:i w:val="0"/>
          <w:sz w:val="21"/>
        </w:rPr>
        <w:t>matrix_md5 = 992b29b991cd23f90ea31f7689ca218b</w:t>
      </w:r>
      <w:r>
        <w:rPr>
          <w:rFonts w:ascii="宋体" w:hAnsi="宋体" w:eastAsia="宋体" w:cs="宋体"/>
          <w:b w:val="0"/>
          <w:i w:val="0"/>
          <w:sz w:val="24"/>
        </w:rPr>
        <w:t>。100 条合计 11,790 帧，单元数区间 34–438。</w:t>
      </w:r>
    </w:p>
    <w:p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3. 核心逻辑：统一归约到 50 槽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本方案的核心逻辑是：</w:t>
      </w:r>
    </w:p>
    <w:p>
      <w:pPr>
        <w:spacing w:before="80" w:after="80" w:line="240" w:lineRule="auto"/>
        <w:ind w:left="425"/>
        <w:jc w:val="left"/>
      </w:pPr>
      <w:r>
        <w:rPr>
          <w:rFonts w:ascii="楷体" w:hAnsi="楷体" w:eastAsia="楷体" w:cs="楷体"/>
          <w:b w:val="0"/>
          <w:i w:val="0"/>
          <w:sz w:val="24"/>
        </w:rPr>
        <w:t>三模态统一归约到等分 50 槽，形状对齐官方接口；每一槽的填充来源与有效性逐格标注。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归约函数：</w:t>
      </w:r>
    </w:p>
    <w:p>
      <w:pPr>
        <w:spacing w:before="120" w:after="120" w:line="240" w:lineRule="auto"/>
        <w:jc w:val="center"/>
      </w:pPr>
      <m:oMath>
        <m:r>
          <w:rPr>
            <w:rFonts w:ascii="Cambria Math" w:hAnsi="Cambria Math" w:eastAsia="Cambria Math"/>
          </w:rPr>
          <m:t>k</m:t>
        </m:r>
        <m:r>
          <w:rPr>
            <w:rFonts w:ascii="Cambria Math" w:hAnsi="Cambria Math" w:eastAsia="Cambria Math"/>
          </w:rPr>
          <m:t>(</m:t>
        </m:r>
        <m:r>
          <w:rPr>
            <w:rFonts w:ascii="Cambria Math" w:hAnsi="Cambria Math" w:eastAsia="Cambria Math"/>
          </w:rPr>
          <m:t>t</m:t>
        </m:r>
        <m:r>
          <w:rPr>
            <w:rFonts w:ascii="Cambria Math" w:hAnsi="Cambria Math" w:eastAsia="Cambria Math"/>
          </w:rPr>
          <m:t>)</m:t>
        </m:r>
        <m:r>
          <w:rPr>
            <w:rFonts w:ascii="Cambria Math" w:hAnsi="Cambria Math" w:eastAsia="Cambria Math"/>
          </w:rPr>
          <m:t>=</m:t>
        </m:r>
        <m:r>
          <m:rPr>
            <m:sty m:val="p"/>
          </m:rPr>
          <w:rPr>
            <w:rFonts w:ascii="Cambria Math" w:hAnsi="Cambria Math" w:eastAsia="Cambria Math"/>
          </w:rPr>
          <m:t xml:space="preserve">clip</m:t>
        </m:r>
        <m:r>
          <w:rPr>
            <w:rFonts w:ascii="Cambria Math" w:hAnsi="Cambria Math" w:eastAsia="Cambria Math"/>
          </w:rPr>
          <m:t>!</m:t>
        </m:r>
        <m:d>
          <m:dPr>
            <m:begChr m:val="("/>
            <m:endChr m:val=")"/>
          </m:dPr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</w:rPr>
                  <m:t xml:space="preserve">lfloor</m:t>
                </m:r>
                <m:f>
                  <m:num>
                    <m:r>
                      <w:rPr>
                        <w:rFonts w:ascii="Cambria Math" w:hAnsi="Cambria Math" w:eastAsia="Cambria Math"/>
                      </w:rPr>
                      <m:t>t</m:t>
                    </m:r>
                    <m:r>
                      <w:rPr>
                        <w:rFonts w:ascii="Cambria Math" w:hAnsi="Cambria Math" w:eastAsia="Cambria Math"/>
                      </w:rPr>
                      <m:t xml:space="preserve"> </m:t>
                    </m:r>
                    <m:r>
                      <w:rPr>
                        <w:rFonts w:ascii="Cambria Math" w:hAnsi="Cambria Math" w:eastAsia="Cambria Math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 w:eastAsia="Cambria Math"/>
                      </w:rPr>
                      <m:t>T</m:t>
                    </m:r>
                  </m:den>
                </m:f>
              </m:e>
            </m:d>
          </m:e>
        </m:d>
        <m:r>
          <m:rPr>
            <m:sty m:val="p"/>
          </m:rPr>
          <w:rPr>
            <w:rFonts w:ascii="Cambria Math" w:hAnsi="Cambria Math" w:eastAsia="Cambria Math"/>
          </w:rPr>
          <m:t xml:space="preserve">rfloor</m:t>
        </m:r>
        <m:r>
          <w:rPr>
            <w:rFonts w:ascii="Cambria Math" w:hAnsi="Cambria Math" w:eastAsia="Cambria Math"/>
          </w:rPr>
          <m:t>,</m:t>
        </m:r>
        <m:r>
          <w:rPr>
            <w:rFonts w:ascii="Cambria Math" w:hAnsi="Cambria Math" w:eastAsia="Cambria Math"/>
          </w:rPr>
          <m:t xml:space="preserve"> </m:t>
        </m:r>
        <m:r>
          <w:rPr>
            <w:rFonts w:ascii="Cambria Math" w:hAnsi="Cambria Math" w:eastAsia="Cambria Math"/>
          </w:rPr>
          <m:t>0</m:t>
        </m:r>
        <m:r>
          <w:rPr>
            <w:rFonts w:ascii="Cambria Math" w:hAnsi="Cambria Math" w:eastAsia="Cambria Math"/>
          </w:rPr>
          <m:t>,</m:t>
        </m:r>
        <m:r>
          <w:rPr>
            <w:rFonts w:ascii="Cambria Math" w:hAnsi="Cambria Math" w:eastAsia="Cambria Math"/>
          </w:rPr>
          <m:t xml:space="preserve"> </m:t>
        </m:r>
        <m:r>
          <w:rPr>
            <w:rFonts w:ascii="Cambria Math" w:hAnsi="Cambria Math" w:eastAsia="Cambria Math"/>
          </w:rPr>
          <m:t>S</m:t>
        </m:r>
        <m:r>
          <w:rPr>
            <w:rFonts w:ascii="Cambria Math" w:hAnsi="Cambria Math" w:eastAsia="Cambria Math"/>
          </w:rPr>
          <m:t>-</m:t>
        </m:r>
        <m:r>
          <w:rPr>
            <w:rFonts w:ascii="Cambria Math" w:hAnsi="Cambria Math" w:eastAsia="Cambria Math"/>
          </w:rPr>
          <m:t>1</m:t>
        </m:r>
        <m:r>
          <w:rPr>
            <w:rFonts w:ascii="Cambria Math" w:hAnsi="Cambria Math" w:eastAsia="Cambria Math"/>
          </w:rPr>
          <m:t>)</m:t>
        </m:r>
      </m:oMath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槽内所有观测单元取均值：</w:t>
      </w:r>
    </w:p>
    <w:p>
      <w:pPr>
        <w:spacing w:before="120" w:after="120" w:line="240" w:lineRule="auto"/>
        <w:jc w:val="center"/>
      </w:pPr>
      <m:oMath>
        <m:sSub>
          <m:e>
            <m:r>
              <m:rPr>
                <m:sty m:val="b"/>
              </m:rPr>
              <w:rPr>
                <w:rFonts w:ascii="Cambria Math" w:hAnsi="Cambria Math" w:eastAsia="Cambria Math"/>
              </w:rPr>
              <m:t xml:space="preserve">X</m:t>
            </m:r>
          </m:e>
          <m:sub>
            <m:r>
              <w:rPr>
                <w:rFonts w:ascii="Cambria Math" w:hAnsi="Cambria Math" w:eastAsia="Cambria Math"/>
              </w:rPr>
              <m:t>m</m:t>
            </m:r>
          </m:sub>
        </m:sSub>
        <m:r>
          <w:rPr>
            <w:rFonts w:ascii="Cambria Math" w:hAnsi="Cambria Math" w:eastAsia="Cambria Math"/>
          </w:rPr>
          <m:t>[</m:t>
        </m:r>
        <m:r>
          <w:rPr>
            <w:rFonts w:ascii="Cambria Math" w:hAnsi="Cambria Math" w:eastAsia="Cambria Math"/>
          </w:rPr>
          <m:t>i</m:t>
        </m:r>
        <m:r>
          <w:rPr>
            <w:rFonts w:ascii="Cambria Math" w:hAnsi="Cambria Math" w:eastAsia="Cambria Math"/>
          </w:rPr>
          <m:t>]</m:t>
        </m:r>
        <m:r>
          <w:rPr>
            <w:rFonts w:ascii="Cambria Math" w:hAnsi="Cambria Math" w:eastAsia="Cambria Math"/>
          </w:rPr>
          <m:t>=</m:t>
        </m:r>
        <m:f>
          <m:num>
            <m:r>
              <w:rPr>
                <w:rFonts w:ascii="Cambria Math" w:hAnsi="Cambria Math" w:eastAsia="Cambria Math"/>
              </w:rPr>
              <m:t>1</m:t>
            </m:r>
          </m:num>
          <m:den>
            <m:r>
              <w:rPr>
                <w:rFonts w:ascii="Cambria Math" w:hAnsi="Cambria Math" w:eastAsia="Cambria Math"/>
              </w:rPr>
              <m:t>|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 w:eastAsia="Cambria Math"/>
                  </w:rPr>
                  <m:t>m</m:t>
                </m:r>
                <m:r>
                  <w:rPr>
                    <w:rFonts w:ascii="Cambria Math" w:hAnsi="Cambria Math" w:eastAsia="Cambria Math"/>
                  </w:rPr>
                  <m:t>,</m:t>
                </m:r>
                <m:r>
                  <w:rPr>
                    <w:rFonts w:ascii="Cambria Math" w:hAnsi="Cambria Math" w:eastAsia="Cambria Math"/>
                  </w:rPr>
                  <m:t>i</m:t>
                </m:r>
              </m:sub>
            </m:sSub>
            <m:r>
              <w:rPr>
                <w:rFonts w:ascii="Cambria Math" w:hAnsi="Cambria Math" w:eastAsia="Cambria Math"/>
              </w:rPr>
              <m:t>|</m:t>
            </m:r>
          </m:den>
        </m:f>
        <m:nary>
          <m:naryPr>
            <m:chr m:val="∑"/>
            <m:limLoc m:val="undOvr"/>
            <m:subHide m:val="0"/>
            <m:supHide m:val="1"/>
          </m:naryPr>
          <m:sub>
            <m:r>
              <w:rPr>
                <w:rFonts w:ascii="Cambria Math" w:hAnsi="Cambria Math" w:eastAsia="Cambria Math"/>
              </w:rPr>
              <m:t>j</m:t>
            </m:r>
            <m:r>
              <w:rPr>
                <w:rFonts w:ascii="Cambria Math" w:hAnsi="Cambria Math" w:eastAsia="Cambria Math"/>
              </w:rPr>
              <m:t xml:space="preserve">∈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 w:eastAsia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 w:eastAsia="Cambria Math"/>
                  </w:rPr>
                  <m:t>m</m:t>
                </m:r>
                <m:r>
                  <w:rPr>
                    <w:rFonts w:ascii="Cambria Math" w:hAnsi="Cambria Math" w:eastAsia="Cambria Math"/>
                  </w:rPr>
                  <m:t>,</m:t>
                </m:r>
                <m:r>
                  <w:rPr>
                    <w:rFonts w:ascii="Cambria Math" w:hAnsi="Cambria Math" w:eastAsia="Cambria Math"/>
                  </w:rPr>
                  <m:t>i</m:t>
                </m:r>
              </m:sub>
            </m:sSub>
          </m:sub>
          <m:sup/>
          <m:e>
            <m:sSub>
              <m:e>
                <m:r>
                  <m:rPr>
                    <m:sty m:val="b"/>
                  </m:rPr>
                  <w:rPr>
                    <w:rFonts w:ascii="Cambria Math" w:hAnsi="Cambria Math" w:eastAsia="Cambria Math"/>
                  </w:rPr>
                  <m:t xml:space="preserve">f</m:t>
                </m:r>
              </m:e>
              <m:sub>
                <m:r>
                  <w:rPr>
                    <w:rFonts w:ascii="Cambria Math" w:hAnsi="Cambria Math" w:eastAsia="Cambria Math"/>
                  </w:rPr>
                  <m:t>m</m:t>
                </m:r>
                <m:r>
                  <w:rPr>
                    <w:rFonts w:ascii="Cambria Math" w:hAnsi="Cambria Math" w:eastAsia="Cambria Math"/>
                  </w:rPr>
                  <m:t>,</m:t>
                </m:r>
                <m:r>
                  <w:rPr>
                    <w:rFonts w:ascii="Cambria Math" w:hAnsi="Cambria Math" w:eastAsia="Cambria Math"/>
                  </w:rPr>
                  <m:t>j</m:t>
                </m:r>
              </m:sub>
            </m:sSub>
          </m:e>
        </m:nary>
      </m:oMath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100 条样本的统一处理与逐槽标注情况：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情况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数量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处理方式</w:t>
            </w:r>
          </w:p>
        </w:tc>
      </w:tr>
      <w:tr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文本空槽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2,842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补零 +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text_valid=0</w:t>
            </w:r>
          </w:p>
        </w:tc>
      </w:tr>
      <w:tr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语音空槽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59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插值 +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interp_slots_have_no_source=true</w:t>
            </w:r>
          </w:p>
        </w:tc>
      </w:tr>
      <w:tr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视觉空槽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73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插值 +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interp_slots_have_no_source=true</w:t>
            </w:r>
          </w:p>
        </w:tc>
      </w:tr>
      <w:tr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pts 越出 T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右 7 / 左 0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clip</w:t>
            </w: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 xml:space="preserve"> 并入末槽，记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units_beyond_duration=5</w:t>
            </w:r>
          </w:p>
        </w:tc>
      </w:tr>
      <w:tr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音文对应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确认匹配 0 / 确认不匹配 5 / 未作断言 95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记入对应关系三态字段</w:t>
            </w:r>
          </w:p>
        </w:tc>
      </w:tr>
      <w:tr>
        <w:tc>
          <w:tcPr>
            <w:tcW w:type="dxa" w:w="2771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异常记录</w:t>
            </w:r>
          </w:p>
        </w:tc>
        <w:tc>
          <w:tcPr>
            <w:tcW w:type="dxa" w:w="2771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151 条</w:t>
            </w:r>
          </w:p>
        </w:tc>
        <w:tc>
          <w:tcPr>
            <w:tcW w:type="dxa" w:w="2771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登记入台账，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counts_as_deletion ≡ 0</w:t>
            </w:r>
          </w:p>
        </w:tc>
      </w:tr>
    </w:tbl>
    <w:p>
      <w:pPr>
        <w:spacing w:after="0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即：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100条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↓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统一归约到 50 槽（三模态形状一致）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↓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逐槽标注：有效 / 插值 / 空 / 越界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↓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逐样本标注：对应关系三态</w:t>
      </w:r>
    </w:p>
    <w:p>
      <w:pPr>
        <w:spacing w:before="0" w:after="80" w:line="240" w:lineRule="auto"/>
        <w:jc w:val="left"/>
      </w:pPr>
    </w:p>
    <w:p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4. 归约规则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100 条样本统一采用 </w:t>
      </w:r>
      <m:oMath>
        <m:r>
          <w:rPr>
            <w:rFonts w:ascii="Cambria Math" w:hAnsi="Cambria Math" w:eastAsia="Cambria Math"/>
          </w:rPr>
          <m:t>S</m:t>
        </m:r>
        <m:r>
          <w:rPr>
            <w:rFonts w:ascii="Cambria Math" w:hAnsi="Cambria Math" w:eastAsia="Cambria Math"/>
          </w:rPr>
          <m:t>=</m:t>
        </m:r>
        <m:r>
          <w:rPr>
            <w:rFonts w:ascii="Cambria Math" w:hAnsi="Cambria Math" w:eastAsia="Cambria Math"/>
          </w:rPr>
          <m:t>5</m:t>
        </m:r>
        <m:r>
          <w:rPr>
            <w:rFonts w:ascii="Cambria Math" w:hAnsi="Cambria Math" w:eastAsia="Cambria Math"/>
          </w:rPr>
          <m:t>0</m:t>
        </m:r>
      </m:oMath>
      <w:r>
        <w:rPr>
          <w:rFonts w:ascii="宋体" w:hAnsi="宋体" w:eastAsia="宋体" w:cs="宋体"/>
          <w:b w:val="0"/>
          <w:i w:val="0"/>
          <w:sz w:val="24"/>
        </w:rPr>
        <w:t xml:space="preserve"> 槽、槽内均值聚合，三模态输出形状固定为：</w:t>
      </w:r>
    </w:p>
    <w:p>
      <w:pPr>
        <w:spacing w:before="120" w:after="120" w:line="240" w:lineRule="auto"/>
        <w:jc w:val="center"/>
      </w:pPr>
      <m:oMath>
        <m:r>
          <w:rPr>
            <w:rFonts w:ascii="Cambria Math" w:hAnsi="Cambria Math" w:eastAsia="Cambria Math"/>
          </w:rPr>
          <m:t>(</m:t>
        </m:r>
        <m:r>
          <w:rPr>
            <w:rFonts w:ascii="Cambria Math" w:hAnsi="Cambria Math" w:eastAsia="Cambria Math"/>
          </w:rPr>
          <m:t>5</m:t>
        </m:r>
        <m:r>
          <w:rPr>
            <w:rFonts w:ascii="Cambria Math" w:hAnsi="Cambria Math" w:eastAsia="Cambria Math"/>
          </w:rPr>
          <m:t>0</m:t>
        </m:r>
        <m:r>
          <w:rPr>
            <w:rFonts w:ascii="Cambria Math" w:hAnsi="Cambria Math" w:eastAsia="Cambria Math"/>
          </w:rPr>
          <m:t>,</m:t>
        </m:r>
        <m:r>
          <w:rPr>
            <w:rFonts w:ascii="Cambria Math" w:hAnsi="Cambria Math" w:eastAsia="Cambria Math"/>
          </w:rPr>
          <m:t xml:space="preserve"> </m:t>
        </m:r>
        <m:r>
          <w:rPr>
            <w:rFonts w:ascii="Cambria Math" w:hAnsi="Cambria Math" w:eastAsia="Cambria Math"/>
          </w:rPr>
          <m:t>7</m:t>
        </m:r>
        <m:r>
          <w:rPr>
            <w:rFonts w:ascii="Cambria Math" w:hAnsi="Cambria Math" w:eastAsia="Cambria Math"/>
          </w:rPr>
          <m:t>6</m:t>
        </m:r>
        <m:r>
          <w:rPr>
            <w:rFonts w:ascii="Cambria Math" w:hAnsi="Cambria Math" w:eastAsia="Cambria Math"/>
          </w:rPr>
          <m:t>8</m:t>
        </m:r>
        <m:r>
          <w:rPr>
            <w:rFonts w:ascii="Cambria Math" w:hAnsi="Cambria Math" w:eastAsia="Cambria Math"/>
          </w:rPr>
          <m:t>)</m:t>
        </m:r>
        <m:r>
          <w:rPr>
            <w:rFonts w:ascii="Cambria Math" w:hAnsi="Cambria Math" w:eastAsia="Cambria Math"/>
          </w:rPr>
          <m:t xml:space="preserve">  </m:t>
        </m:r>
        <m:r>
          <w:rPr>
            <w:rFonts w:ascii="Cambria Math" w:hAnsi="Cambria Math" w:eastAsia="Cambria Math"/>
          </w:rPr>
          <m:t>(</m:t>
        </m:r>
        <m:r>
          <w:rPr>
            <w:rFonts w:ascii="Cambria Math" w:hAnsi="Cambria Math" w:eastAsia="Cambria Math"/>
          </w:rPr>
          <m:t>5</m:t>
        </m:r>
        <m:r>
          <w:rPr>
            <w:rFonts w:ascii="Cambria Math" w:hAnsi="Cambria Math" w:eastAsia="Cambria Math"/>
          </w:rPr>
          <m:t>0</m:t>
        </m:r>
        <m:r>
          <w:rPr>
            <w:rFonts w:ascii="Cambria Math" w:hAnsi="Cambria Math" w:eastAsia="Cambria Math"/>
          </w:rPr>
          <m:t>,</m:t>
        </m:r>
        <m:r>
          <w:rPr>
            <w:rFonts w:ascii="Cambria Math" w:hAnsi="Cambria Math" w:eastAsia="Cambria Math"/>
          </w:rPr>
          <m:t xml:space="preserve"> </m:t>
        </m:r>
        <m:r>
          <w:rPr>
            <w:rFonts w:ascii="Cambria Math" w:hAnsi="Cambria Math" w:eastAsia="Cambria Math"/>
          </w:rPr>
          <m:t>7</m:t>
        </m:r>
        <m:r>
          <w:rPr>
            <w:rFonts w:ascii="Cambria Math" w:hAnsi="Cambria Math" w:eastAsia="Cambria Math"/>
          </w:rPr>
          <m:t>4</m:t>
        </m:r>
        <m:r>
          <w:rPr>
            <w:rFonts w:ascii="Cambria Math" w:hAnsi="Cambria Math" w:eastAsia="Cambria Math"/>
          </w:rPr>
          <m:t>)</m:t>
        </m:r>
        <m:r>
          <w:rPr>
            <w:rFonts w:ascii="Cambria Math" w:hAnsi="Cambria Math" w:eastAsia="Cambria Math"/>
          </w:rPr>
          <m:t xml:space="preserve">  </m:t>
        </m:r>
        <m:r>
          <w:rPr>
            <w:rFonts w:ascii="Cambria Math" w:hAnsi="Cambria Math" w:eastAsia="Cambria Math"/>
          </w:rPr>
          <m:t>(</m:t>
        </m:r>
        <m:r>
          <w:rPr>
            <w:rFonts w:ascii="Cambria Math" w:hAnsi="Cambria Math" w:eastAsia="Cambria Math"/>
          </w:rPr>
          <m:t>5</m:t>
        </m:r>
        <m:r>
          <w:rPr>
            <w:rFonts w:ascii="Cambria Math" w:hAnsi="Cambria Math" w:eastAsia="Cambria Math"/>
          </w:rPr>
          <m:t>0</m:t>
        </m:r>
        <m:r>
          <w:rPr>
            <w:rFonts w:ascii="Cambria Math" w:hAnsi="Cambria Math" w:eastAsia="Cambria Math"/>
          </w:rPr>
          <m:t>,</m:t>
        </m:r>
        <m:r>
          <w:rPr>
            <w:rFonts w:ascii="Cambria Math" w:hAnsi="Cambria Math" w:eastAsia="Cambria Math"/>
          </w:rPr>
          <m:t xml:space="preserve"> </m:t>
        </m:r>
        <m:r>
          <w:rPr>
            <w:rFonts w:ascii="Cambria Math" w:hAnsi="Cambria Math" w:eastAsia="Cambria Math"/>
          </w:rPr>
          <m:t>3</m:t>
        </m:r>
        <m:r>
          <w:rPr>
            <w:rFonts w:ascii="Cambria Math" w:hAnsi="Cambria Math" w:eastAsia="Cambria Math"/>
          </w:rPr>
          <m:t>5</m:t>
        </m:r>
        <m:r>
          <w:rPr>
            <w:rFonts w:ascii="Cambria Math" w:hAnsi="Cambria Math" w:eastAsia="Cambria Math"/>
          </w:rPr>
          <m:t>)</m:t>
        </m:r>
      </m:oMath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槽宽：</w:t>
      </w:r>
    </w:p>
    <w:p>
      <w:pPr>
        <w:spacing w:before="120" w:after="120" w:line="240" w:lineRule="auto"/>
        <w:jc w:val="center"/>
      </w:pPr>
      <m:oMath>
        <m:r>
          <w:rPr>
            <w:rFonts w:ascii="Cambria Math" w:hAnsi="Cambria Math" w:eastAsia="Cambria Math"/>
          </w:rPr>
          <m:t>w</m:t>
        </m:r>
        <m:r>
          <w:rPr>
            <w:rFonts w:ascii="Cambria Math" w:hAnsi="Cambria Math" w:eastAsia="Cambria Math"/>
          </w:rPr>
          <m:t>=</m:t>
        </m:r>
        <m:f>
          <m:num>
            <m:r>
              <w:rPr>
                <w:rFonts w:ascii="Cambria Math" w:hAnsi="Cambria Math" w:eastAsia="Cambria Math"/>
              </w:rPr>
              <m:t>T</m:t>
            </m:r>
          </m:num>
          <m:den>
            <m:r>
              <w:rPr>
                <w:rFonts w:ascii="Cambria Math" w:hAnsi="Cambria Math" w:eastAsia="Cambria Math"/>
              </w:rPr>
              <m:t>S</m:t>
            </m:r>
          </m:den>
        </m:f>
      </m:oMath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100 条实测 </w:t>
      </w:r>
      <m:oMath>
        <m:r>
          <w:rPr>
            <w:rFonts w:ascii="Cambria Math" w:hAnsi="Cambria Math" w:eastAsia="Cambria Math"/>
          </w:rPr>
          <m:t>w</m:t>
        </m:r>
      </m:oMath>
      <w:r>
        <w:rPr>
          <w:rFonts w:ascii="宋体" w:hAnsi="宋体" w:eastAsia="宋体" w:cs="宋体"/>
          <w:b w:val="0"/>
          <w:i w:val="0"/>
          <w:sz w:val="24"/>
        </w:rPr>
        <w:t xml:space="preserve"> 跨 </w:t>
      </w:r>
      <w:r>
        <w:rPr>
          <w:rFonts w:ascii="宋体" w:hAnsi="宋体" w:eastAsia="宋体" w:cs="宋体"/>
          <w:b/>
          <w:i w:val="0"/>
          <w:sz w:val="24"/>
        </w:rPr>
        <w:t>0.045–0.586 s</w:t>
      </w:r>
      <w:r>
        <w:rPr>
          <w:rFonts w:ascii="宋体" w:hAnsi="宋体" w:eastAsia="宋体" w:cs="宋体"/>
          <w:b w:val="0"/>
          <w:i w:val="0"/>
          <w:sz w:val="24"/>
        </w:rPr>
        <w:t>。槽号与秒数不对应，下游按时间戳取数。</w:t>
      </w:r>
    </w:p>
    <w:p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5. 时间轴设计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三条支路统一使用实测视频流时长作为公共轴：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T = ffprobe 视频流时长</w:t>
      </w:r>
    </w:p>
    <w:p>
      <w:pPr>
        <w:spacing w:before="0" w:after="80" w:line="240" w:lineRule="auto"/>
        <w:jc w:val="left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槽边界等分：</w:t>
      </w:r>
    </w:p>
    <w:p>
      <w:pPr>
        <w:spacing w:before="120" w:after="120" w:line="240" w:lineRule="auto"/>
        <w:jc w:val="center"/>
      </w:pPr>
      <m:oMath>
        <m:r>
          <w:rPr>
            <w:rFonts w:ascii="Cambria Math" w:hAnsi="Cambria Math" w:eastAsia="Cambria Math"/>
          </w:rPr>
          <m:t xml:space="preserve">τ</m:t>
        </m:r>
        <m:r>
          <w:rPr>
            <w:rFonts w:ascii="Cambria Math" w:hAnsi="Cambria Math" w:eastAsia="Cambria Math"/>
          </w:rPr>
          <m:t>(</m:t>
        </m:r>
        <m:r>
          <w:rPr>
            <w:rFonts w:ascii="Cambria Math" w:hAnsi="Cambria Math" w:eastAsia="Cambria Math"/>
          </w:rPr>
          <m:t>i</m:t>
        </m:r>
        <m:r>
          <w:rPr>
            <w:rFonts w:ascii="Cambria Math" w:hAnsi="Cambria Math" w:eastAsia="Cambria Math"/>
          </w:rPr>
          <m:t>)</m:t>
        </m:r>
        <m:r>
          <w:rPr>
            <w:rFonts w:ascii="Cambria Math" w:hAnsi="Cambria Math" w:eastAsia="Cambria Math"/>
          </w:rPr>
          <m:t>=</m:t>
        </m:r>
        <m:d>
          <m:dPr>
            <m:begChr m:val="["/>
            <m:endChr m:val=")"/>
          </m:dPr>
          <m:e>
            <m:f>
              <m:num>
                <m:r>
                  <w:rPr>
                    <w:rFonts w:ascii="Cambria Math" w:hAnsi="Cambria Math" w:eastAsia="Cambria Math"/>
                  </w:rPr>
                  <m:t>i</m:t>
                </m:r>
                <m:r>
                  <w:rPr>
                    <w:rFonts w:ascii="Cambria Math" w:hAnsi="Cambria Math" w:eastAsia="Cambria Math"/>
                  </w:rPr>
                  <m:t>T</m:t>
                </m:r>
              </m:num>
              <m:den>
                <m:r>
                  <w:rPr>
                    <w:rFonts w:ascii="Cambria Math" w:hAnsi="Cambria Math" w:eastAsia="Cambria Math"/>
                  </w:rPr>
                  <m:t>S</m:t>
                </m:r>
              </m:den>
            </m:f>
            <m:r>
              <w:rPr>
                <w:rFonts w:ascii="Cambria Math" w:hAnsi="Cambria Math" w:eastAsia="Cambria Math"/>
              </w:rPr>
              <m:t>,</m:t>
            </m:r>
            <m:r>
              <w:rPr>
                <w:rFonts w:ascii="Cambria Math" w:hAnsi="Cambria Math" w:eastAsia="Cambria Math"/>
              </w:rPr>
              <m:t xml:space="preserve"> </m:t>
            </m:r>
            <m:f>
              <m:num>
                <m:r>
                  <w:rPr>
                    <w:rFonts w:ascii="Cambria Math" w:hAnsi="Cambria Math" w:eastAsia="Cambria Math"/>
                  </w:rPr>
                  <m:t>(</m:t>
                </m:r>
                <m:r>
                  <w:rPr>
                    <w:rFonts w:ascii="Cambria Math" w:hAnsi="Cambria Math" w:eastAsia="Cambria Math"/>
                  </w:rPr>
                  <m:t>i</m:t>
                </m:r>
                <m:r>
                  <w:rPr>
                    <w:rFonts w:ascii="Cambria Math" w:hAnsi="Cambria Math" w:eastAsia="Cambria Math"/>
                  </w:rPr>
                  <m:t>+</m:t>
                </m:r>
                <m:r>
                  <w:rPr>
                    <w:rFonts w:ascii="Cambria Math" w:hAnsi="Cambria Math" w:eastAsia="Cambria Math"/>
                  </w:rPr>
                  <m:t>1</m:t>
                </m:r>
                <m:r>
                  <w:rPr>
                    <w:rFonts w:ascii="Cambria Math" w:hAnsi="Cambria Math" w:eastAsia="Cambria Math"/>
                  </w:rPr>
                  <m:t>)</m:t>
                </m:r>
                <m:r>
                  <w:rPr>
                    <w:rFonts w:ascii="Cambria Math" w:hAnsi="Cambria Math" w:eastAsia="Cambria Math"/>
                  </w:rPr>
                  <m:t>T</m:t>
                </m:r>
              </m:num>
              <m:den>
                <m:r>
                  <w:rPr>
                    <w:rFonts w:ascii="Cambria Math" w:hAnsi="Cambria Math" w:eastAsia="Cambria Math"/>
                  </w:rPr>
                  <m:t>S</m:t>
                </m:r>
              </m:den>
            </m:f>
          </m:e>
        </m:d>
        <m:r>
          <w:rPr>
            <w:rFonts w:ascii="Cambria Math" w:hAnsi="Cambria Math" w:eastAsia="Cambria Math"/>
          </w:rPr>
          <m:t>,</m:t>
        </m:r>
        <m:r>
          <w:rPr>
            <w:rFonts w:ascii="Cambria Math" w:hAnsi="Cambria Math" w:eastAsia="Cambria Math"/>
          </w:rPr>
          <m:t xml:space="preserve">  </m:t>
        </m:r>
        <m:r>
          <w:rPr>
            <w:rFonts w:ascii="Cambria Math" w:hAnsi="Cambria Math" w:eastAsia="Cambria Math"/>
          </w:rPr>
          <m:t>S</m:t>
        </m:r>
        <m:r>
          <w:rPr>
            <w:rFonts w:ascii="Cambria Math" w:hAnsi="Cambria Math" w:eastAsia="Cambria Math"/>
          </w:rPr>
          <m:t>=</m:t>
        </m:r>
        <m:r>
          <w:rPr>
            <w:rFonts w:ascii="Cambria Math" w:hAnsi="Cambria Math" w:eastAsia="Cambria Math"/>
          </w:rPr>
          <m:t>5</m:t>
        </m:r>
        <m:r>
          <w:rPr>
            <w:rFonts w:ascii="Cambria Math" w:hAnsi="Cambria Math" w:eastAsia="Cambria Math"/>
          </w:rPr>
          <m:t>0</m:t>
        </m:r>
      </m:oMath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三个模态的时刻基准分别落盘。文本逐样本二选一：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text   → measured_forced_alignment（7 条） / uniform_assumption（93 条）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audio  → measured_pts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vision → measured_pts</w:t>
      </w:r>
    </w:p>
    <w:p>
      <w:pPr>
        <w:spacing w:before="0" w:after="80" w:line="240" w:lineRule="auto"/>
        <w:jc w:val="left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文本时间基准的选取规则、依据数据与逐样本取值见 §2.1。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100 条实测 </w:t>
      </w:r>
      <m:oMath>
        <m:r>
          <w:rPr>
            <w:rFonts w:ascii="Cambria Math" w:hAnsi="Cambria Math" w:eastAsia="Cambria Math"/>
          </w:rPr>
          <m:t>T</m:t>
        </m:r>
      </m:oMath>
      <w:r>
        <w:rPr>
          <w:rFonts w:ascii="宋体" w:hAnsi="宋体" w:eastAsia="宋体" w:cs="宋体"/>
          <w:b w:val="0"/>
          <w:i w:val="0"/>
          <w:sz w:val="24"/>
        </w:rPr>
        <w:t xml:space="preserve"> 跨 </w:t>
      </w:r>
      <w:r>
        <w:rPr>
          <w:rFonts w:ascii="宋体" w:hAnsi="宋体" w:eastAsia="宋体" w:cs="宋体"/>
          <w:b/>
          <w:i w:val="0"/>
          <w:sz w:val="24"/>
        </w:rPr>
        <w:t>2.257–29.288 s</w:t>
      </w:r>
      <w:r>
        <w:rPr>
          <w:rFonts w:ascii="宋体" w:hAnsi="宋体" w:eastAsia="宋体" w:cs="宋体"/>
          <w:b w:val="0"/>
          <w:i w:val="0"/>
          <w:sz w:val="24"/>
        </w:rPr>
        <w:t>，合计 787.482 s。</w:t>
      </w:r>
    </w:p>
    <w:p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6. 有效性语义分层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本方案使用三层有效性字段，不使用单一 </w:t>
      </w:r>
      <w:r>
        <w:rPr>
          <w:rFonts w:ascii="Consolas" w:hAnsi="Consolas" w:eastAsia="Consolas" w:cs="Consolas"/>
          <w:b w:val="0"/>
          <w:i w:val="0"/>
          <w:sz w:val="21"/>
        </w:rPr>
        <w:t>valid</w:t>
      </w:r>
      <w:r>
        <w:rPr>
          <w:rFonts w:ascii="宋体" w:hAnsi="宋体" w:eastAsia="宋体" w:cs="宋体"/>
          <w:b w:val="0"/>
          <w:i w:val="0"/>
          <w:sz w:val="24"/>
        </w:rPr>
        <w:t xml:space="preserve"> 覆盖所有含义：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E_m  存在性：该模态在样本中是否存在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O_m  观测性：该槽是否被分配到观测单元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C_m  内容性：该槽的观测是否真有内容</w:t>
      </w:r>
    </w:p>
    <w:p>
      <w:pPr>
        <w:spacing w:before="0" w:after="80" w:line="240" w:lineRule="auto"/>
        <w:jc w:val="left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100 条实测：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模态</w:t>
            </w:r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 w:eastAsia="Cambria Math"/>
                    </w:rPr>
                    <m:t>m</m:t>
                  </m:r>
                </m:sub>
              </m:sSub>
            </m:oMath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eastAsia="Cambria Math"/>
                    </w:rPr>
                    <m:t>m</m:t>
                  </m:r>
                </m:sub>
              </m:sSub>
            </m:oMath>
          </w:p>
        </w:tc>
        <w:tc>
          <w:tcPr>
            <w:tcW w:type="dxa" w:w="2078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m:oMath>
              <m:sSub>
                <m:e>
                  <m:r>
                    <w:rPr>
                      <w:rFonts w:ascii="Cambria Math" w:hAnsi="Cambria Math" w:eastAsia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eastAsia="Cambria Math"/>
                    </w:rPr>
                    <m:t>m</m:t>
                  </m:r>
                </m:sub>
              </m:sSub>
            </m:oMath>
          </w:p>
        </w:tc>
      </w:tr>
      <w:tr>
        <w:tc>
          <w:tcPr>
            <w:tcW w:type="dxa" w:w="2078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text</w:t>
            </w:r>
          </w:p>
        </w:tc>
        <w:tc>
          <w:tcPr>
            <w:tcW w:type="dxa" w:w="2078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1.000</w:t>
            </w:r>
          </w:p>
        </w:tc>
        <w:tc>
          <w:tcPr>
            <w:tcW w:type="dxa" w:w="2078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0.432</w:t>
            </w:r>
          </w:p>
        </w:tc>
        <w:tc>
          <w:tcPr>
            <w:tcW w:type="dxa" w:w="2078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0.432</w:t>
            </w:r>
          </w:p>
        </w:tc>
      </w:tr>
      <w:tr>
        <w:tc>
          <w:tcPr>
            <w:tcW w:type="dxa" w:w="2078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audio</w:t>
            </w:r>
          </w:p>
        </w:tc>
        <w:tc>
          <w:tcPr>
            <w:tcW w:type="dxa" w:w="2078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1.000</w:t>
            </w:r>
          </w:p>
        </w:tc>
        <w:tc>
          <w:tcPr>
            <w:tcW w:type="dxa" w:w="2078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0.988</w:t>
            </w:r>
          </w:p>
        </w:tc>
        <w:tc>
          <w:tcPr>
            <w:tcW w:type="dxa" w:w="2078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0.949</w:t>
            </w:r>
          </w:p>
        </w:tc>
      </w:tr>
      <w:tr>
        <w:tc>
          <w:tcPr>
            <w:tcW w:type="dxa" w:w="2078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vision</w:t>
            </w:r>
          </w:p>
        </w:tc>
        <w:tc>
          <w:tcPr>
            <w:tcW w:type="dxa" w:w="2078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0.970</w:t>
            </w:r>
          </w:p>
        </w:tc>
        <w:tc>
          <w:tcPr>
            <w:tcW w:type="dxa" w:w="2078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0.985</w:t>
            </w:r>
          </w:p>
        </w:tc>
        <w:tc>
          <w:tcPr>
            <w:tcW w:type="dxa" w:w="2078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0.958</w:t>
            </w:r>
          </w:p>
        </w:tc>
      </w:tr>
    </w:tbl>
    <w:p>
      <w:pPr>
        <w:spacing w:after="0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内容有效性的作用域字段：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content_scope = sample_level_propagated</w:t>
      </w:r>
    </w:p>
    <w:p>
      <w:pPr>
        <w:spacing w:before="0" w:after="80" w:line="240" w:lineRule="auto"/>
        <w:jc w:val="left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三模态各自的可用性另有分状态字段，逐样本落盘：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音频三态（1 存在 / 0 不存在 / -1 未作断言）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audio_present               音轨是否存在（容器事实）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audio_observation_valid     是否真的取到声学帧（观测事实）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audio_speech_valid          帧里是否有语音（内容事实）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视觉二态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video_present               是否真的取到画面帧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face_feature_valid          检出人脸的比例是否大于 0</w:t>
      </w:r>
    </w:p>
    <w:p>
      <w:pPr>
        <w:spacing w:before="0" w:after="80" w:line="240" w:lineRule="auto"/>
        <w:jc w:val="left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100 条实测：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字段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771"/>
            <w:tcBorders>
              <w:top w:val="single" w:sz="12" w:space="0" w:color="000000"/>
              <w:bottom w:val="single" w:sz="6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audio_present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audio_observation_valid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audio_speech_valid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97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</w:tr>
      <w:tr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video_present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100</w:t>
            </w:r>
          </w:p>
        </w:tc>
        <w:tc>
          <w:tcPr>
            <w:tcW w:type="dxa" w:w="2771"/>
            <w:tcBorders>
              <w:top w:val="none" w:sz="8" w:space="0" w:color="000000"/>
              <w:bottom w:val="none" w:sz="8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</w:t>
            </w:r>
          </w:p>
        </w:tc>
      </w:tr>
      <w:tr>
        <w:tc>
          <w:tcPr>
            <w:tcW w:type="dxa" w:w="2771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left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face_feature_valid</w:t>
            </w:r>
          </w:p>
        </w:tc>
        <w:tc>
          <w:tcPr>
            <w:tcW w:type="dxa" w:w="2771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98</w:t>
            </w:r>
          </w:p>
        </w:tc>
        <w:tc>
          <w:tcPr>
            <w:tcW w:type="dxa" w:w="2771"/>
            <w:tcBorders>
              <w:top w:val="none" w:sz="8" w:space="0" w:color="000000"/>
              <w:bottom w:val="single" w:sz="12" w:space="0" w:color="000000"/>
              <w:left w:val="none" w:sz="8" w:space="0" w:color="000000"/>
              <w:right w:val="none" w:sz="8" w:space="0" w:color="000000"/>
            </w:tcBorders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</w:tr>
    </w:tbl>
    <w:p>
      <w:pPr>
        <w:spacing w:after="0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3 条无语音样本即数字静音（异常台账 A1）；2 条未检出人脸即面部检测失败（异常台账 A3）。两类样本一律保留并标注。</w:t>
      </w:r>
    </w:p>
    <w:p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7. 最终输出结构</w:t>
      </w: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每条样本保存特征与完整的可追溯信息：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sample_key = video_id$_$clip_id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text_features      (N_T, 768)   + text_pts   + text_time_basis（逐样本）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audio_features     (N_A,  74)   + audio_pts  + audio_time_basis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vision_features    (N_V,  35)   + vision_pts + vision_time_basis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+ 各自 offsets（(101,) 累积偏移）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slot_edges         (51,)  float64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slot_unit_index    50 个源单元下标列表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O_m                逐槽观测有效掩码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E_m / C_m          存在性与内容性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音频三态 / 视觉二态  可用性分状态字段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alignment 记录：槽界 / 源单元 / 填充策略 / 时间基准 / 证据路由档位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对应关系三态：confirmed_match / confirmed_mismatch / not_asserted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异常台账：151 条</w:t>
      </w:r>
    </w:p>
    <w:p>
      <w:pPr>
        <w:spacing w:before="0" w:after="80" w:line="240" w:lineRule="auto"/>
        <w:jc w:val="left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>因此可以实现：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某个特征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↓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对应的槽号与时间区间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↓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构成它的源单元下标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↓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回到原始 MP4 的帧 / 声学窗 / 词</w:t>
      </w:r>
    </w:p>
    <w:p>
      <w:pPr>
        <w:spacing w:before="0" w:after="80" w:line="240" w:lineRule="auto"/>
        <w:jc w:val="left"/>
      </w:pPr>
    </w:p>
    <w:p>
      <w:pPr>
        <w:spacing w:before="80" w:after="80" w:line="240" w:lineRule="auto"/>
        <w:ind w:firstLine="482"/>
        <w:jc w:val="left"/>
      </w:pPr>
      <w:r>
        <w:rPr>
          <w:rFonts w:ascii="宋体" w:hAnsi="宋体" w:eastAsia="宋体" w:cs="宋体"/>
          <w:b w:val="0"/>
          <w:i w:val="0"/>
          <w:sz w:val="24"/>
        </w:rPr>
        <w:t xml:space="preserve">主矩阵 </w:t>
      </w:r>
      <w:r>
        <w:rPr>
          <w:rFonts w:ascii="Consolas" w:hAnsi="Consolas" w:eastAsia="Consolas" w:cs="Consolas"/>
          <w:b w:val="0"/>
          <w:i w:val="0"/>
          <w:sz w:val="21"/>
        </w:rPr>
        <w:t>features_q1.npz</w:t>
      </w:r>
      <w:r>
        <w:rPr>
          <w:rFonts w:ascii="宋体" w:hAnsi="宋体" w:eastAsia="宋体" w:cs="宋体"/>
          <w:b w:val="0"/>
          <w:i w:val="0"/>
          <w:sz w:val="24"/>
        </w:rPr>
        <w:t xml:space="preserve"> 采用变长 + offsets 存储。交付目录全量 16.13 MB（上限 50 MiB）。</w:t>
      </w:r>
    </w:p>
    <w:p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8. 六层逻辑框架</w:t>
      </w:r>
    </w:p>
    <w:p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第一层：样本与数据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100 个 MP4 / 37 个 video_id / label-100.xlsx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sample_key = video_id$_$clip_id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不改官方样本，不改 official text，不删异常样本</w:t>
      </w:r>
    </w:p>
    <w:p>
      <w:pPr>
        <w:spacing w:before="0" w:after="80" w:line="240" w:lineRule="auto"/>
        <w:jc w:val="left"/>
      </w:pPr>
    </w:p>
    <w:p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第二层：模态特征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Text   → RoBERTa-base（768）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Audio  → librosa 74 维（20 Hz 帧）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Vision → MTCNN + ResNet-50 + 固定随机投影（35）</w:t>
      </w:r>
    </w:p>
    <w:p>
      <w:pPr>
        <w:spacing w:before="0" w:after="80" w:line="240" w:lineRule="auto"/>
        <w:jc w:val="left"/>
      </w:pPr>
    </w:p>
    <w:p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第三层：统一时间基础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T = ffprobe 视频流时长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slot_edges = linspace(0, T, 51)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三模态时刻基准分别落盘</w:t>
      </w:r>
    </w:p>
    <w:p>
      <w:pPr>
        <w:spacing w:before="0" w:after="80" w:line="240" w:lineRule="auto"/>
        <w:jc w:val="left"/>
      </w:pPr>
    </w:p>
    <w:p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第四层：文本时间的证据路由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stable-ts 强制对齐 → 逐词实测半开区间 [start, end)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路由判据：全词对齐 + 零时长词为 0 + 区间不越界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成立 → word_level   文本用实测区间中心（7 条）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不成立 → clip_level 文本用均匀假设 (i+0.5)·T/W（93 条）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路由结论写进对齐产物的 routing 块，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交付物（features_q1 / alignment_q1 / summary_q1）三处口径一致</w:t>
      </w:r>
    </w:p>
    <w:p>
      <w:pPr>
        <w:spacing w:before="0" w:after="80" w:line="240" w:lineRule="auto"/>
        <w:jc w:val="left"/>
      </w:pPr>
    </w:p>
    <w:p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第五层：归约与接口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k(t) = clip(floor(t·S/T), 0, S-1)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槽内均值 → (50,768) (50,74) (50,35)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与附件2/3/4 同形</w:t>
      </w:r>
    </w:p>
    <w:p>
      <w:pPr>
        <w:spacing w:before="0" w:after="80" w:line="240" w:lineRule="auto"/>
        <w:jc w:val="left"/>
      </w:pPr>
    </w:p>
    <w:p>
      <w:pPr>
        <w:spacing w:before="160" w:after="8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第六层：审计与复现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100/100 覆盖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13 项机器核验 V1–V13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17,772 条断言 / 0 失败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异常台账 151 条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extract_config.json（工具版本 / 模型 revision / 关键参数）</w:t>
      </w:r>
    </w:p>
    <w:p>
      <w:pPr>
        <w:spacing w:before="0" w:after="0" w:line="240" w:lineRule="auto"/>
        <w:ind w:left="283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交付目录 16.13 MB</w:t>
      </w:r>
    </w:p>
    <w:p>
      <w:pPr>
        <w:spacing w:before="0" w:after="80" w:line="240" w:lineRule="auto"/>
        <w:jc w:val="left"/>
      </w:pPr>
    </w:p>
    <w:p>
      <w:pPr>
        <w:spacing w:before="200" w:after="120" w:line="240" w:lineRule="auto"/>
        <w:jc w:val="left"/>
      </w:pPr>
      <w:r>
        <w:rPr>
          <w:rFonts w:ascii="宋体" w:hAnsi="宋体" w:eastAsia="宋体" w:cs="宋体"/>
          <w:b/>
          <w:i w:val="0"/>
          <w:sz w:val="24"/>
        </w:rPr>
        <w:t>9. 论文中可直接使用的总结表述</w:t>
      </w:r>
    </w:p>
    <w:p>
      <w:pPr>
        <w:spacing w:before="80" w:after="80" w:line="240" w:lineRule="auto"/>
        <w:ind w:left="425"/>
        <w:jc w:val="left"/>
      </w:pPr>
      <w:r>
        <w:rPr>
          <w:rFonts w:ascii="楷体" w:hAnsi="楷体" w:eastAsia="楷体" w:cs="楷体"/>
          <w:b w:val="0"/>
          <w:i w:val="0"/>
          <w:sz w:val="24"/>
        </w:rPr>
        <w:t>本文构建了一种面向非理想多模态样本的接口约束定长归约方法：以附件1 视频流的实测时长建立统一时间轴，分别提取基于 RoBERTa、librosa 声学特征族与 ResNet-50 固定随机投影的文本、语音和视觉情感特征，并采用等分槽归约将其聚合为与附件2/3/4 官方接口同形的定长三模态时序特征。对不含逐词时间戳的官方文本，先以 stable-ts 强制对齐取得逐词实测半开区间，再按「全词对齐且无零时长词」这一可机检判据把样本路由为实测档（7 条）与均匀假设档（93 条），两档均如实落字段而不混同。文本时间基准的来源、空槽的填充来源、音文对应关系的确认程度均以字段形式落盘，每一槽特征可溯源至原始视频的帧、声学窗与词，实现问题2、问题3 对同一套特征接口的复用。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850" w:footer="99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宋体" w:hAnsi="宋体" w:eastAsia="宋体" w:cs="宋体"/>
        <w:b w:val="0"/>
        <w:i w:val="0"/>
        <w:sz w:val="21"/>
      </w:rPr>
    </w:r>
    <w:fldSimple w:instr=" PAGE  \* MERGEFORMAT ">
      <w:r>
        <w:rPr>
          <w:rFonts w:ascii="宋体" w:hAnsi="宋体" w:eastAsia="宋体"/>
          <w:sz w:val="21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