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7398B"/>
          <w:sz w:val="38"/>
        </w:rPr>
        <w:t>DOCUMENTO DE COBERTURA DE TESTING</w:t>
      </w:r>
    </w:p>
    <w:p>
      <w:pPr>
        <w:jc w:val="center"/>
      </w:pPr>
      <w:r>
        <w:rPr>
          <w:b/>
          <w:sz w:val="24"/>
        </w:rPr>
        <w:t>Proyecto React: Biblioteca de videojuegos</w:t>
      </w:r>
    </w:p>
    <w:p>
      <w:pPr>
        <w:jc w:val="center"/>
      </w:pPr>
      <w:r>
        <w:rPr>
          <w:i/>
        </w:rPr>
        <w:t>Asignatura: Desarrollo Full Stack II  |  Herramientas: Jasmine, Karma y React Testing Library</w:t>
      </w:r>
    </w:p>
    <w:p>
      <w:pPr>
        <w:pStyle w:val="Heading1"/>
      </w:pPr>
      <w:r>
        <w:t>1. Objetivo</w:t>
      </w:r>
    </w:p>
    <w:p>
      <w:r>
        <w:t>Definir y preparar pruebas unitarias para verificar la lógica y el comportamiento de los componentes principales del frontend de la biblioteca de videojuegos. Las pruebas interactúan con el DOM, validan resultados visibles y comprueban casos correctos y casos límite.</w:t>
      </w:r>
    </w:p>
    <w:p>
      <w:pPr>
        <w:pStyle w:val="Heading1"/>
      </w:pPr>
      <w:r>
        <w:t>2. Alcance de las pruebas</w:t>
      </w:r>
    </w:p>
    <w:p>
      <w:r>
        <w:t>El alcance se concentra en Catalogo.jsx y Contacto.jsx. El catálogo utiliza datos locales, permite buscar títulos, combinar filtros por género y plataforma, ver el total de resultados y agregar un juego a la biblioteca. La página Contacto valida campos y presenta una confirmación local; no envía ni almacena los mensajes. La aplicación no utiliza una API para estas funciones, por lo que no se declara cobertura de integración con API.</w:t>
      </w:r>
    </w:p>
    <w:p>
      <w:pPr>
        <w:pStyle w:val="Heading1"/>
      </w:pPr>
      <w:r>
        <w:t>3. Herramientas y configuración</w:t>
      </w:r>
    </w:p>
    <w:tbl>
      <w:tblPr>
        <w:tblStyle w:val="LightShading-Accent4"/>
        <w:tblW w:type="auto" w:w="0"/>
        <w:jc w:val="center"/>
        <w:tblLook w:firstColumn="1" w:firstRow="1" w:lastColumn="0" w:lastRow="0" w:noHBand="0" w:noVBand="1" w:val="04A0"/>
      </w:tblPr>
      <w:tblGrid>
        <w:gridCol w:w="5040"/>
        <w:gridCol w:w="5040"/>
      </w:tblGrid>
      <w:tr>
        <w:trPr>
          <w:tblHeader w:val="true"/>
        </w:trPr>
        <w:tc>
          <w:tcPr>
            <w:tcW w:type="dxa" w:w="5040"/>
            <w:vAlign w:val="center"/>
            <w:shd w:fill="6B3C8E"/>
          </w:tcPr>
          <w:p>
            <w:r>
              <w:rPr>
                <w:b/>
                <w:color w:val="FFFFFF"/>
              </w:rPr>
              <w:t>Herramienta</w:t>
            </w:r>
          </w:p>
        </w:tc>
        <w:tc>
          <w:tcPr>
            <w:tcW w:type="dxa" w:w="5040"/>
            <w:vAlign w:val="center"/>
            <w:shd w:fill="6B3C8E"/>
          </w:tcPr>
          <w:p>
            <w:r>
              <w:rPr>
                <w:b/>
                <w:color w:val="FFFFFF"/>
              </w:rPr>
              <w:t>Uso en el proyecto</w:t>
            </w:r>
          </w:p>
        </w:tc>
      </w:tr>
      <w:tr>
        <w:tc>
          <w:tcPr>
            <w:tcW w:type="dxa" w:w="5040"/>
            <w:vAlign w:val="center"/>
          </w:tcPr>
          <w:p>
            <w:r>
              <w:t>Jasmine</w:t>
            </w:r>
          </w:p>
        </w:tc>
        <w:tc>
          <w:tcPr>
            <w:tcW w:type="dxa" w:w="5040"/>
            <w:vAlign w:val="center"/>
          </w:tcPr>
          <w:p>
            <w:r>
              <w:t>Framework de pruebas: permite agrupar casos con describe/it, realizar aserciones con expect y crear spies con spyOn.</w:t>
            </w:r>
          </w:p>
        </w:tc>
      </w:tr>
      <w:tr>
        <w:tc>
          <w:tcPr>
            <w:tcW w:type="dxa" w:w="5040"/>
            <w:vAlign w:val="center"/>
          </w:tcPr>
          <w:p>
            <w:r>
              <w:t>Karma</w:t>
            </w:r>
          </w:p>
        </w:tc>
        <w:tc>
          <w:tcPr>
            <w:tcW w:type="dxa" w:w="5040"/>
            <w:vAlign w:val="center"/>
          </w:tcPr>
          <w:p>
            <w:r>
              <w:t>Ejecuta la suite en un navegador, configurado para Chrome Headless.</w:t>
            </w:r>
          </w:p>
        </w:tc>
      </w:tr>
      <w:tr>
        <w:tc>
          <w:tcPr>
            <w:tcW w:type="dxa" w:w="5040"/>
            <w:vAlign w:val="center"/>
          </w:tcPr>
          <w:p>
            <w:r>
              <w:t>React Testing Library</w:t>
            </w:r>
          </w:p>
        </w:tc>
        <w:tc>
          <w:tcPr>
            <w:tcW w:type="dxa" w:w="5040"/>
            <w:vAlign w:val="center"/>
          </w:tcPr>
          <w:p>
            <w:r>
              <w:t>Monta componentes y permite consultar e interactuar con el DOM de forma similar al uso de la aplicación.</w:t>
            </w:r>
          </w:p>
        </w:tc>
      </w:tr>
      <w:tr>
        <w:tc>
          <w:tcPr>
            <w:tcW w:type="dxa" w:w="5040"/>
            <w:vAlign w:val="center"/>
          </w:tcPr>
          <w:p>
            <w:r>
              <w:t>Webpack y Babel</w:t>
            </w:r>
          </w:p>
        </w:tc>
        <w:tc>
          <w:tcPr>
            <w:tcW w:type="dxa" w:w="5040"/>
            <w:vAlign w:val="center"/>
          </w:tcPr>
          <w:p>
            <w:r>
              <w:t>Empaquetan los archivos JSX y CSS para que Karma pueda ejecutarlos.</w:t>
            </w:r>
          </w:p>
        </w:tc>
      </w:tr>
      <w:tr>
        <w:tc>
          <w:tcPr>
            <w:tcW w:type="dxa" w:w="5040"/>
            <w:vAlign w:val="center"/>
          </w:tcPr>
          <w:p>
            <w:r>
              <w:t>babel-plugin-istanbul y karma-coverage</w:t>
            </w:r>
          </w:p>
        </w:tc>
        <w:tc>
          <w:tcPr>
            <w:tcW w:type="dxa" w:w="5040"/>
            <w:vAlign w:val="center"/>
          </w:tcPr>
          <w:p>
            <w:r>
              <w:t>Instrumentan el código y generan reportes de líneas, sentencias, funciones y ramas.</w:t>
            </w:r>
          </w:p>
        </w:tc>
      </w:tr>
    </w:tbl>
    <w:p>
      <w:pPr>
        <w:pStyle w:val="Heading1"/>
      </w:pPr>
      <w:r>
        <w:t>4. Matriz de casos de prueba</w:t>
      </w:r>
    </w:p>
    <w:tbl>
      <w:tblPr>
        <w:tblStyle w:val="LightShading-Accent4"/>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6B3C8E"/>
          </w:tcPr>
          <w:p>
            <w:r>
              <w:rPr>
                <w:b/>
                <w:color w:val="FFFFFF"/>
                <w:sz w:val="17"/>
              </w:rPr>
              <w:t>ID</w:t>
            </w:r>
          </w:p>
        </w:tc>
        <w:tc>
          <w:tcPr>
            <w:tcW w:type="dxa" w:w="2520"/>
            <w:vAlign w:val="center"/>
            <w:shd w:fill="6B3C8E"/>
          </w:tcPr>
          <w:p>
            <w:r>
              <w:rPr>
                <w:b/>
                <w:color w:val="FFFFFF"/>
                <w:sz w:val="17"/>
              </w:rPr>
              <w:t>Componente</w:t>
            </w:r>
          </w:p>
        </w:tc>
        <w:tc>
          <w:tcPr>
            <w:tcW w:type="dxa" w:w="2520"/>
            <w:vAlign w:val="center"/>
            <w:shd w:fill="6B3C8E"/>
          </w:tcPr>
          <w:p>
            <w:r>
              <w:rPr>
                <w:b/>
                <w:color w:val="FFFFFF"/>
                <w:sz w:val="17"/>
              </w:rPr>
              <w:t>Caso</w:t>
            </w:r>
          </w:p>
        </w:tc>
        <w:tc>
          <w:tcPr>
            <w:tcW w:type="dxa" w:w="2520"/>
            <w:vAlign w:val="center"/>
            <w:shd w:fill="6B3C8E"/>
          </w:tcPr>
          <w:p>
            <w:r>
              <w:rPr>
                <w:b/>
                <w:color w:val="FFFFFF"/>
                <w:sz w:val="17"/>
              </w:rPr>
              <w:t>Resultado esperado</w:t>
            </w:r>
          </w:p>
        </w:tc>
      </w:tr>
      <w:tr>
        <w:tc>
          <w:tcPr>
            <w:tcW w:type="dxa" w:w="2520"/>
            <w:vAlign w:val="center"/>
          </w:tcPr>
          <w:p>
            <w:r>
              <w:rPr>
                <w:sz w:val="17"/>
              </w:rPr>
              <w:t>CAT-01</w:t>
            </w:r>
          </w:p>
        </w:tc>
        <w:tc>
          <w:tcPr>
            <w:tcW w:type="dxa" w:w="2520"/>
            <w:vAlign w:val="center"/>
          </w:tcPr>
          <w:p>
            <w:r>
              <w:rPr>
                <w:sz w:val="17"/>
              </w:rPr>
              <w:t>Catálogo</w:t>
            </w:r>
          </w:p>
        </w:tc>
        <w:tc>
          <w:tcPr>
            <w:tcW w:type="dxa" w:w="2520"/>
            <w:vAlign w:val="center"/>
          </w:tcPr>
          <w:p>
            <w:r>
              <w:rPr>
                <w:sz w:val="17"/>
              </w:rPr>
              <w:t>Renderizado inicial</w:t>
            </w:r>
          </w:p>
        </w:tc>
        <w:tc>
          <w:tcPr>
            <w:tcW w:type="dxa" w:w="2520"/>
            <w:vAlign w:val="center"/>
          </w:tcPr>
          <w:p>
            <w:r>
              <w:rPr>
                <w:sz w:val="17"/>
              </w:rPr>
              <w:t>Se muestra el título, las tarjetas y el contador completo.</w:t>
            </w:r>
          </w:p>
        </w:tc>
      </w:tr>
      <w:tr>
        <w:tc>
          <w:tcPr>
            <w:tcW w:type="dxa" w:w="2520"/>
            <w:vAlign w:val="center"/>
          </w:tcPr>
          <w:p>
            <w:r>
              <w:rPr>
                <w:sz w:val="17"/>
              </w:rPr>
              <w:t>CAT-02</w:t>
            </w:r>
          </w:p>
        </w:tc>
        <w:tc>
          <w:tcPr>
            <w:tcW w:type="dxa" w:w="2520"/>
            <w:vAlign w:val="center"/>
          </w:tcPr>
          <w:p>
            <w:r>
              <w:rPr>
                <w:sz w:val="17"/>
              </w:rPr>
              <w:t>Catálogo</w:t>
            </w:r>
          </w:p>
        </w:tc>
        <w:tc>
          <w:tcPr>
            <w:tcW w:type="dxa" w:w="2520"/>
            <w:vAlign w:val="center"/>
          </w:tcPr>
          <w:p>
            <w:r>
              <w:rPr>
                <w:sz w:val="17"/>
              </w:rPr>
              <w:t>Buscar por nombre</w:t>
            </w:r>
          </w:p>
        </w:tc>
        <w:tc>
          <w:tcPr>
            <w:tcW w:type="dxa" w:w="2520"/>
            <w:vAlign w:val="center"/>
          </w:tcPr>
          <w:p>
            <w:r>
              <w:rPr>
                <w:sz w:val="17"/>
              </w:rPr>
              <w:t>La búsqueda no distingue mayúsculas/minúsculas y actualiza el contador.</w:t>
            </w:r>
          </w:p>
        </w:tc>
      </w:tr>
      <w:tr>
        <w:tc>
          <w:tcPr>
            <w:tcW w:type="dxa" w:w="2520"/>
            <w:vAlign w:val="center"/>
          </w:tcPr>
          <w:p>
            <w:r>
              <w:rPr>
                <w:sz w:val="17"/>
              </w:rPr>
              <w:t>CAT-03</w:t>
            </w:r>
          </w:p>
        </w:tc>
        <w:tc>
          <w:tcPr>
            <w:tcW w:type="dxa" w:w="2520"/>
            <w:vAlign w:val="center"/>
          </w:tcPr>
          <w:p>
            <w:r>
              <w:rPr>
                <w:sz w:val="17"/>
              </w:rPr>
              <w:t>Catálogo</w:t>
            </w:r>
          </w:p>
        </w:tc>
        <w:tc>
          <w:tcPr>
            <w:tcW w:type="dxa" w:w="2520"/>
            <w:vAlign w:val="center"/>
          </w:tcPr>
          <w:p>
            <w:r>
              <w:rPr>
                <w:sz w:val="17"/>
              </w:rPr>
              <w:t>Combinar género y plataforma</w:t>
            </w:r>
          </w:p>
        </w:tc>
        <w:tc>
          <w:tcPr>
            <w:tcW w:type="dxa" w:w="2520"/>
            <w:vAlign w:val="center"/>
          </w:tcPr>
          <w:p>
            <w:r>
              <w:rPr>
                <w:sz w:val="17"/>
              </w:rPr>
              <w:t>Solo se muestran videojuegos que cumplen ambos filtros.</w:t>
            </w:r>
          </w:p>
        </w:tc>
      </w:tr>
      <w:tr>
        <w:tc>
          <w:tcPr>
            <w:tcW w:type="dxa" w:w="2520"/>
            <w:vAlign w:val="center"/>
          </w:tcPr>
          <w:p>
            <w:r>
              <w:rPr>
                <w:sz w:val="17"/>
              </w:rPr>
              <w:t>CAT-04</w:t>
            </w:r>
          </w:p>
        </w:tc>
        <w:tc>
          <w:tcPr>
            <w:tcW w:type="dxa" w:w="2520"/>
            <w:vAlign w:val="center"/>
          </w:tcPr>
          <w:p>
            <w:r>
              <w:rPr>
                <w:sz w:val="17"/>
              </w:rPr>
              <w:t>Catálogo</w:t>
            </w:r>
          </w:p>
        </w:tc>
        <w:tc>
          <w:tcPr>
            <w:tcW w:type="dxa" w:w="2520"/>
            <w:vAlign w:val="center"/>
          </w:tcPr>
          <w:p>
            <w:r>
              <w:rPr>
                <w:sz w:val="17"/>
              </w:rPr>
              <w:t>Sin coincidencias</w:t>
            </w:r>
          </w:p>
        </w:tc>
        <w:tc>
          <w:tcPr>
            <w:tcW w:type="dxa" w:w="2520"/>
            <w:vAlign w:val="center"/>
          </w:tcPr>
          <w:p>
            <w:r>
              <w:rPr>
                <w:sz w:val="17"/>
              </w:rPr>
              <w:t>Se muestra el mensaje de resultados vacíos y contador en cero.</w:t>
            </w:r>
          </w:p>
        </w:tc>
      </w:tr>
      <w:tr>
        <w:tc>
          <w:tcPr>
            <w:tcW w:type="dxa" w:w="2520"/>
            <w:vAlign w:val="center"/>
          </w:tcPr>
          <w:p>
            <w:r>
              <w:rPr>
                <w:sz w:val="17"/>
              </w:rPr>
              <w:t>CAT-05</w:t>
            </w:r>
          </w:p>
        </w:tc>
        <w:tc>
          <w:tcPr>
            <w:tcW w:type="dxa" w:w="2520"/>
            <w:vAlign w:val="center"/>
          </w:tcPr>
          <w:p>
            <w:r>
              <w:rPr>
                <w:sz w:val="17"/>
              </w:rPr>
              <w:t>Catálogo</w:t>
            </w:r>
          </w:p>
        </w:tc>
        <w:tc>
          <w:tcPr>
            <w:tcW w:type="dxa" w:w="2520"/>
            <w:vAlign w:val="center"/>
          </w:tcPr>
          <w:p>
            <w:r>
              <w:rPr>
                <w:sz w:val="17"/>
              </w:rPr>
              <w:t>Limpiar filtros</w:t>
            </w:r>
          </w:p>
        </w:tc>
        <w:tc>
          <w:tcPr>
            <w:tcW w:type="dxa" w:w="2520"/>
            <w:vAlign w:val="center"/>
          </w:tcPr>
          <w:p>
            <w:r>
              <w:rPr>
                <w:sz w:val="17"/>
              </w:rPr>
              <w:t>Se vacía la búsqueda y se vuelve a mostrar el catálogo completo.</w:t>
            </w:r>
          </w:p>
        </w:tc>
      </w:tr>
      <w:tr>
        <w:tc>
          <w:tcPr>
            <w:tcW w:type="dxa" w:w="2520"/>
            <w:vAlign w:val="center"/>
          </w:tcPr>
          <w:p>
            <w:r>
              <w:rPr>
                <w:sz w:val="17"/>
              </w:rPr>
              <w:t>CAT-06</w:t>
            </w:r>
          </w:p>
        </w:tc>
        <w:tc>
          <w:tcPr>
            <w:tcW w:type="dxa" w:w="2520"/>
            <w:vAlign w:val="center"/>
          </w:tcPr>
          <w:p>
            <w:r>
              <w:rPr>
                <w:sz w:val="17"/>
              </w:rPr>
              <w:t>Catálogo</w:t>
            </w:r>
          </w:p>
        </w:tc>
        <w:tc>
          <w:tcPr>
            <w:tcW w:type="dxa" w:w="2520"/>
            <w:vAlign w:val="center"/>
          </w:tcPr>
          <w:p>
            <w:r>
              <w:rPr>
                <w:sz w:val="17"/>
              </w:rPr>
              <w:t>Agregar a biblioteca</w:t>
            </w:r>
          </w:p>
        </w:tc>
        <w:tc>
          <w:tcPr>
            <w:tcW w:type="dxa" w:w="2520"/>
            <w:vAlign w:val="center"/>
          </w:tcPr>
          <w:p>
            <w:r>
              <w:rPr>
                <w:sz w:val="17"/>
              </w:rPr>
              <w:t>Se verifica la alerta con el nombre del juego, sin abrir una alerta real.</w:t>
            </w:r>
          </w:p>
        </w:tc>
      </w:tr>
      <w:tr>
        <w:tc>
          <w:tcPr>
            <w:tcW w:type="dxa" w:w="2520"/>
            <w:vAlign w:val="center"/>
          </w:tcPr>
          <w:p>
            <w:r>
              <w:rPr>
                <w:sz w:val="17"/>
              </w:rPr>
              <w:t>CON-01</w:t>
            </w:r>
          </w:p>
        </w:tc>
        <w:tc>
          <w:tcPr>
            <w:tcW w:type="dxa" w:w="2520"/>
            <w:vAlign w:val="center"/>
          </w:tcPr>
          <w:p>
            <w:r>
              <w:rPr>
                <w:sz w:val="17"/>
              </w:rPr>
              <w:t>Contacto</w:t>
            </w:r>
          </w:p>
        </w:tc>
        <w:tc>
          <w:tcPr>
            <w:tcW w:type="dxa" w:w="2520"/>
            <w:vAlign w:val="center"/>
          </w:tcPr>
          <w:p>
            <w:r>
              <w:rPr>
                <w:sz w:val="17"/>
              </w:rPr>
              <w:t>Renderizado de campos</w:t>
            </w:r>
          </w:p>
        </w:tc>
        <w:tc>
          <w:tcPr>
            <w:tcW w:type="dxa" w:w="2520"/>
            <w:vAlign w:val="center"/>
          </w:tcPr>
          <w:p>
            <w:r>
              <w:rPr>
                <w:sz w:val="17"/>
              </w:rPr>
              <w:t>Se muestran título, nombre, correo, motivo y mensaje.</w:t>
            </w:r>
          </w:p>
        </w:tc>
      </w:tr>
      <w:tr>
        <w:tc>
          <w:tcPr>
            <w:tcW w:type="dxa" w:w="2520"/>
            <w:vAlign w:val="center"/>
          </w:tcPr>
          <w:p>
            <w:r>
              <w:rPr>
                <w:sz w:val="17"/>
              </w:rPr>
              <w:t>CON-02</w:t>
            </w:r>
          </w:p>
        </w:tc>
        <w:tc>
          <w:tcPr>
            <w:tcW w:type="dxa" w:w="2520"/>
            <w:vAlign w:val="center"/>
          </w:tcPr>
          <w:p>
            <w:r>
              <w:rPr>
                <w:sz w:val="17"/>
              </w:rPr>
              <w:t>Contacto</w:t>
            </w:r>
          </w:p>
        </w:tc>
        <w:tc>
          <w:tcPr>
            <w:tcW w:type="dxa" w:w="2520"/>
            <w:vAlign w:val="center"/>
          </w:tcPr>
          <w:p>
            <w:r>
              <w:rPr>
                <w:sz w:val="17"/>
              </w:rPr>
              <w:t>Formulario vacío</w:t>
            </w:r>
          </w:p>
        </w:tc>
        <w:tc>
          <w:tcPr>
            <w:tcW w:type="dxa" w:w="2520"/>
            <w:vAlign w:val="center"/>
          </w:tcPr>
          <w:p>
            <w:r>
              <w:rPr>
                <w:sz w:val="17"/>
              </w:rPr>
              <w:t>Aparecen errores para los campos obligatorios.</w:t>
            </w:r>
          </w:p>
        </w:tc>
      </w:tr>
      <w:tr>
        <w:tc>
          <w:tcPr>
            <w:tcW w:type="dxa" w:w="2520"/>
            <w:vAlign w:val="center"/>
          </w:tcPr>
          <w:p>
            <w:r>
              <w:rPr>
                <w:sz w:val="17"/>
              </w:rPr>
              <w:t>CON-03</w:t>
            </w:r>
          </w:p>
        </w:tc>
        <w:tc>
          <w:tcPr>
            <w:tcW w:type="dxa" w:w="2520"/>
            <w:vAlign w:val="center"/>
          </w:tcPr>
          <w:p>
            <w:r>
              <w:rPr>
                <w:sz w:val="17"/>
              </w:rPr>
              <w:t>Contacto</w:t>
            </w:r>
          </w:p>
        </w:tc>
        <w:tc>
          <w:tcPr>
            <w:tcW w:type="dxa" w:w="2520"/>
            <w:vAlign w:val="center"/>
          </w:tcPr>
          <w:p>
            <w:r>
              <w:rPr>
                <w:sz w:val="17"/>
              </w:rPr>
              <w:t>Correo inválido</w:t>
            </w:r>
          </w:p>
        </w:tc>
        <w:tc>
          <w:tcPr>
            <w:tcW w:type="dxa" w:w="2520"/>
            <w:vAlign w:val="center"/>
          </w:tcPr>
          <w:p>
            <w:r>
              <w:rPr>
                <w:sz w:val="17"/>
              </w:rPr>
              <w:t>Se informa que el correo no tiene un formato válido.</w:t>
            </w:r>
          </w:p>
        </w:tc>
      </w:tr>
      <w:tr>
        <w:tc>
          <w:tcPr>
            <w:tcW w:type="dxa" w:w="2520"/>
            <w:vAlign w:val="center"/>
          </w:tcPr>
          <w:p>
            <w:r>
              <w:rPr>
                <w:sz w:val="17"/>
              </w:rPr>
              <w:t>CON-04</w:t>
            </w:r>
          </w:p>
        </w:tc>
        <w:tc>
          <w:tcPr>
            <w:tcW w:type="dxa" w:w="2520"/>
            <w:vAlign w:val="center"/>
          </w:tcPr>
          <w:p>
            <w:r>
              <w:rPr>
                <w:sz w:val="17"/>
              </w:rPr>
              <w:t>Contacto</w:t>
            </w:r>
          </w:p>
        </w:tc>
        <w:tc>
          <w:tcPr>
            <w:tcW w:type="dxa" w:w="2520"/>
            <w:vAlign w:val="center"/>
          </w:tcPr>
          <w:p>
            <w:r>
              <w:rPr>
                <w:sz w:val="17"/>
              </w:rPr>
              <w:t>Mensaje demasiado corto</w:t>
            </w:r>
          </w:p>
        </w:tc>
        <w:tc>
          <w:tcPr>
            <w:tcW w:type="dxa" w:w="2520"/>
            <w:vAlign w:val="center"/>
          </w:tcPr>
          <w:p>
            <w:r>
              <w:rPr>
                <w:sz w:val="17"/>
              </w:rPr>
              <w:t>Se muestra el error del mínimo de diez caracteres.</w:t>
            </w:r>
          </w:p>
        </w:tc>
      </w:tr>
      <w:tr>
        <w:tc>
          <w:tcPr>
            <w:tcW w:type="dxa" w:w="2520"/>
            <w:vAlign w:val="center"/>
          </w:tcPr>
          <w:p>
            <w:r>
              <w:rPr>
                <w:sz w:val="17"/>
              </w:rPr>
              <w:t>CON-05</w:t>
            </w:r>
          </w:p>
        </w:tc>
        <w:tc>
          <w:tcPr>
            <w:tcW w:type="dxa" w:w="2520"/>
            <w:vAlign w:val="center"/>
          </w:tcPr>
          <w:p>
            <w:r>
              <w:rPr>
                <w:sz w:val="17"/>
              </w:rPr>
              <w:t>Contacto</w:t>
            </w:r>
          </w:p>
        </w:tc>
        <w:tc>
          <w:tcPr>
            <w:tcW w:type="dxa" w:w="2520"/>
            <w:vAlign w:val="center"/>
          </w:tcPr>
          <w:p>
            <w:r>
              <w:rPr>
                <w:sz w:val="17"/>
              </w:rPr>
              <w:t>Datos válidos</w:t>
            </w:r>
          </w:p>
        </w:tc>
        <w:tc>
          <w:tcPr>
            <w:tcW w:type="dxa" w:w="2520"/>
            <w:vAlign w:val="center"/>
          </w:tcPr>
          <w:p>
            <w:r>
              <w:rPr>
                <w:sz w:val="17"/>
              </w:rPr>
              <w:t>Aparece confirmación local y se aclara que no se envió ni guardó.</w:t>
            </w:r>
          </w:p>
        </w:tc>
      </w:tr>
      <w:tr>
        <w:tc>
          <w:tcPr>
            <w:tcW w:type="dxa" w:w="2520"/>
            <w:vAlign w:val="center"/>
          </w:tcPr>
          <w:p>
            <w:r>
              <w:rPr>
                <w:sz w:val="17"/>
              </w:rPr>
              <w:t>CON-06</w:t>
            </w:r>
          </w:p>
        </w:tc>
        <w:tc>
          <w:tcPr>
            <w:tcW w:type="dxa" w:w="2520"/>
            <w:vAlign w:val="center"/>
          </w:tcPr>
          <w:p>
            <w:r>
              <w:rPr>
                <w:sz w:val="17"/>
              </w:rPr>
              <w:t>Contacto</w:t>
            </w:r>
          </w:p>
        </w:tc>
        <w:tc>
          <w:tcPr>
            <w:tcW w:type="dxa" w:w="2520"/>
            <w:vAlign w:val="center"/>
          </w:tcPr>
          <w:p>
            <w:r>
              <w:rPr>
                <w:sz w:val="17"/>
              </w:rPr>
              <w:t>Limpiar campos</w:t>
            </w:r>
          </w:p>
        </w:tc>
        <w:tc>
          <w:tcPr>
            <w:tcW w:type="dxa" w:w="2520"/>
            <w:vAlign w:val="center"/>
          </w:tcPr>
          <w:p>
            <w:r>
              <w:rPr>
                <w:sz w:val="17"/>
              </w:rPr>
              <w:t>Los valores y la confirmación se restablecen.</w:t>
            </w:r>
          </w:p>
        </w:tc>
      </w:tr>
      <w:tr>
        <w:tc>
          <w:tcPr>
            <w:tcW w:type="dxa" w:w="2520"/>
            <w:vAlign w:val="center"/>
          </w:tcPr>
          <w:p>
            <w:r>
              <w:rPr>
                <w:sz w:val="17"/>
              </w:rPr>
              <w:t>CON-07</w:t>
            </w:r>
          </w:p>
        </w:tc>
        <w:tc>
          <w:tcPr>
            <w:tcW w:type="dxa" w:w="2520"/>
            <w:vAlign w:val="center"/>
          </w:tcPr>
          <w:p>
            <w:r>
              <w:rPr>
                <w:sz w:val="17"/>
              </w:rPr>
              <w:t>Contacto</w:t>
            </w:r>
          </w:p>
        </w:tc>
        <w:tc>
          <w:tcPr>
            <w:tcW w:type="dxa" w:w="2520"/>
            <w:vAlign w:val="center"/>
          </w:tcPr>
          <w:p>
            <w:r>
              <w:rPr>
                <w:sz w:val="17"/>
              </w:rPr>
              <w:t>Corregir campo</w:t>
            </w:r>
          </w:p>
        </w:tc>
        <w:tc>
          <w:tcPr>
            <w:tcW w:type="dxa" w:w="2520"/>
            <w:vAlign w:val="center"/>
          </w:tcPr>
          <w:p>
            <w:r>
              <w:rPr>
                <w:sz w:val="17"/>
              </w:rPr>
              <w:t>Al corregir un campo, desaparece el error asociado.</w:t>
            </w:r>
          </w:p>
        </w:tc>
      </w:tr>
    </w:tbl>
    <w:p>
      <w:pPr>
        <w:pStyle w:val="Heading1"/>
      </w:pPr>
      <w:r>
        <w:t>5. Conceptos aplicados al proceso de testing</w:t>
      </w:r>
    </w:p>
    <w:p>
      <w:pPr>
        <w:pStyle w:val="ListBullet"/>
      </w:pPr>
      <w:r>
        <w:rPr>
          <w:b/>
        </w:rPr>
        <w:t xml:space="preserve">Aislamiento: </w:t>
      </w:r>
      <w:r>
        <w:t>Cada prueba monta el componente requerido y limpia el DOM al terminar para reducir interferencias entre casos.</w:t>
      </w:r>
    </w:p>
    <w:p>
      <w:pPr>
        <w:pStyle w:val="ListBullet"/>
      </w:pPr>
      <w:r>
        <w:rPr>
          <w:b/>
        </w:rPr>
        <w:t xml:space="preserve">Pruebas de comportamiento y DOM: </w:t>
      </w:r>
      <w:r>
        <w:t>Se escriben valores en campos, se cambian selectores y se hacen clics; luego se verifica el contenido visible.</w:t>
      </w:r>
    </w:p>
    <w:p>
      <w:pPr>
        <w:pStyle w:val="ListBullet"/>
      </w:pPr>
      <w:r>
        <w:rPr>
          <w:b/>
        </w:rPr>
        <w:t xml:space="preserve">Casos límite y errores: </w:t>
      </w:r>
      <w:r>
        <w:t>Se incluyen búsquedas sin resultados, campos vacíos, correo incorrecto y mensajes demasiado cortos.</w:t>
      </w:r>
    </w:p>
    <w:p>
      <w:pPr>
        <w:pStyle w:val="ListBullet"/>
      </w:pPr>
      <w:r>
        <w:rPr>
          <w:b/>
        </w:rPr>
        <w:t xml:space="preserve">Mocking: </w:t>
      </w:r>
      <w:r>
        <w:t>En CAT-06 se usa spyOn(window, 'alert') para comprobar la llamada de confirmación sin abrir una alerta durante la prueba.</w:t>
      </w:r>
    </w:p>
    <w:p>
      <w:pPr>
        <w:pStyle w:val="ListBullet"/>
      </w:pPr>
      <w:r>
        <w:rPr>
          <w:b/>
        </w:rPr>
        <w:t xml:space="preserve">Datos de prueba: </w:t>
      </w:r>
      <w:r>
        <w:t>Los resultados esperados del contador se calculan a partir de la lista de videojuegos del propio proyecto, evitando depender de un número escrito manualmente.</w:t>
      </w:r>
    </w:p>
    <w:p>
      <w:pPr>
        <w:pStyle w:val="ListBullet"/>
      </w:pPr>
      <w:r>
        <w:rPr>
          <w:b/>
        </w:rPr>
        <w:t xml:space="preserve">Cobertura: </w:t>
      </w:r>
      <w:r>
        <w:t>El informe permite detectar líneas, sentencias, funciones y ramas que no fueron ejecutadas. Un porcentaje alto no garantiza por sí solo que todos los escenarios importantes estén probados.</w:t>
      </w:r>
    </w:p>
    <w:p>
      <w:pPr>
        <w:pStyle w:val="Heading1"/>
      </w:pPr>
      <w:r>
        <w:t>6. Archivos incorporados</w:t>
      </w:r>
    </w:p>
    <w:p>
      <w:pPr>
        <w:pStyle w:val="ListBullet"/>
      </w:pPr>
      <w:r>
        <w:rPr>
          <w:b/>
        </w:rPr>
        <w:t xml:space="preserve">karma.conf.cjs — </w:t>
      </w:r>
      <w:r>
        <w:t>Configuración de Jasmine, Karma, Chrome Headless y reportes de cobertura.</w:t>
      </w:r>
    </w:p>
    <w:p>
      <w:pPr>
        <w:pStyle w:val="ListBullet"/>
      </w:pPr>
      <w:r>
        <w:rPr>
          <w:b/>
        </w:rPr>
        <w:t xml:space="preserve">webpack.config.cjs — </w:t>
      </w:r>
      <w:r>
        <w:t>Compilación de JSX y CSS; instrumentación del código fuente para cobertura.</w:t>
      </w:r>
    </w:p>
    <w:p>
      <w:pPr>
        <w:pStyle w:val="ListBullet"/>
      </w:pPr>
      <w:r>
        <w:rPr>
          <w:b/>
        </w:rPr>
        <w:t xml:space="preserve">test/index.js — </w:t>
      </w:r>
      <w:r>
        <w:t>Punto de entrada que importa los archivos de prueba.</w:t>
      </w:r>
    </w:p>
    <w:p>
      <w:pPr>
        <w:pStyle w:val="ListBullet"/>
      </w:pPr>
      <w:r>
        <w:rPr>
          <w:b/>
        </w:rPr>
        <w:t xml:space="preserve">test/specs/Catalogo.spec.jsx — </w:t>
      </w:r>
      <w:r>
        <w:t>Seis pruebas para búsqueda, filtros, contador, estado vacío, limpieza y alerta.</w:t>
      </w:r>
    </w:p>
    <w:p>
      <w:pPr>
        <w:pStyle w:val="ListBullet"/>
      </w:pPr>
      <w:r>
        <w:rPr>
          <w:b/>
        </w:rPr>
        <w:t xml:space="preserve">test/specs/Contacto.spec.jsx — </w:t>
      </w:r>
      <w:r>
        <w:t>Siete pruebas para campos, validaciones, confirmación y limpieza.</w:t>
      </w:r>
    </w:p>
    <w:p>
      <w:pPr>
        <w:pStyle w:val="ListBullet"/>
      </w:pPr>
      <w:r>
        <w:rPr>
          <w:b/>
        </w:rPr>
        <w:t xml:space="preserve">README-TESTING.md — </w:t>
      </w:r>
      <w:r>
        <w:t>Instrucciones de instalación, ejecución y descripción de los casos.</w:t>
      </w:r>
    </w:p>
    <w:p>
      <w:pPr>
        <w:pStyle w:val="ListBullet"/>
      </w:pPr>
      <w:r>
        <w:rPr>
          <w:b/>
        </w:rPr>
        <w:t xml:space="preserve">package.json — </w:t>
      </w:r>
      <w:r>
        <w:t>Scripts y dependencias de desarrollo para ejecutar las pruebas.</w:t>
      </w:r>
    </w:p>
    <w:p>
      <w:pPr>
        <w:pStyle w:val="Heading1"/>
      </w:pPr>
      <w:r>
        <w:t>7. Cómo ejecutar las pruebas</w:t>
      </w:r>
    </w:p>
    <w:p>
      <w:r>
        <w:t>Requisitos: Node.js compatible con las dependencias y Google Chrome instalado.</w:t>
      </w:r>
    </w:p>
    <w:p>
      <w:r>
        <w:t>1. Abrir una terminal en la carpeta raíz del proyecto.</w:t>
      </w:r>
    </w:p>
    <w:p>
      <w:r>
        <w:t>2. Ejecutar: npm install</w:t>
      </w:r>
    </w:p>
    <w:p>
      <w:r>
        <w:t>3. Ejecutar las pruebas: npm test</w:t>
      </w:r>
    </w:p>
    <w:p>
      <w:r>
        <w:t>4. Generar el informe de cobertura: npm run test:coverage</w:t>
      </w:r>
    </w:p>
    <w:p>
      <w:r>
        <w:t>5. Revisar coverage/html/index.html y el resumen mostrado en la terminal.</w:t>
      </w:r>
    </w:p>
    <w:p>
      <w:r>
        <w:t>Los comandos npm test y npm run test:coverage ejecutan Karma en modo de una sola ejecución. El comando npm run test:watch deja Karma activo para repetir las pruebas durante el desarrollo.</w:t>
      </w:r>
    </w:p>
    <w:p>
      <w:pPr>
        <w:pStyle w:val="Heading1"/>
      </w:pPr>
      <w:r>
        <w:t>8. Estado de ejecución y resultados</w:t>
      </w:r>
    </w:p>
    <w:p>
      <w:r>
        <w:rPr>
          <w:b/>
        </w:rPr>
        <w:t xml:space="preserve">Estado: configuración y casos preparados; ejecución pendiente de verificación en el equipo del proyecto. </w:t>
      </w:r>
      <w:r>
        <w:t>Durante la preparación de los archivos no fue posible completar npm install en el entorno de trabajo. Por este motivo, no se informa un porcentaje numérico de cobertura ni se afirma que los casos hayan pasado. Los porcentajes y el resultado real deben registrarse después de ejecutar la suite y revisar el reporte generado.</w:t>
      </w:r>
    </w:p>
    <w:p>
      <w:pPr>
        <w:pStyle w:val="Heading1"/>
      </w:pPr>
      <w:r>
        <w:t>9. Conclusión</w:t>
      </w:r>
    </w:p>
    <w:p>
      <w:r>
        <w:t>La suite propuesta permite comprobar funcionalidades esenciales del catálogo y del formulario de contacto, incluyendo interacciones, validaciones y estados alternativos. La combinación de Jasmine, Karma, React Testing Library y el reporte de cobertura aporta evidencia sobre qué código se ejecuta durante las pruebas. Como siguiente paso, se debe instalar las dependencias en el entorno de desarrollo, ejecutar los casos y adjuntar el informe de cobertura generado como evidencia final.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72D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7398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D4D9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7398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