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p>
      <w:pPr>
        <w:keepNext/>
        <w:spacing w:before="360" w:after="160"/>
      </w:pPr>
      <w:r>
        <w:rPr>
          <w:rFonts w:ascii="Segoe UI" w:hAnsi="Segoe UI"/>
          <w:b/>
          <w:i w:val="0"/>
          <w:color w:val="1B4332"/>
          <w:sz w:val="36"/>
        </w:rPr>
        <w:t>SECTION 23: DOC-37 PRINCIPAL &amp; C&amp;F COMMISSION &amp; RECOVERY ENGINE v2.0</w:t>
      </w:r>
    </w:p>
    <w:p>
      <w:pPr>
        <w:spacing w:before="0" w:after="120" w:line="276" w:lineRule="auto"/>
        <w:jc w:val="left"/>
      </w:pPr>
      <w:r>
        <w:rPr>
          <w:rFonts w:ascii="Segoe UI" w:hAnsi="Segoe UI"/>
          <w:b w:val="0"/>
          <w:i w:val="0"/>
          <w:color w:val="1E293B"/>
          <w:sz w:val="21"/>
        </w:rPr>
        <w:t>DOC-37 establishes the enterprise commercial commission calculation and expense recovery subsystem for Principal and C&amp;F operations. Built strictly adhering to the 4 architectural invariants, it unifies rate contract versioning, deterministic on-the-fly commission calculation, 4-eyes claim submission and approval workflows, service invoice and debit note linking, consolidated periodic recovery statement generation, and immutable SHA-256 audit trails.</w:t>
      </w:r>
    </w:p>
    <w:p>
      <w:pPr>
        <w:keepNext/>
        <w:spacing w:before="280" w:after="120"/>
      </w:pPr>
      <w:r>
        <w:rPr>
          <w:rFonts w:ascii="Segoe UI" w:hAnsi="Segoe UI"/>
          <w:b/>
          <w:i w:val="0"/>
          <w:color w:val="2D6A4F"/>
          <w:sz w:val="27"/>
        </w:rPr>
        <w:t>23.1 Engine Architecture, 4 Architectural Invariants &amp; Relational Schema Directory (14 PostgreSQL Models)</w:t>
      </w:r>
    </w:p>
    <w:p>
      <w:pPr>
        <w:spacing w:before="0" w:after="120" w:line="276" w:lineRule="auto"/>
        <w:jc w:val="left"/>
      </w:pPr>
      <w:r>
        <w:rPr>
          <w:rFonts w:ascii="Segoe UI" w:hAnsi="Segoe UI"/>
          <w:b w:val="0"/>
          <w:i w:val="0"/>
          <w:color w:val="1E293B"/>
          <w:sz w:val="21"/>
        </w:rPr>
        <w:t>DOC-37 is engineered around four non-negotiable architectural invariants designed to prevent financial ledger corruption and ensure total auditability across multi-tier pharmaceutical distribution networks:</w:t>
      </w:r>
    </w:p>
    <w:p>
      <w:pPr>
        <w:spacing w:before="0" w:after="120" w:line="276" w:lineRule="auto"/>
        <w:jc w:val="left"/>
      </w:pPr>
      <w:r>
        <w:rPr>
          <w:rFonts w:ascii="Segoe UI" w:hAnsi="Segoe UI"/>
          <w:b w:val="0"/>
          <w:i w:val="0"/>
          <w:color w:val="1E293B"/>
          <w:sz w:val="21"/>
        </w:rPr>
        <w:t>1. Zero Duplicate Ledgers: DOC-37 never creates shadow accounting ledgers. Calculations, claims, and recovery statements remain operational commercial objects. Financial recognition strictly routes through DOC-08 General Ledger, DOC-29 Statutory Tax, DOC-16 Stock, and DOC-07 Settlements via standard service invoices or credit/debit notes.</w:t>
      </w:r>
    </w:p>
    <w:p>
      <w:pPr>
        <w:spacing w:before="0" w:after="120" w:line="276" w:lineRule="auto"/>
        <w:jc w:val="left"/>
      </w:pPr>
      <w:r>
        <w:rPr>
          <w:rFonts w:ascii="Segoe UI" w:hAnsi="Segoe UI"/>
          <w:b w:val="0"/>
          <w:i w:val="0"/>
          <w:color w:val="1E293B"/>
          <w:sz w:val="21"/>
        </w:rPr>
        <w:t>2. Separation of Earned Commission vs Recoverable Expenses: Turnover commission (commercial income earned on goods sold) is strictly segregated from recoverable expenses (operational recharges for freight, demurrage, loading, and repacking). This guarantees clean taxability and profit-and-loss categorization.</w:t>
      </w:r>
    </w:p>
    <w:p>
      <w:pPr>
        <w:spacing w:before="0" w:after="120" w:line="276" w:lineRule="auto"/>
        <w:jc w:val="left"/>
      </w:pPr>
      <w:r>
        <w:rPr>
          <w:rFonts w:ascii="Segoe UI" w:hAnsi="Segoe UI"/>
          <w:b w:val="0"/>
          <w:i w:val="0"/>
          <w:color w:val="1E293B"/>
          <w:sz w:val="21"/>
        </w:rPr>
        <w:t>3. Deterministic Explainability &amp; SHA-256 Integrity: Every calculation freezes its exact mathematical formula trace, unit rates, slab parameters, and generates an immutable SHA-256 hash. Retroactive changes never overwrite history; they generate explicit delta adjustments (commission_adjustments).</w:t>
      </w:r>
    </w:p>
    <w:p>
      <w:pPr>
        <w:spacing w:before="0" w:after="120" w:line="276" w:lineRule="auto"/>
        <w:jc w:val="left"/>
      </w:pPr>
      <w:r>
        <w:rPr>
          <w:rFonts w:ascii="Segoe UI" w:hAnsi="Segoe UI"/>
          <w:b w:val="0"/>
          <w:i w:val="0"/>
          <w:color w:val="1E293B"/>
          <w:sz w:val="21"/>
        </w:rPr>
        <w:t>4. 4-Eyes Claim Workflow &amp; Dispute Isolation: Recovery claims support partial approval, allowing undisputed amounts to be invoiced immediately while disputed items are isolated into quarantine without blocking periodic settlement runs.</w:t>
      </w:r>
    </w:p>
    <w:p>
      <w:pPr>
        <w:spacing w:before="0" w:after="120" w:line="276" w:lineRule="auto"/>
        <w:jc w:val="left"/>
      </w:pPr>
      <w:r>
        <w:rPr>
          <w:rFonts w:ascii="Segoe UI" w:hAnsi="Segoe UI"/>
          <w:b w:val="0"/>
          <w:i w:val="0"/>
          <w:color w:val="1E293B"/>
          <w:sz w:val="21"/>
        </w:rPr>
        <w:t>The underlying PostgreSQL database schema comprises 14 tightly typed relational models registered in backend/models.py and initialized via backend/init_commission_tables.py:</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Relational Model &amp; Table Name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 Topology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Business Function &amp; Invariant Enforcement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PrincipalCommissionAgreement</w:t>
              <w:br/>
              <w:t>(principal_commission_agreements)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agreement_code (String 80)</w:t>
              <w:br/>
              <w:t>version_no (String 20: v1.0)</w:t>
              <w:br/>
              <w:t>valid_from, valid_to (DateTime)</w:t>
              <w:br/>
              <w:t>status (ACTIVE, SUPERSEDED)</w:t>
              <w:br/>
              <w:t>terms_json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legal agreement binding the principal to specific commercial terms, payment frequencies, dispute grace periods, and minimum guarantee rules.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CommissionRule</w:t>
              <w:br/>
              <w:t>(commission_rules)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agreement_id -&gt; principal_commission_agreements.id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rule_code (String 50)</w:t>
              <w:br/>
              <w:t>rule_name (String 150)</w:t>
              <w:br/>
              <w:t>priority (Integer)</w:t>
              <w:br/>
              <w:t>rule_type (PERCENTAGE, PER_UNIT, FIXED_PERIOD, MINIMUM_GUARANTEE)</w:t>
              <w:br/>
              <w:t>rate_pct, unit_rate, min_guarantee_amount (Numeric)</w:t>
              <w:br/>
              <w:t>formula_config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Defines specific mathematical calculation formulas (e.g. 6.5% Net Turnover, ₹15/package handling, ₹25,000 monthly minimum guarantee floor).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CommissionScope</w:t>
              <w:br/>
              <w:t>(commission_scopes)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rule_id -&gt; commission_rules.id</w:t>
              <w:br/>
              <w:t>FK: branch_id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customer_scope (ALL, TIER, SPECIFIC)</w:t>
              <w:br/>
              <w:t>territory_scope (ALL, REGIONAL)</w:t>
              <w:br/>
              <w:t>scope_filter_json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applicability boundaries restricting commission rules to specific product categories, customer tiers, or geographic territories.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CommissionEvent</w:t>
              <w:br/>
              <w:t>(commission_events)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(SALES_BILL, SALES_RETURN, FREIGHT_COST, STORAGE_CHARGE, LOADING_CHARGE)</w:t>
              <w:br/>
              <w:t>source_doc_type (INVOICE, RETURN, FREIGHT_EVENT, CONSIGNMENT)</w:t>
              <w:br/>
              <w:t>source_doc_id (String 100)</w:t>
              <w:br/>
              <w:t>idempotency_key (String 120 unique)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Idempotent operational event trigger recording source transaction provenance before calculation execution, preventing duplicate calculation runs.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CommissionMeasure</w:t>
              <w:br/>
              <w:t>(commission_measures)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measure_type (NET_SALES_VALUE, GROSS_SALES_VALUE, QUANTITY_UNITS, PACKAGE_COUNT)</w:t>
              <w:br/>
              <w:t>base_amount (Numeric 14, 2)</w:t>
              <w:br/>
              <w:t>base_quantity (Numeric 14, 2)</w:t>
              <w:br/>
              <w:t>uom (String 20: INR, PACKAGES)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Normalized quantitative basis for computation, establishing the exact net sales value or physical handling count.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CommissionCalculation</w:t>
              <w:br/>
              <w:t>(commission_calculations)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br/>
              <w:t>FK: rule_id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calculation_number (String 80 unique)</w:t>
              <w:br/>
              <w:t>category (EARNED_COMMISSION, RECOVERABLE_EXPENSE)</w:t>
              <w:br/>
              <w:t>base_value (Numeric 14, 2)</w:t>
              <w:br/>
              <w:t>rate_applied (Numeric 8, 4)</w:t>
              <w:br/>
              <w:t>calculated_amount (Numeric 14, 2)</w:t>
              <w:br/>
              <w:t>formula_trace (Text)</w:t>
              <w:br/>
              <w:t>state (CALCULATED, APPROVED, BATCHED, RECOVERY_CREATED, DISPUTED)</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Deterministic calculation record storing frozen formula breakdown, state lifecycle, and tamper-evident SHA-256 cryptographic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CommissionAdjustment</w:t>
              <w:br/>
              <w:t>(commission_adjustments)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original_calc_id -&gt; commission_calculations.id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delta_amount (Numeric 14, 2)</w:t>
              <w:br/>
              <w:t>reason_code (RETURN_REDUCTION, RATE_CORRECTION, DISPUTE_RESOLUTION)</w:t>
              <w:br/>
              <w:t>description (Text)</w:t>
              <w:br/>
              <w:t>approved_by_id (UUID)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Audit-preserving delta adjustments recording post-calculation amendments (e.g. sales returns or dispute resolutions) without overwriting historical calculations.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RecoveryClaim</w:t>
              <w:br/>
              <w:t>(recovery_claims)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claim_number (String 80 unique)</w:t>
              <w:br/>
              <w:t>period_from, period_to (DateTime)</w:t>
              <w:br/>
              <w:t>total_earned_commission (Numeric 14, 2)</w:t>
              <w:br/>
              <w:t>total_recoverable_expenses (Numeric 14, 2)</w:t>
              <w:br/>
              <w:t>total_claimed_amount (Numeric 14, 2)</w:t>
              <w:br/>
              <w:t>approved_amount, disputed_amount (Numeric 14, 2)</w:t>
              <w:br/>
              <w:t>status (DRAFT, SUBMITTED, APPROVED, PARTIALLY_APPROVED, RECOVERY_CREATED)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Formal commercial claim package aggregating approved earned commissions and recoverable expenses for 4-eyes principal approval and settlement.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RecoveryClaimLine</w:t>
              <w:br/>
              <w:t>(recovery_claim_lines)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br/>
              <w:t>FK: calc_id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source_doc_type, source_doc_id (String)</w:t>
              <w:br/>
              <w:t>line_description (String 255)</w:t>
              <w:br/>
              <w:t>requested_amount, approved_amount, disputed_amount (Numeric 14, 2)</w:t>
              <w:br/>
              <w:t>status (PENDING, APPROVED, DISPUTED)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itemization of claim components linking back to original calculation events or direct expense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RecoveryDocumentLink</w:t>
              <w:br/>
              <w:t>(recovery_document_links)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document_type (SERVICE_INVOICE, CREDIT_NOTE, DEBIT_NOTE)</w:t>
              <w:br/>
              <w:t>document_number (String 100)</w:t>
              <w:br/>
              <w:t>amount (Numeric 14, 2)</w:t>
              <w:br/>
              <w:t>linked_at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Explicit financial cross-link bridging approved operational claims into DOC-08/DOC-29 General Ledger and Statutory Tax billing.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RecoveryStatement</w:t>
              <w:br/>
              <w:t>(recovery_statements)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statement_number (String 80 unique)</w:t>
              <w:br/>
              <w:t>period_from, period_to (DateTime)</w:t>
              <w:br/>
              <w:t>earned_commission, expense_recovery, approved_commercial, invoiced_total, settled_total, outstanding_balance (Numeric 14, 2)</w:t>
              <w:br/>
              <w:t>statement_hash (String 64)</w:t>
              <w:br/>
              <w:t>status (GENERATED, RECONCILED)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Periodic authoritative commercial statement summarizing turnover earnings, recoverable ancillaries, bank remittances, and outstanding principal balance.</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RecoveryStatementLine</w:t>
              <w:br/>
              <w:t>(recovery_statement_lines)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statement_id -&gt; recovery_statements.id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category (EARNED_COMMISSION, EXPENSE_RECOVERY, SETTLEMENT)</w:t>
              <w:br/>
              <w:t>reference_doc_id (String 100)</w:t>
              <w:br/>
              <w:t>description (String 255)</w:t>
              <w:br/>
              <w:t>amount (Numeric 14,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Reconstructable line-item movement backing the periodic statement balance with full backward source-document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CommissionException</w:t>
              <w:br/>
              <w:t>(commission_exceptions)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source_id (String 100)</w:t>
              <w:br/>
              <w:t>exception_type (UNMAPPED_PRODUCT, EXPIRED_AGREEMENT, MISSING_RATE_CARD)</w:t>
              <w:br/>
              <w:t>severity (INFO, WARNING, ERROR, CRITICAL)</w:t>
              <w:br/>
              <w:t>description (Text)</w:t>
              <w:br/>
              <w:t>state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Operational exception quarantine catching products without rate cards or expired agreements before calculations are batched.</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CommissionAudit</w:t>
              <w:br/>
              <w:t>(commission_audits)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object_type (CALCULATION, CLAIM, STATEMENT, AGREEMENT)</w:t>
              <w:br/>
              <w:t>object_id (String 100)</w:t>
              <w:br/>
              <w:t>action (CALCULATE, APPROVE, DISPUTE, SUBMIT, RECONCILE)</w:t>
              <w:br/>
              <w:t>actor_username (String 100)</w:t>
              <w:br/>
              <w:t>before_hash, after_hash (String 64)</w:t>
              <w:br/>
              <w:t>details_json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Immutable audit trail capturing user actions, before/after SHA-256 hashes, and timestamped forensic evidence for regulatory compliance.</w:t>
            </w:r>
          </w:p>
        </w:tc>
      </w:tr>
    </w:tbl>
    <w:p>
      <w:pPr>
        <w:spacing w:after="160"/>
      </w:pPr>
    </w:p>
    <w:p>
      <w:pPr>
        <w:keepNext/>
        <w:spacing w:before="280" w:after="120"/>
      </w:pPr>
      <w:r>
        <w:rPr>
          <w:rFonts w:ascii="Segoe UI" w:hAnsi="Segoe UI"/>
          <w:b/>
          <w:i w:val="0"/>
          <w:color w:val="2D6A4F"/>
          <w:sz w:val="27"/>
        </w:rPr>
        <w:t>23.2 Complete RESTful API Specification (/api/commission/*)</w:t>
      </w:r>
    </w:p>
    <w:p>
      <w:pPr>
        <w:spacing w:before="0" w:after="120" w:line="276" w:lineRule="auto"/>
        <w:jc w:val="left"/>
      </w:pPr>
      <w:r>
        <w:rPr>
          <w:rFonts w:ascii="Segoe UI" w:hAnsi="Segoe UI"/>
          <w:b w:val="0"/>
          <w:i w:val="0"/>
          <w:color w:val="1E293B"/>
          <w:sz w:val="21"/>
        </w:rPr>
        <w:t>DOC-37 services are mounted under /api/commission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{total_earned_commission, total_recoverable_expenses, net_commercial_total, open_claims_count, open_claims_amount, active_agreements_count, total_settled, total_outstanding}}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Commission Control Center, reporting live commercial position across all principals.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 status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principal_code, principal_name, agreement_code, version_no, status, terms_json, rules: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active agreements with full nested rule definitions (Percentage, Per-Unit, Minimum Floor) and territory/product scopes.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event_type, source_doc_type, source_doc_id, base_value, quantity, category}</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principal_name, category, calculated_amount, formula_trace, sha256_hash,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on-the-fly deterministic calculation, evaluates active agreement rules, generates frozen formula trace and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category, state, limit (default 50)</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calculation_number, principal_name, category, calculated_amount, formula_trace, state, sha256_hash}]}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auditable calculations ledger with filtering by lifecycle state (CALCULATED, APPROVED, BATCHED, DISPUTED).</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'APPROVE'|'DISPUTE'|'ADJUST'|'CANCEL', delta_amount: float, reason: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calculated_amount, state, sha256_hash}}</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lifecycle state transition. If ADJUST, updates amount, creates CommissionAdjustment delta record, and re-computes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status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claim_number, principal_name, period_from, period_to, total_claimed_amount, approved_amount, status, lines: [...], linked_documents: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Lists recovery claims with itemized lines and linked commercial documents (Service Invoices, Debit Notes).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period_from, period_to, calc_ids: [UUID], lines: [...],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claim_number, principal_name, total_claimed_amount, status: 'DRAFT'}}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Batches approved earned commissions and recoverable expenses into a formal recovery claim, updating calc states to BATCHED.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br/>
              <w:t>Payload: {action: 'SUBMIT'|'APPROVE'|'DISPUTE'|'CREATE_DOCUMENT'|'SETTLE', approved_amount, document_type}</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Performs 4-eyes claim actions. CREATE_DOCUMENT generates linked Service Invoice (SINV-2026-XXXX) without duplicating general ledger.</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statement_number, principal_name, earned_commission, expense_recovery, invoiced_total, settled_total, outstanding_balance, statement_hash, lines: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periodic recovery statements reconciling commercial earnings, recoverable expenses, and bank remittances.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statement_number, principal_name, approved_commercial, outstanding_balance, statement_hash}}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Consolidates period calculations and claims into a formal periodic recovery statement with cryptographic integrity hash.</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state (OPEN, RESOLVED)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source_id, exception_type, severity, description,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operational exceptions queue for unmapped products or rate card discrepancies.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/api/commission/exceptions/{id}/resolve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message: 'Exception marked as RESOLVED'}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Resolves an exception record after contract amendment or supervisor clearance.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/api/commission/audits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limit (default 50)</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object_type, object_id, action, actor_username, before_hash, after_hash,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immutable forensic audit trail records with SHA-256 before/after state hashes.</w:t>
            </w:r>
          </w:p>
        </w:tc>
      </w:tr>
    </w:tbl>
    <w:p>
      <w:pPr>
        <w:spacing w:after="160"/>
      </w:pPr>
    </w:p>
    <w:p>
      <w:pPr>
        <w:keepNext/>
        <w:spacing w:before="280" w:after="120"/>
      </w:pPr>
      <w:r>
        <w:rPr>
          <w:rFonts w:ascii="Segoe UI" w:hAnsi="Segoe UI"/>
          <w:b/>
          <w:i w:val="0"/>
          <w:color w:val="2D6A4F"/>
          <w:sz w:val="27"/>
        </w:rPr>
        <w:t>23.3 Terminal Cockpits, Screen Layouts, Hotkeys &amp; UI Element Catalog</w:t>
      </w:r>
    </w:p>
    <w:p>
      <w:pPr>
        <w:spacing w:before="0" w:after="120" w:line="276" w:lineRule="auto"/>
        <w:jc w:val="left"/>
      </w:pPr>
      <w:r>
        <w:rPr>
          <w:rFonts w:ascii="Segoe UI" w:hAnsi="Segoe UI"/>
          <w:b w:val="0"/>
          <w:i w:val="0"/>
          <w:color w:val="1E293B"/>
          <w:sz w:val="21"/>
        </w:rPr>
        <w:t>DOC-37 provides a high-density Marg/Tally terminal cockpit designed for rapid zero-mouse operation at /commission:</w:t>
      </w:r>
    </w:p>
    <w:p>
      <w:pPr>
        <w:spacing w:before="0" w:after="120" w:line="276" w:lineRule="auto"/>
        <w:jc w:val="left"/>
      </w:pPr>
      <w:r>
        <w:rPr>
          <w:rFonts w:ascii="Segoe UI" w:hAnsi="Segoe UI"/>
          <w:b w:val="0"/>
          <w:i w:val="0"/>
          <w:color w:val="1E293B"/>
          <w:sz w:val="21"/>
        </w:rPr>
        <w:t>1. Commission Control Center (/commission): Features 6 top telemetry KPI cards, 5 functional tab workspaces, and live status monitoring.</w:t>
      </w:r>
    </w:p>
    <w:p>
      <w:pPr>
        <w:spacing w:before="0" w:after="120" w:line="276" w:lineRule="auto"/>
        <w:jc w:val="left"/>
      </w:pPr>
      <w:r>
        <w:rPr>
          <w:rFonts w:ascii="Segoe UI" w:hAnsi="Segoe UI"/>
          <w:b w:val="0"/>
          <w:i w:val="0"/>
          <w:color w:val="1E293B"/>
          <w:sz w:val="21"/>
        </w:rPr>
        <w:t>2. Counter Workbench Hub Tile: Added #hub-btn-commission-management launcher tile to the Home Screen with global hotkey [Ctrl+4].</w:t>
      </w:r>
    </w:p>
    <w:p>
      <w:pPr>
        <w:spacing w:before="0" w:after="120" w:line="276" w:lineRule="auto"/>
        <w:jc w:val="left"/>
      </w:pPr>
      <w:r>
        <w:rPr>
          <w:rFonts w:ascii="Segoe UI" w:hAnsi="Segoe UI"/>
          <w:b w:val="0"/>
          <w:i w:val="0"/>
          <w:color w:val="1E293B"/>
          <w:sz w:val="21"/>
        </w:rPr>
        <w:t>3. Interactive Calculation Sandbox [F3]: Allows instant simulation of sales bill turnover commissions or recoverable ancillaries with deterministic formula trace display.</w:t>
      </w:r>
    </w:p>
    <w:p>
      <w:pPr>
        <w:spacing w:before="0" w:after="120" w:line="276" w:lineRule="auto"/>
        <w:jc w:val="left"/>
      </w:pPr>
      <w:r>
        <w:rPr>
          <w:rFonts w:ascii="Segoe UI" w:hAnsi="Segoe UI"/>
          <w:b w:val="0"/>
          <w:i w:val="0"/>
          <w:color w:val="1E293B"/>
          <w:sz w:val="21"/>
        </w:rPr>
        <w:t>4. 4-Eyes Recovery Claims Desk [F4]: Allows batching of approved calculations into formal recovery claims with 1-click Service Invoice generation.</w:t>
      </w:r>
    </w:p>
    <w:p>
      <w:pPr>
        <w:spacing w:before="0" w:after="120" w:line="276" w:lineRule="auto"/>
        <w:jc w:val="left"/>
      </w:pPr>
      <w:r>
        <w:rPr>
          <w:rFonts w:ascii="Segoe UI" w:hAnsi="Segoe UI"/>
          <w:b w:val="0"/>
          <w:i w:val="0"/>
          <w:color w:val="1E293B"/>
          <w:sz w:val="21"/>
        </w:rPr>
        <w:t>5. Principal Recovery Statements Desk [F5]: Displays consolidated periodic statements reconciling turnover earnings, expense recoveries, payments, and outstanding balances with SHA-256 hash validation.</w:t>
      </w:r>
    </w:p>
    <w:p>
      <w:pPr>
        <w:spacing w:before="0" w:after="120" w:line="276" w:lineRule="auto"/>
        <w:jc w:val="left"/>
      </w:pPr>
      <w:r>
        <w:rPr>
          <w:rFonts w:ascii="Segoe UI" w:hAnsi="Segoe UI"/>
          <w:b w:val="0"/>
          <w:i w:val="0"/>
          <w:color w:val="1E293B"/>
          <w:sz w:val="21"/>
        </w:rPr>
        <w:t>6. Zero-Mouse Operational Guarantee: 100% keyboard navigable with [F2] Agreements, [F3] Sandbox, [F4] Claims Desk, [F5] Statements, [F6] Audits, [F7] New Claim Modal,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312"/>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Hub Tile Button [Ctrl+4]</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Commission Control Center (/commission).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Earned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total turnover commission earned across active distribution agreements.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Recoverable Ancillaries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total recoverable expense recharges for freight, demurrage, loading, and handling.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Net Commercial Total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net commercial value (Earned Commission + Recoverable Expenses).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Open Claims Desk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pending recovery claims count and aggregate value awaiting principal audit.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Settled Remittances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bank remittances received and outstanding principal balance.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Active 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active principal agreements count with SHA-256 hash validation indicator.</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Calculation Sandbox Tab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#btn-run-sandbox</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Executes deterministic calculation simulation and displays formula trace and SHA-256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Claims Desk Tab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Opens New Claim Batch modal with calculation multi-select checkboxes.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New Claim Modal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#btn-submit-claim-modal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Submits new recovery claim batch and transitions calculations to BATCHED.</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Modal Dialogs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Window Key Listener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Hotkey [Esc]</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Dismisses active modal cleanly without navigating away from the current tab.</w:t>
            </w:r>
          </w:p>
        </w:tc>
      </w:tr>
    </w:tbl>
    <w:p>
      <w:pPr>
        <w:spacing w:after="160"/>
      </w:pPr>
    </w:p>
    <w:p>
      <w:pPr>
        <w:keepNext/>
        <w:spacing w:before="280" w:after="120"/>
      </w:pPr>
      <w:r>
        <w:rPr>
          <w:rFonts w:ascii="Segoe UI" w:hAnsi="Segoe UI"/>
          <w:b/>
          <w:i w:val="0"/>
          <w:color w:val="2D6A4F"/>
          <w:sz w:val="27"/>
        </w:rPr>
        <w:t>23.4 Automated Local 10-Stage Selenium Verification Suite (100% PASS - Exit Code 0)</w:t>
      </w:r>
    </w:p>
    <w:p>
      <w:pPr>
        <w:spacing w:before="0" w:after="120" w:line="276" w:lineRule="auto"/>
        <w:jc w:val="left"/>
      </w:pPr>
      <w:r>
        <w:rPr>
          <w:rFonts w:ascii="Segoe UI" w:hAnsi="Segoe UI"/>
          <w:b w:val="0"/>
          <w:i w:val="0"/>
          <w:color w:val="1E293B"/>
          <w:sz w:val="21"/>
        </w:rPr>
        <w:t>A dedicated automated 10-stage test suite (test_commission_recovery_selenium.py) was executed against the local environment (Backend: http://localhost:8000, Frontend: http://localhost:50005) using headless Chrome at 1440x950 resolution.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Stage Number &amp; Name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Target Endpoint / UI Selector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Execution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Backend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Received JWT bearer token and verified organization tenancy 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Commission Summary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total_earned_commission &gt; 0, total_recoverable_expenses &gt; 0, active_agreements_count &gt;= 2.</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Agreements &amp;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Sun Pharma (6.5% Net Commission, ₹25k min guarantee) and Cipla (5.0% Gross, ₹15 handling).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On-the-fly Calculation Sandbox</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₹350k bill calculation, verified formula trace and asserted valid 64-character SHA-256 hash.</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Calculation Action (Approve)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Action APPROVE transitioned calculation state to APPROVED with audit log update.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Recovery Claim Batch Workflow</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/api/commission/claims</w:t>
              <w:br/>
              <w:t>POST /claims/{id}/action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Batched calculation into recovery claim, executed SUBMIT -&gt; APPROVE -&gt; Linked to SERVICE_INVOICE.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Statement Generation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Consolidated period earnings and recoveries into RecoveryStatement with statement hash.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Headless Browser Init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Counter Workbench Tile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Located #hub-btn-commission-management launcher on Counter Workbench. Captured verified_commission_homescreen_launcher.png.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Control Center, Sandbox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driver.get('/commission')</w:t>
              <w:br/>
              <w:t>[F3], [F5], [F7],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6 KPI cards, executed Sandbox simulation [F3], verified Statements Desk [F5], tested [F7] modal &amp; [Esc] dismissal cleanly. Captured screenshots 2,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23.5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verify_live_vercel_commission_audit.py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#hub-btn-commission-management presence. Captured live_vercel_commission_homescreen_launcher.png.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6 Top KPI cards (Earned Commission, Recoverable Ancillaries, Net Commercial Total, Open Claims, Settled, Agreements). Captured live_vercel_commission_control_center.png.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Sandbox &amp; Ledger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[F3] &amp; #btn-run-sandbox</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[F3]. Triggered live calculation simulation. Verified formula trace and calculations ledger rendering. Captured live_vercel_commission_sandbox_ledger.png.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Statements Desk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[F5], [F7] &amp;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Statements Desk [F5] with consolidated balances. Triggered New Claim Batch modal [F7] and verified instant [Esc] keyboard dismissal cleanly. Captured live_vercel_commission_statement_desk.png.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23.6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7" name="Picture 17"/>
            <wp:cNvGraphicFramePr>
              <a:graphicFrameLocks noChangeAspect="1"/>
            </wp:cNvGraphicFramePr>
            <a:graphic>
              <a:graphicData uri="http://schemas.openxmlformats.org/drawingml/2006/picture">
                <pic:pic>
                  <pic:nvPicPr>
                    <pic:cNvPr id="0" name="verified_commission_homescreen_launcher.png"/>
                    <pic:cNvPicPr/>
                  </pic:nvPicPr>
                  <pic:blipFill>
                    <a:blip r:embed="rId2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23.1: Local Verified Counter Workbench (/) displaying the dedicated Commission Engine hub tile (#hub-btn-commission-management) mapped to global hotkey [Ctrl+4].</w:t>
      </w:r>
    </w:p>
    <w:p>
      <w:pPr>
        <w:spacing w:before="160" w:after="40"/>
        <w:jc w:val="center"/>
      </w:pPr>
      <w:r>
        <w:drawing>
          <wp:inline xmlns:a="http://schemas.openxmlformats.org/drawingml/2006/main" xmlns:pic="http://schemas.openxmlformats.org/drawingml/2006/picture">
            <wp:extent cx="5669280" cy="3181495"/>
            <wp:docPr id="18" name="Picture 18"/>
            <wp:cNvGraphicFramePr>
              <a:graphicFrameLocks noChangeAspect="1"/>
            </wp:cNvGraphicFramePr>
            <a:graphic>
              <a:graphicData uri="http://schemas.openxmlformats.org/drawingml/2006/picture">
                <pic:pic>
                  <pic:nvPicPr>
                    <pic:cNvPr id="0" name="verified_commission_control_center.png"/>
                    <pic:cNvPicPr/>
                  </pic:nvPicPr>
                  <pic:blipFill>
                    <a:blip r:embed="rId2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23.2: Local Verified Commission Control Center (/commission) featuring 6 top telemetry KPI cards, agreement versioning, and the Agreements &amp; Rate Cards tab [F2].</w:t>
      </w:r>
    </w:p>
    <w:p>
      <w:pPr>
        <w:spacing w:before="160" w:after="40"/>
        <w:jc w:val="center"/>
      </w:pPr>
      <w:r>
        <w:drawing>
          <wp:inline xmlns:a="http://schemas.openxmlformats.org/drawingml/2006/main" xmlns:pic="http://schemas.openxmlformats.org/drawingml/2006/picture">
            <wp:extent cx="5669280" cy="3181495"/>
            <wp:docPr id="19" name="Picture 19"/>
            <wp:cNvGraphicFramePr>
              <a:graphicFrameLocks noChangeAspect="1"/>
            </wp:cNvGraphicFramePr>
            <a:graphic>
              <a:graphicData uri="http://schemas.openxmlformats.org/drawingml/2006/picture">
                <pic:pic>
                  <pic:nvPicPr>
                    <pic:cNvPr id="0" name="verified_commission_sandbox_ledger.png"/>
                    <pic:cNvPicPr/>
                  </pic:nvPicPr>
                  <pic:blipFill>
                    <a:blip r:embed="rId2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23.3: Local Verified Calculation Sandbox &amp; Ledger (/commission) displaying on-the-fly turnover simulation, frozen formula trace, and SHA-256 tamper-evident hash.</w:t>
      </w:r>
    </w:p>
    <w:p>
      <w:pPr>
        <w:spacing w:before="160" w:after="40"/>
        <w:jc w:val="center"/>
      </w:pPr>
      <w:r>
        <w:drawing>
          <wp:inline xmlns:a="http://schemas.openxmlformats.org/drawingml/2006/main" xmlns:pic="http://schemas.openxmlformats.org/drawingml/2006/picture">
            <wp:extent cx="5669280" cy="3181495"/>
            <wp:docPr id="20" name="Picture 20"/>
            <wp:cNvGraphicFramePr>
              <a:graphicFrameLocks noChangeAspect="1"/>
            </wp:cNvGraphicFramePr>
            <a:graphic>
              <a:graphicData uri="http://schemas.openxmlformats.org/drawingml/2006/picture">
                <pic:pic>
                  <pic:nvPicPr>
                    <pic:cNvPr id="0" name="verified_commission_statement_desk.png"/>
                    <pic:cNvPicPr/>
                  </pic:nvPicPr>
                  <pic:blipFill>
                    <a:blip r:embed="rId2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23.4: Local Verified Principal Recovery Statements Desk (/commission) displaying consolidated periodic run balances and transaction-level audit traceability.</w:t>
      </w:r>
    </w:p>
    <w:p>
      <w:pPr>
        <w:spacing w:before="160" w:after="40"/>
        <w:jc w:val="center"/>
      </w:pPr>
      <w:r>
        <w:drawing>
          <wp:inline xmlns:a="http://schemas.openxmlformats.org/drawingml/2006/main" xmlns:pic="http://schemas.openxmlformats.org/drawingml/2006/picture">
            <wp:extent cx="5669280" cy="3181495"/>
            <wp:docPr id="21" name="Picture 21"/>
            <wp:cNvGraphicFramePr>
              <a:graphicFrameLocks noChangeAspect="1"/>
            </wp:cNvGraphicFramePr>
            <a:graphic>
              <a:graphicData uri="http://schemas.openxmlformats.org/drawingml/2006/picture">
                <pic:pic>
                  <pic:nvPicPr>
                    <pic:cNvPr id="0" name="live_vercel_commission_homescreen_launcher.png"/>
                    <pic:cNvPicPr/>
                  </pic:nvPicPr>
                  <pic:blipFill>
                    <a:blip r:embed="rId2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22" name="Picture 22"/>
            <wp:cNvGraphicFramePr>
              <a:graphicFrameLocks noChangeAspect="1"/>
            </wp:cNvGraphicFramePr>
            <a:graphic>
              <a:graphicData uri="http://schemas.openxmlformats.org/drawingml/2006/picture">
                <pic:pic>
                  <pic:nvPicPr>
                    <pic:cNvPr id="0" name="live_vercel_commission_control_center.png"/>
                    <pic:cNvPicPr/>
                  </pic:nvPicPr>
                  <pic:blipFill>
                    <a:blip r:embed="rId3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23.6: Live Vercel Production Cloud Control Center (/commission) verifying live telemetry KPI cards, rate card matrix, and active principal agreements.</w:t>
      </w:r>
    </w:p>
    <w:p>
      <w:pPr>
        <w:spacing w:before="160" w:after="40"/>
        <w:jc w:val="center"/>
      </w:pPr>
      <w:r>
        <w:drawing>
          <wp:inline xmlns:a="http://schemas.openxmlformats.org/drawingml/2006/main" xmlns:pic="http://schemas.openxmlformats.org/drawingml/2006/picture">
            <wp:extent cx="5669280" cy="3181495"/>
            <wp:docPr id="23" name="Picture 23"/>
            <wp:cNvGraphicFramePr>
              <a:graphicFrameLocks noChangeAspect="1"/>
            </wp:cNvGraphicFramePr>
            <a:graphic>
              <a:graphicData uri="http://schemas.openxmlformats.org/drawingml/2006/picture">
                <pic:pic>
                  <pic:nvPicPr>
                    <pic:cNvPr id="0" name="live_vercel_commission_sandbox_ledger.png"/>
                    <pic:cNvPicPr/>
                  </pic:nvPicPr>
                  <pic:blipFill>
                    <a:blip r:embed="rId3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23.7: Live Vercel Production Cloud Calculation Sandbox verifying interactive turnover computation and deterministic ledger rendering on production CDN.</w:t>
      </w:r>
    </w:p>
    <w:p>
      <w:pPr>
        <w:spacing w:before="160" w:after="40"/>
        <w:jc w:val="center"/>
      </w:pPr>
      <w:r>
        <w:drawing>
          <wp:inline xmlns:a="http://schemas.openxmlformats.org/drawingml/2006/main" xmlns:pic="http://schemas.openxmlformats.org/drawingml/2006/picture">
            <wp:extent cx="5669280" cy="3181495"/>
            <wp:docPr id="24" name="Picture 24"/>
            <wp:cNvGraphicFramePr>
              <a:graphicFrameLocks noChangeAspect="1"/>
            </wp:cNvGraphicFramePr>
            <a:graphic>
              <a:graphicData uri="http://schemas.openxmlformats.org/drawingml/2006/picture">
                <pic:pic>
                  <pic:nvPicPr>
                    <pic:cNvPr id="0" name="live_vercel_commission_statement_desk.png"/>
                    <pic:cNvPicPr/>
                  </pic:nvPicPr>
                  <pic:blipFill>
                    <a:blip r:embed="rId3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23.8: Live Vercel Production Cloud Statements Desk (/commission) validating periodic recovery consolidation, modal dialog rendering, and instant [Esc] keyboard dismissal.</w:t>
      </w:r>
    </w:p>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