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BACKEND API &amp; DATABASE IMPLEMENTATION SPECIFICATION (For Claude)</w:t>
      </w:r>
    </w:p>
    <w:p>
      <w:pPr>
        <w:pStyle w:val="Heading1"/>
      </w:pPr>
      <w:r>
        <w:t>1. Bill-by-Bill Allocation Engine (Receipts &amp; Payments)</w:t>
      </w:r>
    </w:p>
    <w:p>
      <w:r>
        <w:t>This section dictates the strict backend implementation for the Bill-by-Bill allocation engine, replicating the Marg/Tally logic for mapping generic Receipt/Payment Vouchers to specific transactions.</w:t>
      </w:r>
    </w:p>
    <w:p>
      <w:pPr>
        <w:pStyle w:val="Heading2"/>
      </w:pPr>
      <w:r>
        <w:t>1.1 Core Business Rules &amp; Floating Vouchers</w:t>
      </w:r>
    </w:p>
    <w:p>
      <w:r>
        <w:t>1. When a user enters a Receipt Voucher, the API MUST allow them to allocate the amount against multiple target types: Sales Invoices, Credit Notes (CN), Debit Notes (DN), and previously unallocated Floating Vouchers.</w:t>
      </w:r>
    </w:p>
    <w:p>
      <w:r>
        <w:t>2. Floating Vouchers: If the user does not allocate the entire receipt amount, the remaining balance MUST be stored as a "Floating" or "On Account" advance. This floating balance can be pulled up and allocated against future invoices. If the user explicitly leaves it floating, the backend must save it with `is_floating=True`.</w:t>
      </w:r>
    </w:p>
    <w:p>
      <w:r>
        <w:t>3. Append-Only/Offset Rule: Once an allocation is saved, it cannot be hard-deleted. Mistakes must be corrected by creating negative offset allocations.</w:t>
      </w:r>
    </w:p>
    <w:p>
      <w:pPr>
        <w:pStyle w:val="Heading2"/>
      </w:pPr>
      <w:r>
        <w:t>1.2 Database Schema (SQLAlchemy)</w:t>
      </w:r>
    </w:p>
    <w:p>
      <w:r>
        <w:t>class InvoiceAllocation(Base):</w:t>
        <w:br/>
        <w:t xml:space="preserve">    __tablename__ = 'invoice_allocations'</w:t>
        <w:br/>
        <w:t xml:space="preserve">    id = Column(UUID(as_uuid=True), primary_key=True, default=uuid.uuid4)</w:t>
        <w:br/>
        <w:t xml:space="preserve">    organization_id = Column(UUID(as_uuid=True), index=True)</w:t>
        <w:br/>
        <w:t xml:space="preserve">    source_voucher_id = Column(UUID(as_uuid=True)) # The Receipt or Payment Voucher</w:t>
        <w:br/>
        <w:t xml:space="preserve">    target_invoice_id = Column(UUID(as_uuid=True), nullable=True) # Sales/Purchase Invoice</w:t>
        <w:br/>
        <w:t xml:space="preserve">    target_cn_dn_id = Column(UUID(as_uuid=True), nullable=True) # Credit/Debit Note</w:t>
        <w:br/>
        <w:t xml:space="preserve">    allocated_amount = Column(Float, nullable=False)</w:t>
        <w:br/>
        <w:t xml:space="preserve">    is_floating = Column(Boolean, default=False)</w:t>
        <w:br/>
        <w:t xml:space="preserve">    created_at = Column(DateTime, default=datetime.utcnow)</w:t>
      </w:r>
    </w:p>
    <w:p>
      <w:pPr>
        <w:pStyle w:val="Heading2"/>
      </w:pPr>
      <w:r>
        <w:t>1.3 API Endpoints Required (FastAPI)</w:t>
      </w:r>
    </w:p>
    <w:p>
      <w:r>
        <w:t>- POST /api/finance/allocations : Creates a new allocation. MUST validate that allocated_amount does not exceed the remaining balance of the target_invoice or the source_voucher.</w:t>
      </w:r>
    </w:p>
    <w:p>
      <w:r>
        <w:t>- GET /api/finance/allocations/pending : Fetches all floating/unallocated vouchers and unpaid invoices for a specific Party.</w:t>
      </w:r>
    </w:p>
    <w:p>
      <w:pPr>
        <w:pStyle w:val="Heading1"/>
      </w:pPr>
      <w:r>
        <w:t>2. Challan-to-Invoice Backend Pipeline</w:t>
      </w:r>
    </w:p>
    <w:p>
      <w:r>
        <w:t>1. Database Requirement: Add `linked_challan_id` to the `Invoice` model.</w:t>
      </w:r>
    </w:p>
    <w:p>
      <w:r>
        <w:t>2. API Rule: When converting a Challan to an Invoice, the backend MUST NOT deduct physical inventory again (as the Challan already deducted it). It must only compute GST and hit the Financial Ledgers (Accounts Receivable &amp; Sales).</w:t>
      </w:r>
    </w:p>
    <w:p>
      <w:pPr>
        <w:pStyle w:val="Heading1"/>
      </w:pPr>
      <w:r>
        <w:t>3. CRM &amp; Multi-Tenant Permissions Matrix</w:t>
      </w:r>
    </w:p>
    <w:p>
      <w:r>
        <w:t>1. Database Requirement: Add a `role_permissions` JSONB column to the `UserRole` mapping table to handle granular module access.</w:t>
      </w:r>
    </w:p>
    <w:p>
      <w:r>
        <w:t>2. API Rule: Every protected endpoint MUST check the JWT token's `organization_id` (CM boundary) and the specific `role_permissions` JSON matrix before executing.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