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FRONTEND UI SPECIFICATION: Receipt Allocation Modal (For Claude)</w:t>
      </w:r>
    </w:p>
    <w:p>
      <w:pPr>
        <w:pStyle w:val="Heading1"/>
      </w:pPr>
      <w:r>
        <w:t>1. Overview</w:t>
      </w:r>
    </w:p>
    <w:p>
      <w:r>
        <w:t>This document outlines the UI/UX requirements for the Bill-by-Bill Allocation Modal. This modal appears when a user saves a Receipt or Payment Voucher, allowing them to map the received money to outstanding invoices.</w:t>
      </w:r>
    </w:p>
    <w:p>
      <w:pPr>
        <w:pStyle w:val="Heading1"/>
      </w:pPr>
      <w:r>
        <w:t>2. Component: ReceiptAllocationModal.tsx</w:t>
      </w:r>
    </w:p>
    <w:p>
      <w:r>
        <w:t>Path: src/pages/finance/ReceiptAllocationModal.tsx</w:t>
      </w:r>
    </w:p>
    <w:p>
      <w:r>
        <w:t>Design: Use the dark enterprise theme consistent with the rest of the app (bg-slate-900, text-gray-100).</w:t>
      </w:r>
    </w:p>
    <w:p>
      <w:pPr>
        <w:pStyle w:val="Heading2"/>
      </w:pPr>
      <w:r>
        <w:t>2.1 UI Layout &amp; Features</w:t>
      </w:r>
    </w:p>
    <w:p>
      <w:r>
        <w:t>1. Header: Display the Voucher Number and the Total Amount Received (e.g., "Allocating Receipt #RCT-001 (₹ 50,000)").</w:t>
      </w:r>
    </w:p>
    <w:p>
      <w:r>
        <w:t>2. Data Fetching: On mount, call GET /api/finance/allocations/pending to fetch outstanding invoices for the selected party.</w:t>
      </w:r>
    </w:p>
    <w:p>
      <w:r>
        <w:t>3. Grid Display: Show a table of outstanding invoices with columns: Date, Invoice No, Total Amount, Outstanding, and an "Allocate" input field.</w:t>
      </w:r>
    </w:p>
    <w:p>
      <w:r>
        <w:t>4. Floating Balance: At the bottom, dynamically calculate and display: "Total Received" - "Total Allocated" = "Floating / On Account Balance".</w:t>
      </w:r>
    </w:p>
    <w:p>
      <w:r>
        <w:t>5. Submission: On click of "Save Allocations", construct the AllocationCreate payload and POST it to /api/finance/allocations. If successful, close the modal.</w:t>
      </w:r>
    </w:p>
    <w:p>
      <w:pPr>
        <w:pStyle w:val="Heading1"/>
      </w:pPr>
      <w:r>
        <w:t>3. Integration with VoucherEntry.tsx</w:t>
      </w:r>
    </w:p>
    <w:p>
      <w:r>
        <w:t>Update the existing Voucher entry screen. When a Receipt or Payment is successfully saved, instead of just returning to the dashboard, pop open the `ReceiptAllocationModal`.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