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left"/>
      </w:pPr>
      <w:r>
        <w:rPr>
          <w:rFonts w:ascii="Segoe UI" w:hAnsi="Segoe UI"/>
          <w:b/>
          <w:i w:val="0"/>
          <w:color w:val="1B4332"/>
          <w:sz w:val="48"/>
        </w:rPr>
        <w:t>Enterprise Pharmaceutical &amp; Distribution ERP v2.0</w:t>
      </w:r>
    </w:p>
    <w:p>
      <w:pPr>
        <w:spacing w:before="0" w:after="240" w:line="276" w:lineRule="auto"/>
        <w:jc w:val="left"/>
      </w:pPr>
      <w:r>
        <w:rPr>
          <w:rFonts w:ascii="Segoe UI" w:hAnsi="Segoe UI"/>
          <w:b/>
          <w:i w:val="0"/>
          <w:color w:val="2D6A4F"/>
          <w:sz w:val="28"/>
        </w:rPr>
        <w:t>Complete Software Master Walkthrough &amp; System Architecture Blueprint</w:t>
      </w:r>
    </w:p>
    <w:p>
      <w:pPr>
        <w:spacing w:before="0" w:after="320" w:line="276" w:lineRule="auto"/>
        <w:jc w:val="left"/>
      </w:pPr>
      <w:r>
        <w:rPr>
          <w:rFonts w:ascii="Segoe UI" w:hAnsi="Segoe UI"/>
          <w:b w:val="0"/>
          <w:i/>
          <w:color w:val="64748B"/>
          <w:sz w:val="21"/>
        </w:rPr>
        <w:t>An Exhaustive Operational, Functional, Keyboard-First, and Architectural Technical Reference for Developers, System Architects, Quality Engineers, and Enterprise Operators.</w:t>
      </w:r>
    </w:p>
    <w:tbl>
      <w:tblPr>
        <w:tblW w:type="auto" w:w="0"/>
        <w:jc w:val="center"/>
        <w:tblLook w:firstColumn="1" w:firstRow="1" w:lastColumn="0" w:lastRow="0" w:noHBand="0" w:noVBand="1" w:val="04A0"/>
      </w:tblPr>
      <w:tblGrid>
        <w:gridCol w:w="2340"/>
        <w:gridCol w:w="2340"/>
        <w:gridCol w:w="2340"/>
        <w:gridCol w:w="2340"/>
      </w:tblGrid>
      <w:tr>
        <w:tc>
          <w:tcPr>
            <w:tcW w:type="dxa" w:w="2160"/>
            <w:shd w:fill="1B4332"/>
            <w:tcMar>
              <w:top w:w="140" w:type="dxa"/>
              <w:bottom w:w="140" w:type="dxa"/>
              <w:left w:w="160" w:type="dxa"/>
              <w:right w:w="160" w:type="dxa"/>
            </w:tcMar>
          </w:tcPr>
          <w:p>
            <w:pPr>
              <w:jc w:val="left"/>
            </w:pPr>
            <w:r>
              <w:rPr>
                <w:rFonts w:ascii="Segoe UI" w:hAnsi="Segoe UI"/>
                <w:b/>
                <w:i w:val="0"/>
                <w:color w:val="FFFFFF"/>
                <w:sz w:val="19"/>
              </w:rPr>
              <w:t>Attribute</w:t>
            </w:r>
          </w:p>
        </w:tc>
        <w:tc>
          <w:tcPr>
            <w:tcW w:type="dxa" w:w="2520"/>
            <w:shd w:fill="1B4332"/>
            <w:tcMar>
              <w:top w:w="140" w:type="dxa"/>
              <w:bottom w:w="140" w:type="dxa"/>
              <w:left w:w="160" w:type="dxa"/>
              <w:right w:w="160" w:type="dxa"/>
            </w:tcMar>
          </w:tcPr>
          <w:p>
            <w:pPr>
              <w:jc w:val="left"/>
            </w:pPr>
            <w:r>
              <w:rPr>
                <w:rFonts w:ascii="Segoe UI" w:hAnsi="Segoe UI"/>
                <w:b/>
                <w:i w:val="0"/>
                <w:color w:val="FFFFFF"/>
                <w:sz w:val="19"/>
              </w:rPr>
              <w:t>Specification</w:t>
            </w:r>
          </w:p>
        </w:tc>
        <w:tc>
          <w:tcPr>
            <w:tcW w:type="dxa" w:w="2160"/>
            <w:shd w:fill="1B4332"/>
            <w:tcMar>
              <w:top w:w="140" w:type="dxa"/>
              <w:bottom w:w="140" w:type="dxa"/>
              <w:left w:w="160" w:type="dxa"/>
              <w:right w:w="160" w:type="dxa"/>
            </w:tcMar>
          </w:tcPr>
          <w:p>
            <w:pPr>
              <w:jc w:val="left"/>
            </w:pPr>
            <w:r>
              <w:rPr>
                <w:rFonts w:ascii="Segoe UI" w:hAnsi="Segoe UI"/>
                <w:b/>
                <w:i w:val="0"/>
                <w:color w:val="FFFFFF"/>
                <w:sz w:val="19"/>
              </w:rPr>
              <w:t>Attribute</w:t>
            </w:r>
          </w:p>
        </w:tc>
        <w:tc>
          <w:tcPr>
            <w:tcW w:type="dxa" w:w="2520"/>
            <w:shd w:fill="1B4332"/>
            <w:tcMar>
              <w:top w:w="140" w:type="dxa"/>
              <w:bottom w:w="140" w:type="dxa"/>
              <w:left w:w="160" w:type="dxa"/>
              <w:right w:w="160" w:type="dxa"/>
            </w:tcMar>
          </w:tcPr>
          <w:p>
            <w:pPr>
              <w:jc w:val="left"/>
            </w:pPr>
            <w:r>
              <w:rPr>
                <w:rFonts w:ascii="Segoe UI" w:hAnsi="Segoe UI"/>
                <w:b/>
                <w:i w:val="0"/>
                <w:color w:val="FFFFFF"/>
                <w:sz w:val="19"/>
              </w:rPr>
              <w:t>Specification</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System Version</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v2.0 RELEASE</w:t>
            </w:r>
          </w:p>
        </w:tc>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Release Date</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October 2026</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Client Shell</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Tauri v2 (Rust Native Windows)</w:t>
            </w:r>
          </w:p>
        </w:tc>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Frontend Framework</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React 19 + TypeScript + Vite</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Backend Core</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FastAPI (Python 3.13) + Uvicorn</w:t>
            </w:r>
          </w:p>
        </w:tc>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Relational Database</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PostgreSQL (Neon / Local)</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Cloud Production</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https://erp-rho-three.vercel.app</w:t>
            </w:r>
          </w:p>
        </w:tc>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Architecture Model</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Multi-Tenant AM/CM Partitioned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Keyboard Control</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100% Zero-Mouse Operable</w:t>
            </w:r>
          </w:p>
        </w:tc>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Accounting Ledger</w:t>
            </w:r>
          </w:p>
        </w:tc>
        <w:tc>
          <w:tcPr>
            <w:tcW w:type="dxa" w:w="2520"/>
            <w:shd w:fill="FFFFFF"/>
            <w:tcMar>
              <w:top w:w="100" w:type="dxa"/>
              <w:bottom w:w="100" w:type="dxa"/>
              <w:left w:w="150" w:type="dxa"/>
              <w:right w:w="150" w:type="dxa"/>
            </w:tcMar>
          </w:tcPr>
          <w:p>
            <w:pPr>
              <w:jc w:val="left"/>
            </w:pPr>
            <w:r>
              <w:rPr>
                <w:rFonts w:ascii="Segoe UI" w:hAnsi="Segoe UI"/>
                <w:b w:val="0"/>
                <w:i w:val="0"/>
                <w:color w:val="1E293B"/>
                <w:sz w:val="18"/>
              </w:rPr>
              <w:t>Append-Only Double-Entry GL</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Compliance Standard</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GSTN Offline Utility / MCA Audit</w:t>
            </w:r>
          </w:p>
        </w:tc>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Series Continuation</w:t>
            </w:r>
          </w:p>
        </w:tc>
        <w:tc>
          <w:tcPr>
            <w:tcW w:type="dxa" w:w="2520"/>
            <w:shd w:fill="F8FAF9"/>
            <w:tcMar>
              <w:top w:w="100" w:type="dxa"/>
              <w:bottom w:w="100" w:type="dxa"/>
              <w:left w:w="150" w:type="dxa"/>
              <w:right w:w="150" w:type="dxa"/>
            </w:tcMar>
          </w:tcPr>
          <w:p>
            <w:pPr>
              <w:jc w:val="left"/>
            </w:pPr>
            <w:r>
              <w:rPr>
                <w:rFonts w:ascii="Segoe UI" w:hAnsi="Segoe UI"/>
                <w:b w:val="0"/>
                <w:i w:val="0"/>
                <w:color w:val="1E293B"/>
                <w:sz w:val="18"/>
              </w:rPr>
              <w:t>Universal Marg/Tally Continuation</w:t>
            </w:r>
          </w:p>
        </w:tc>
      </w:tr>
    </w:tbl>
    <w:p>
      <w:pPr>
        <w:spacing w:after="240"/>
      </w:pPr>
    </w:p>
    <w:p>
      <w:pPr>
        <w:keepNext/>
        <w:spacing w:before="280" w:after="120"/>
      </w:pPr>
      <w:r>
        <w:rPr>
          <w:rFonts w:ascii="Segoe UI" w:hAnsi="Segoe UI"/>
          <w:b/>
          <w:i w:val="0"/>
          <w:color w:val="2D6A4F"/>
          <w:sz w:val="27"/>
        </w:rPr>
        <w:t>Executive System Purpose &amp; Operational Philosophy</w:t>
      </w:r>
    </w:p>
    <w:p>
      <w:pPr>
        <w:spacing w:before="0" w:after="120" w:line="276" w:lineRule="auto"/>
        <w:jc w:val="left"/>
      </w:pPr>
      <w:r>
        <w:rPr>
          <w:rFonts w:ascii="Segoe UI" w:hAnsi="Segoe UI"/>
          <w:b w:val="0"/>
          <w:i w:val="0"/>
          <w:color w:val="1E293B"/>
          <w:sz w:val="21"/>
        </w:rPr>
        <w:t>This Enterprise ERP platform represents the definitive modernization of traditional Indian pharmaceutical wholesale systems (such as Marg ERP, Tally Prime, and Busy Accounting) into a high-performance, cloud-synced, desktop-native web architecture. It combines lightning-fast, keyboard-driven billing workflows (2 to 3 seconds per invoice) with bank-grade financial governance, automated multi-tier approval engines, cryptographic SHA-256 audit trails, and statutory GST compliance.</w:t>
      </w:r>
    </w:p>
    <w:tbl>
      <w:tblPr>
        <w:tblW w:type="auto" w:w="0"/>
        <w:jc w:val="center"/>
        <w:tblLook w:firstColumn="1" w:firstRow="1" w:lastColumn="0" w:lastRow="0" w:noHBand="0" w:noVBand="1" w:val="04A0"/>
      </w:tblPr>
      <w:tblGrid>
        <w:gridCol w:w="9360"/>
      </w:tblGrid>
      <w:tr>
        <w:tc>
          <w:tcPr>
            <w:tcW w:type="dxa" w:w="9360"/>
            <w:shd w:fill="EEF7F2"/>
            <w:tcMar>
              <w:top w:w="140" w:type="dxa"/>
              <w:bottom w:w="140" w:type="dxa"/>
              <w:left w:w="200" w:type="dxa"/>
              <w:right w:w="180" w:type="dxa"/>
            </w:tcMar>
            <w:tcBorders>
              <w:left w:val="single" w:sz="24" w:space="0" w:color="1B4332"/>
              <w:top w:val="none"/>
              <w:right w:val="none"/>
              <w:bottom w:val="none"/>
            </w:tcBorders>
          </w:tcPr>
          <w:p>
            <w:pPr>
              <w:spacing w:before="40" w:after="40"/>
            </w:pPr>
            <w:r>
              <w:rPr>
                <w:rFonts w:ascii="Segoe UI" w:hAnsi="Segoe UI"/>
                <w:b/>
                <w:i w:val="0"/>
                <w:color w:val="1B4332"/>
                <w:sz w:val="19"/>
              </w:rPr>
              <w:t xml:space="preserve">CORE DESIGN MANDATE: </w:t>
            </w:r>
            <w:r>
              <w:rPr>
                <w:rFonts w:ascii="Segoe UI" w:hAnsi="Segoe UI"/>
                <w:b w:val="0"/>
                <w:i w:val="0"/>
                <w:color w:val="1E293B"/>
                <w:sz w:val="19"/>
              </w:rPr>
              <w:t>The system strictly adheres to the Zero-Mouse Guarantee: Any front-counter billing operator can open the application, search batches, select parties, apply trade discounts, finalize settlements, print vouchers, and move to the next customer without ever touching a computer mouse.</w:t>
            </w:r>
          </w:p>
        </w:tc>
      </w:tr>
    </w:tbl>
    <w:p>
      <w:pPr>
        <w:spacing w:after="80"/>
      </w:pPr>
    </w:p>
    <w:p>
      <w:pPr>
        <w:keepNext/>
        <w:spacing w:before="360" w:after="160"/>
      </w:pPr>
      <w:r>
        <w:rPr>
          <w:rFonts w:ascii="Segoe UI" w:hAnsi="Segoe UI"/>
          <w:b/>
          <w:i w:val="0"/>
          <w:color w:val="1B4332"/>
          <w:sz w:val="36"/>
        </w:rPr>
        <w:t>1. System Architecture, Infrastructure &amp; Dual-Screen Topology</w:t>
      </w:r>
    </w:p>
    <w:p>
      <w:pPr>
        <w:spacing w:before="0" w:after="120" w:line="276" w:lineRule="auto"/>
        <w:jc w:val="left"/>
      </w:pPr>
      <w:r>
        <w:rPr>
          <w:rFonts w:ascii="Segoe UI" w:hAnsi="Segoe UI"/>
          <w:b w:val="0"/>
          <w:i w:val="0"/>
          <w:color w:val="1E293B"/>
          <w:sz w:val="21"/>
        </w:rPr>
        <w:t>The ERP is engineered as a three-tier hybrid desktop-cloud system designed to withstand intermittent connectivity in wholesale market environments while ensuring real-time multi-branch executive control.</w:t>
      </w:r>
    </w:p>
    <w:p>
      <w:pPr>
        <w:keepNext/>
        <w:spacing w:before="280" w:after="120"/>
      </w:pPr>
      <w:r>
        <w:rPr>
          <w:rFonts w:ascii="Segoe UI" w:hAnsi="Segoe UI"/>
          <w:b/>
          <w:i w:val="0"/>
          <w:color w:val="2D6A4F"/>
          <w:sz w:val="27"/>
        </w:rPr>
        <w:t>1.1 The Dual-Screen Operational Architecture</w:t>
      </w:r>
    </w:p>
    <w:p>
      <w:pPr>
        <w:spacing w:before="0" w:after="120" w:line="276" w:lineRule="auto"/>
        <w:jc w:val="left"/>
      </w:pPr>
      <w:r>
        <w:rPr>
          <w:rFonts w:ascii="Segoe UI" w:hAnsi="Segoe UI"/>
          <w:b w:val="0"/>
          <w:i w:val="0"/>
          <w:color w:val="1E293B"/>
          <w:sz w:val="21"/>
        </w:rPr>
        <w:t>To eliminate cognitive clutter and optimize screen density for disparate roles, the system bifurcates user interactions into two purpose-built environments:</w:t>
      </w:r>
    </w:p>
    <w:tbl>
      <w:tblPr>
        <w:tblW w:type="auto" w:w="0"/>
        <w:jc w:val="center"/>
        <w:tblLook w:firstColumn="1" w:firstRow="1" w:lastColumn="0" w:lastRow="0" w:noHBand="0" w:noVBand="1" w:val="04A0"/>
      </w:tblPr>
      <w:tblGrid>
        <w:gridCol w:w="3120"/>
        <w:gridCol w:w="3120"/>
        <w:gridCol w:w="3120"/>
      </w:tblGrid>
      <w:tr>
        <w:tc>
          <w:tcPr>
            <w:tcW w:type="dxa" w:w="2592"/>
            <w:shd w:fill="1B4332"/>
            <w:tcMar>
              <w:top w:w="140" w:type="dxa"/>
              <w:bottom w:w="140" w:type="dxa"/>
              <w:left w:w="160" w:type="dxa"/>
              <w:right w:w="160" w:type="dxa"/>
            </w:tcMar>
          </w:tcPr>
          <w:p>
            <w:pPr>
              <w:jc w:val="left"/>
            </w:pPr>
            <w:r>
              <w:rPr>
                <w:rFonts w:ascii="Segoe UI" w:hAnsi="Segoe UI"/>
                <w:b/>
                <w:i w:val="0"/>
                <w:color w:val="FFFFFF"/>
                <w:sz w:val="19"/>
              </w:rPr>
              <w:t>Screen / Role</w:t>
            </w:r>
          </w:p>
        </w:tc>
        <w:tc>
          <w:tcPr>
            <w:tcW w:type="dxa" w:w="2592"/>
            <w:shd w:fill="1B4332"/>
            <w:tcMar>
              <w:top w:w="140" w:type="dxa"/>
              <w:bottom w:w="140" w:type="dxa"/>
              <w:left w:w="160" w:type="dxa"/>
              <w:right w:w="160" w:type="dxa"/>
            </w:tcMar>
          </w:tcPr>
          <w:p>
            <w:pPr>
              <w:jc w:val="left"/>
            </w:pPr>
            <w:r>
              <w:rPr>
                <w:rFonts w:ascii="Segoe UI" w:hAnsi="Segoe UI"/>
                <w:b/>
                <w:i w:val="0"/>
                <w:color w:val="FFFFFF"/>
                <w:sz w:val="19"/>
              </w:rPr>
              <w:t>Primary Route &amp; Component</w:t>
            </w:r>
          </w:p>
        </w:tc>
        <w:tc>
          <w:tcPr>
            <w:tcW w:type="dxa" w:w="4176"/>
            <w:shd w:fill="1B4332"/>
            <w:tcMar>
              <w:top w:w="140" w:type="dxa"/>
              <w:bottom w:w="140" w:type="dxa"/>
              <w:left w:w="160" w:type="dxa"/>
              <w:right w:w="160" w:type="dxa"/>
            </w:tcMar>
          </w:tcPr>
          <w:p>
            <w:pPr>
              <w:jc w:val="left"/>
            </w:pPr>
            <w:r>
              <w:rPr>
                <w:rFonts w:ascii="Segoe UI" w:hAnsi="Segoe UI"/>
                <w:b/>
                <w:i w:val="0"/>
                <w:color w:val="FFFFFF"/>
                <w:sz w:val="19"/>
              </w:rPr>
              <w:t>Functional Scope &amp; Visual Ergonomics</w:t>
            </w:r>
          </w:p>
        </w:tc>
      </w:tr>
      <w:tr>
        <w:tc>
          <w:tcPr>
            <w:tcW w:type="dxa" w:w="2592"/>
            <w:shd w:fill="FFFFFF"/>
            <w:tcMar>
              <w:top w:w="100" w:type="dxa"/>
              <w:bottom w:w="100" w:type="dxa"/>
              <w:left w:w="150" w:type="dxa"/>
              <w:right w:w="150" w:type="dxa"/>
            </w:tcMar>
          </w:tcPr>
          <w:p>
            <w:pPr>
              <w:jc w:val="left"/>
            </w:pPr>
            <w:r>
              <w:rPr>
                <w:rFonts w:ascii="Segoe UI" w:hAnsi="Segoe UI"/>
                <w:b w:val="0"/>
                <w:i w:val="0"/>
                <w:color w:val="1E293B"/>
                <w:sz w:val="18"/>
              </w:rPr>
              <w:t>Screen 1: Operational Counter Workbench</w:t>
            </w:r>
          </w:p>
        </w:tc>
        <w:tc>
          <w:tcPr>
            <w:tcW w:type="dxa" w:w="2592"/>
            <w:shd w:fill="FFFFFF"/>
            <w:tcMar>
              <w:top w:w="100" w:type="dxa"/>
              <w:bottom w:w="100" w:type="dxa"/>
              <w:left w:w="150" w:type="dxa"/>
              <w:right w:w="150" w:type="dxa"/>
            </w:tcMar>
          </w:tcPr>
          <w:p>
            <w:pPr>
              <w:jc w:val="left"/>
            </w:pPr>
            <w:r>
              <w:rPr>
                <w:rFonts w:ascii="Segoe UI" w:hAnsi="Segoe UI"/>
                <w:b w:val="0"/>
                <w:i w:val="0"/>
                <w:color w:val="1E293B"/>
                <w:sz w:val="18"/>
              </w:rPr>
              <w:t>Route: /</w:t>
              <w:br/>
              <w:t>Component: src/pages/HomeScreen.tsx</w:t>
            </w:r>
          </w:p>
        </w:tc>
        <w:tc>
          <w:tcPr>
            <w:tcW w:type="dxa" w:w="4176"/>
            <w:shd w:fill="FFFFFF"/>
            <w:tcMar>
              <w:top w:w="100" w:type="dxa"/>
              <w:bottom w:w="100" w:type="dxa"/>
              <w:left w:w="150" w:type="dxa"/>
              <w:right w:w="150" w:type="dxa"/>
            </w:tcMar>
          </w:tcPr>
          <w:p>
            <w:pPr>
              <w:jc w:val="left"/>
            </w:pPr>
            <w:r>
              <w:rPr>
                <w:rFonts w:ascii="Segoe UI" w:hAnsi="Segoe UI"/>
                <w:b w:val="0"/>
                <w:i w:val="0"/>
                <w:color w:val="1E293B"/>
                <w:sz w:val="18"/>
              </w:rPr>
              <w:t>Designed for front-desk billing clerks, cashiers, and warehouse dispatchees.</w:t>
              <w:br/>
              <w:t>• High-density metric cards: Today's Cash Collected (₹64,575.00), Today's Credit Billed (₹1,19,925.00 / 24 Invoices), Active SKU Catalog (102 products), Stockout/Expiry Risk.</w:t>
              <w:br/>
              <w:t>• Rapid Transaction Hub: Instant 1-click &amp; hotkey launchers: [Sales Bill F2], [Purchase Bill F9], [Sales Return], [Purchase Return], [Receipt F6], [Payment F5], [Day Book], [Stock Register].</w:t>
              <w:br/>
              <w:t>• Urgent Counter Exception Center: Real-time stockout, ledger block, and workflow alert cards.</w:t>
              <w:br/>
              <w:t>• Live Counter Voucher Ticker: Real-time chronological audit stream of recent billing events.</w:t>
              <w:br/>
              <w:t>• Direct Apex Link: [Executive BI Dashboard (Route: /dashboard) ↗].</w:t>
            </w:r>
          </w:p>
        </w:tc>
      </w:tr>
      <w:tr>
        <w:tc>
          <w:tcPr>
            <w:tcW w:type="dxa" w:w="2592"/>
            <w:shd w:fill="F8FAF9"/>
            <w:tcMar>
              <w:top w:w="100" w:type="dxa"/>
              <w:bottom w:w="100" w:type="dxa"/>
              <w:left w:w="150" w:type="dxa"/>
              <w:right w:w="150" w:type="dxa"/>
            </w:tcMar>
          </w:tcPr>
          <w:p>
            <w:pPr>
              <w:jc w:val="left"/>
            </w:pPr>
            <w:r>
              <w:rPr>
                <w:rFonts w:ascii="Segoe UI" w:hAnsi="Segoe UI"/>
                <w:b w:val="0"/>
                <w:i w:val="0"/>
                <w:color w:val="1E293B"/>
                <w:sz w:val="18"/>
              </w:rPr>
              <w:t>Screen 2: Executive Business Intelligence Dashboard</w:t>
            </w:r>
          </w:p>
        </w:tc>
        <w:tc>
          <w:tcPr>
            <w:tcW w:type="dxa" w:w="2592"/>
            <w:shd w:fill="F8FAF9"/>
            <w:tcMar>
              <w:top w:w="100" w:type="dxa"/>
              <w:bottom w:w="100" w:type="dxa"/>
              <w:left w:w="150" w:type="dxa"/>
              <w:right w:w="150" w:type="dxa"/>
            </w:tcMar>
          </w:tcPr>
          <w:p>
            <w:pPr>
              <w:jc w:val="left"/>
            </w:pPr>
            <w:r>
              <w:rPr>
                <w:rFonts w:ascii="Segoe UI" w:hAnsi="Segoe UI"/>
                <w:b w:val="0"/>
                <w:i w:val="0"/>
                <w:color w:val="1E293B"/>
                <w:sz w:val="18"/>
              </w:rPr>
              <w:t>Route: /dashboard</w:t>
              <w:br/>
              <w:t>Components: ClientDashboard.tsx &amp; AdminDashboard.tsx</w:t>
            </w:r>
          </w:p>
        </w:tc>
        <w:tc>
          <w:tcPr>
            <w:tcW w:type="dxa" w:w="4176"/>
            <w:shd w:fill="F8FAF9"/>
            <w:tcMar>
              <w:top w:w="100" w:type="dxa"/>
              <w:bottom w:w="100" w:type="dxa"/>
              <w:left w:w="150" w:type="dxa"/>
              <w:right w:w="150" w:type="dxa"/>
            </w:tcMar>
          </w:tcPr>
          <w:p>
            <w:pPr>
              <w:jc w:val="left"/>
            </w:pPr>
            <w:r>
              <w:rPr>
                <w:rFonts w:ascii="Segoe UI" w:hAnsi="Segoe UI"/>
                <w:b w:val="0"/>
                <w:i w:val="0"/>
                <w:color w:val="1E293B"/>
                <w:sz w:val="18"/>
              </w:rPr>
              <w:t>Designed for proprietors, CFOs, chartered accountants, and operations directors.</w:t>
              <w:br/>
              <w:t>• Apex Executive KPI Strip: Gross Revenue (₹56,78,230.00 / +14.2% YoY), Procurement Volume (₹42,15,760.00), Gross Operating Margin (₹14,62,470.00 / 18.5%), Consolidated Liquidity (₹18,75,320.00 / Quick Ratio 1.82).</w:t>
              <w:br/>
              <w:t>• 7-Month Comparative Sales vs Purchase Curve: Dual-gradient trend area chart.</w:t>
              <w:br/>
              <w:t>• Operating Expense (Opex) Donut: Visual breakdown of ₹4.77 Lakhs overheads.</w:t>
              <w:br/>
              <w:t>• Top 5 Revenue Medicines: Augmentin 625, Crocin 650, Dolo 650, Azithral 500, Pan-D.</w:t>
              <w:br/>
              <w:t>• Receivables Ageing Risk Bar: 0-30d, 31-60d, 61-90d, 90+d overdue distribution.</w:t>
              <w:br/>
              <w:t>• Compact Regional Sales Map Widget: Click-to-expand vector map (#mapModal) tracking territory revenue and chemist quotas (strictly zero fleet tracking).</w:t>
            </w:r>
          </w:p>
        </w:tc>
      </w:tr>
    </w:tbl>
    <w:p>
      <w:pPr>
        <w:spacing w:after="160"/>
      </w:pPr>
    </w:p>
    <w:p>
      <w:pPr>
        <w:keepNext/>
        <w:spacing w:before="280" w:after="120"/>
      </w:pPr>
      <w:r>
        <w:rPr>
          <w:rFonts w:ascii="Segoe UI" w:hAnsi="Segoe UI"/>
          <w:b/>
          <w:i w:val="0"/>
          <w:color w:val="2D6A4F"/>
          <w:sz w:val="27"/>
        </w:rPr>
        <w:t>1.2 Multi-Tenant Partitioning (AM vs CM Architecture)</w:t>
      </w:r>
    </w:p>
    <w:p>
      <w:pPr>
        <w:spacing w:before="0" w:after="120" w:line="276" w:lineRule="auto"/>
        <w:jc w:val="left"/>
      </w:pPr>
      <w:r>
        <w:rPr>
          <w:rFonts w:ascii="Segoe UI" w:hAnsi="Segoe UI"/>
          <w:b w:val="0"/>
          <w:i w:val="0"/>
          <w:color w:val="1E293B"/>
          <w:sz w:val="21"/>
        </w:rPr>
        <w:t>The database enforces strict tenant isolation using two administrative tiers:</w:t>
      </w:r>
    </w:p>
    <w:p>
      <w:pPr>
        <w:spacing w:before="0" w:after="120" w:line="276" w:lineRule="auto"/>
        <w:jc w:val="left"/>
      </w:pPr>
      <w:r>
        <w:rPr>
          <w:rFonts w:ascii="Segoe UI" w:hAnsi="Segoe UI"/>
          <w:b w:val="0"/>
          <w:i w:val="0"/>
          <w:color w:val="1E293B"/>
          <w:sz w:val="21"/>
        </w:rPr>
        <w:t>• Admin Master (AM-0001): Super-tenant partition governing system parameters, license entitlements, cross-company subscription audits, and global tax tables. AM administrators possess override authority across all client partitions.</w:t>
      </w:r>
    </w:p>
    <w:p>
      <w:pPr>
        <w:spacing w:before="0" w:after="120" w:line="276" w:lineRule="auto"/>
        <w:jc w:val="left"/>
      </w:pPr>
      <w:r>
        <w:rPr>
          <w:rFonts w:ascii="Segoe UI" w:hAnsi="Segoe UI"/>
          <w:b w:val="0"/>
          <w:i w:val="0"/>
          <w:color w:val="1E293B"/>
          <w:sz w:val="21"/>
        </w:rPr>
        <w:t>• Client Master (CM-XXXX): Enterprise tenant partition. Each client company operates in complete mathematical isolation with dedicated General Ledger accounts, voucher series counters, warehouse locations, and user roles. No database query can span across CM partitions without explicit elevated AM impersonation tokens.</w:t>
      </w:r>
    </w:p>
    <w:p>
      <w:pPr>
        <w:keepNext/>
        <w:spacing w:before="360" w:after="160"/>
      </w:pPr>
      <w:r>
        <w:rPr>
          <w:rFonts w:ascii="Segoe UI" w:hAnsi="Segoe UI"/>
          <w:b/>
          <w:i w:val="0"/>
          <w:color w:val="1B4332"/>
          <w:sz w:val="36"/>
        </w:rPr>
        <w:t>2. Universal Keyboard Command System &amp; Series Continuation</w:t>
      </w:r>
    </w:p>
    <w:p>
      <w:pPr>
        <w:spacing w:before="0" w:after="120" w:line="276" w:lineRule="auto"/>
        <w:jc w:val="left"/>
      </w:pPr>
      <w:r>
        <w:rPr>
          <w:rFonts w:ascii="Segoe UI" w:hAnsi="Segoe UI"/>
          <w:b w:val="0"/>
          <w:i w:val="0"/>
          <w:color w:val="1E293B"/>
          <w:sz w:val="21"/>
        </w:rPr>
        <w:t>A cornerstone of the system is the Universal Keyboard Command System (DOC-05) and the Alphanumeric Series Continuation Engine. Every screen reacts immediately to standard financial function keys.</w:t>
      </w:r>
    </w:p>
    <w:p>
      <w:pPr>
        <w:keepNext/>
        <w:spacing w:before="280" w:after="120"/>
      </w:pPr>
      <w:r>
        <w:rPr>
          <w:rFonts w:ascii="Segoe UI" w:hAnsi="Segoe UI"/>
          <w:b/>
          <w:i w:val="0"/>
          <w:color w:val="2D6A4F"/>
          <w:sz w:val="27"/>
        </w:rPr>
        <w:t>2.1 Master Keyboard Hotkey Directory</w:t>
      </w:r>
    </w:p>
    <w:tbl>
      <w:tblPr>
        <w:tblW w:type="auto" w:w="0"/>
        <w:jc w:val="center"/>
        <w:tblLook w:firstColumn="1" w:firstRow="1" w:lastColumn="0" w:lastRow="0" w:noHBand="0" w:noVBand="1" w:val="04A0"/>
      </w:tblPr>
      <w:tblGrid>
        <w:gridCol w:w="3120"/>
        <w:gridCol w:w="3120"/>
        <w:gridCol w:w="3120"/>
      </w:tblGrid>
      <w:tr>
        <w:tc>
          <w:tcPr>
            <w:tcW w:type="dxa" w:w="2160"/>
            <w:shd w:fill="1B4332"/>
            <w:tcMar>
              <w:top w:w="140" w:type="dxa"/>
              <w:bottom w:w="140" w:type="dxa"/>
              <w:left w:w="160" w:type="dxa"/>
              <w:right w:w="160" w:type="dxa"/>
            </w:tcMar>
          </w:tcPr>
          <w:p>
            <w:pPr>
              <w:jc w:val="left"/>
            </w:pPr>
            <w:r>
              <w:rPr>
                <w:rFonts w:ascii="Segoe UI" w:hAnsi="Segoe UI"/>
                <w:b/>
                <w:i w:val="0"/>
                <w:color w:val="FFFFFF"/>
                <w:sz w:val="19"/>
              </w:rPr>
              <w:t>Key / Shortcut</w:t>
            </w:r>
          </w:p>
        </w:tc>
        <w:tc>
          <w:tcPr>
            <w:tcW w:type="dxa" w:w="3600"/>
            <w:shd w:fill="1B4332"/>
            <w:tcMar>
              <w:top w:w="140" w:type="dxa"/>
              <w:bottom w:w="140" w:type="dxa"/>
              <w:left w:w="160" w:type="dxa"/>
              <w:right w:w="160" w:type="dxa"/>
            </w:tcMar>
          </w:tcPr>
          <w:p>
            <w:pPr>
              <w:jc w:val="left"/>
            </w:pPr>
            <w:r>
              <w:rPr>
                <w:rFonts w:ascii="Segoe UI" w:hAnsi="Segoe UI"/>
                <w:b/>
                <w:i w:val="0"/>
                <w:color w:val="FFFFFF"/>
                <w:sz w:val="19"/>
              </w:rPr>
              <w:t>Global Operational Action</w:t>
            </w:r>
          </w:p>
        </w:tc>
        <w:tc>
          <w:tcPr>
            <w:tcW w:type="dxa" w:w="3600"/>
            <w:shd w:fill="1B4332"/>
            <w:tcMar>
              <w:top w:w="140" w:type="dxa"/>
              <w:bottom w:w="140" w:type="dxa"/>
              <w:left w:w="160" w:type="dxa"/>
              <w:right w:w="160" w:type="dxa"/>
            </w:tcMar>
          </w:tcPr>
          <w:p>
            <w:pPr>
              <w:jc w:val="left"/>
            </w:pPr>
            <w:r>
              <w:rPr>
                <w:rFonts w:ascii="Segoe UI" w:hAnsi="Segoe UI"/>
                <w:b/>
                <w:i w:val="0"/>
                <w:color w:val="FFFFFF"/>
                <w:sz w:val="19"/>
              </w:rPr>
              <w:t>Target Screen / Modal Triggered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F2</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Direct Sales Bill Launcher</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Opens Counter Sales Billing Cockpit (/sales)</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F3</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Direct Loose Return / Batch Picker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Sales Return Loose Mode / Grid Batch Selection Popup</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F4</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Unified Approval &amp; Workflow Inbox</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Opens Approval &amp; Task Inbox Cockpit (/workflow/inbox)</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F5</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Supplier Outward Payment Voucher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Opens Outward Payment Voucher Entry (/payment)</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F6</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Customer Counter Collection Receipt</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Opens Counter Customer Receipt Entry (/receipt)</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F7</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Customer / Supplier Party Picker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Populates party selector with balance and credit limits</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F8</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Stock Position &amp; Godown Query</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Opens multi-warehouse stock inquiry drawer</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F9</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Purchase Inward Voucher Launcher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Opens Purchase Inward / Vendor Bill Entry (/purchase)</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Ctrl + B</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Auto-Balance Journal Voucher Lines</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Calculates Dr/Cr difference and inserts balancing row</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Ctrl + S / Alt + S</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Commit &amp; Post Transaction Voucher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Validates invariants, commits to DB, triggers GL posting</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Alt + A</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FIFO Bill-by-Bill Auto-Allocation</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Chronologically settles oldest outstanding debit invoices</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End / Enter on Empty</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Discount &amp; Settlement Trigger</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Opens final invoice discount and settlement dialog</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Esc</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Universal Dismiss / Step Backward</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Closes active modal, clears selection, returns to prior grid</w:t>
            </w:r>
          </w:p>
        </w:tc>
      </w:tr>
    </w:tbl>
    <w:p>
      <w:pPr>
        <w:spacing w:after="160"/>
      </w:pPr>
    </w:p>
    <w:p>
      <w:pPr>
        <w:keepNext/>
        <w:spacing w:before="280" w:after="120"/>
      </w:pPr>
      <w:r>
        <w:rPr>
          <w:rFonts w:ascii="Segoe UI" w:hAnsi="Segoe UI"/>
          <w:b/>
          <w:i w:val="0"/>
          <w:color w:val="2D6A4F"/>
          <w:sz w:val="27"/>
        </w:rPr>
        <w:t>2.2 Universal Alphanumeric Series Continuation Engine</w:t>
      </w:r>
    </w:p>
    <w:p>
      <w:pPr>
        <w:spacing w:before="0" w:after="120" w:line="276" w:lineRule="auto"/>
        <w:jc w:val="left"/>
      </w:pPr>
      <w:r>
        <w:rPr>
          <w:rFonts w:ascii="Segoe UI" w:hAnsi="Segoe UI"/>
          <w:b w:val="0"/>
          <w:i w:val="0"/>
          <w:color w:val="1E293B"/>
          <w:sz w:val="21"/>
        </w:rPr>
        <w:t>Unlike conventional web ERPs that force rigid database sequences, this platform incorporates the Universal Marg/Tally Alphanumeric Series Continuation Algorithm:</w:t>
      </w:r>
    </w:p>
    <w:tbl>
      <w:tblPr>
        <w:tblW w:type="auto" w:w="0"/>
        <w:jc w:val="center"/>
        <w:tblLook w:firstColumn="1" w:firstRow="1" w:lastColumn="0" w:lastRow="0" w:noHBand="0" w:noVBand="1" w:val="04A0"/>
      </w:tblPr>
      <w:tblGrid>
        <w:gridCol w:w="9360"/>
      </w:tblGrid>
      <w:tr>
        <w:tc>
          <w:tcPr>
            <w:tcW w:type="dxa" w:w="9360"/>
            <w:shd w:fill="EEF7F2"/>
            <w:tcMar>
              <w:top w:w="140" w:type="dxa"/>
              <w:bottom w:w="140" w:type="dxa"/>
              <w:left w:w="200" w:type="dxa"/>
              <w:right w:w="180" w:type="dxa"/>
            </w:tcMar>
            <w:tcBorders>
              <w:left w:val="single" w:sz="24" w:space="0" w:color="1B4332"/>
              <w:top w:val="none"/>
              <w:right w:val="none"/>
              <w:bottom w:val="none"/>
            </w:tcBorders>
          </w:tcPr>
          <w:p>
            <w:pPr>
              <w:spacing w:before="40" w:after="40"/>
            </w:pPr>
            <w:r>
              <w:rPr>
                <w:rFonts w:ascii="Segoe UI" w:hAnsi="Segoe UI"/>
                <w:b/>
                <w:i w:val="0"/>
                <w:color w:val="1B4332"/>
                <w:sz w:val="19"/>
              </w:rPr>
              <w:t xml:space="preserve">ALGORITHM SPECIFICATION: </w:t>
            </w:r>
            <w:r>
              <w:rPr>
                <w:rFonts w:ascii="Segoe UI" w:hAnsi="Segoe UI"/>
                <w:b w:val="0"/>
                <w:i w:val="0"/>
                <w:color w:val="1E293B"/>
                <w:sz w:val="19"/>
              </w:rPr>
              <w:t>Regex Pattern: /^([A-Za-z0-9_-]*?)(\d+)$/</w:t>
              <w:br/>
              <w:t>• Parsing: Extracts arbitrary text prefixes (e.g., 'RJ-INV-', 'PB/2026/', 'DN-') and trailing numeric integers.</w:t>
              <w:br/>
              <w:t>• Progression: Automatically increments the integer by 1 while strictly preserving leading zeroes (e.g., 'RJ-DN-0020' -&gt; 'RJ-DN-0021').</w:t>
              <w:br/>
              <w:t>• Zero-Overwrite Rule: If a user enters a custom alphanumeric series during billing, the ERP preserves the custom sequence in localStorage, increments it for the subsequent bill, and never overrides user customization with system defaults.</w:t>
            </w:r>
          </w:p>
        </w:tc>
      </w:tr>
    </w:tbl>
    <w:p>
      <w:pPr>
        <w:spacing w:after="80"/>
      </w:pPr>
    </w:p>
    <w:p>
      <w:pPr>
        <w:keepNext/>
        <w:spacing w:before="360" w:after="160"/>
      </w:pPr>
      <w:r>
        <w:rPr>
          <w:rFonts w:ascii="Segoe UI" w:hAnsi="Segoe UI"/>
          <w:b/>
          <w:i w:val="0"/>
          <w:color w:val="1B4332"/>
          <w:sz w:val="36"/>
        </w:rPr>
        <w:t>3. Master Data Catalogs, Warehouses &amp; Pricing Frameworks</w:t>
      </w:r>
    </w:p>
    <w:p>
      <w:pPr>
        <w:spacing w:before="0" w:after="120" w:line="276" w:lineRule="auto"/>
        <w:jc w:val="left"/>
      </w:pPr>
      <w:r>
        <w:rPr>
          <w:rFonts w:ascii="Segoe UI" w:hAnsi="Segoe UI"/>
          <w:b w:val="0"/>
          <w:i w:val="0"/>
          <w:color w:val="1E293B"/>
          <w:sz w:val="21"/>
        </w:rPr>
        <w:t>The foundational masters ensure total regulatory adherence for pharmaceutical and FMCG distribution:</w:t>
      </w:r>
    </w:p>
    <w:p>
      <w:pPr>
        <w:spacing w:before="0" w:after="120" w:line="276" w:lineRule="auto"/>
        <w:jc w:val="left"/>
      </w:pPr>
      <w:r>
        <w:rPr>
          <w:rFonts w:ascii="Segoe UI" w:hAnsi="Segoe UI"/>
          <w:b w:val="0"/>
          <w:i w:val="0"/>
          <w:color w:val="1E293B"/>
          <w:sz w:val="21"/>
        </w:rPr>
        <w:t>• Customer &amp; Supplier Master (DOC-10): Manages GSTIN, PAN, Drug License Numbers (Forms 20B &amp; 21B), FSSAI licenses, credit day limits, credit balance ceilings, and designated sales routes.</w:t>
      </w:r>
    </w:p>
    <w:p>
      <w:pPr>
        <w:spacing w:before="0" w:after="120" w:line="276" w:lineRule="auto"/>
        <w:jc w:val="left"/>
      </w:pPr>
      <w:r>
        <w:rPr>
          <w:rFonts w:ascii="Segoe UI" w:hAnsi="Segoe UI"/>
          <w:b w:val="0"/>
          <w:i w:val="0"/>
          <w:color w:val="1E293B"/>
          <w:sz w:val="21"/>
        </w:rPr>
        <w:t>• Product, SKU &amp; Batch Pricing Master (DOC-11): Catalogs brand names, generic formulations, HSN codes, GST tax rates (0%, 5%, 12%, 18%, 28%), packaging units (e.g. 1x10 Tablets, 100ml Syrup), Maximum Retail Price (MRP), Sale Rate (SRate), Purchase Rate (PRate), Cost Rate, and Expiry Dates (MM/YY format).</w:t>
      </w:r>
    </w:p>
    <w:p>
      <w:pPr>
        <w:spacing w:before="0" w:after="120" w:line="276" w:lineRule="auto"/>
        <w:jc w:val="left"/>
      </w:pPr>
      <w:r>
        <w:rPr>
          <w:rFonts w:ascii="Segoe UI" w:hAnsi="Segoe UI"/>
          <w:b w:val="0"/>
          <w:i w:val="0"/>
          <w:color w:val="1E293B"/>
          <w:sz w:val="21"/>
        </w:rPr>
        <w:t>• Multi-Godown Warehouse Framework (DOC-13): Physical and virtual inventory partitioning across: 🟢 Saleable Main Godown (Counter/Dispatch), 🔴 Breakage Godown (Damaged in transit/counter), 🟡 Expired Godown (Quarantined for manufacturer return), and 🔵 In-Transit Godown (Cargo consignment).</w:t>
      </w:r>
    </w:p>
    <w:p>
      <w:pPr>
        <w:spacing w:before="0" w:after="120" w:line="276" w:lineRule="auto"/>
        <w:jc w:val="left"/>
      </w:pPr>
      <w:r>
        <w:rPr>
          <w:rFonts w:ascii="Segoe UI" w:hAnsi="Segoe UI"/>
          <w:b w:val="0"/>
          <w:i w:val="0"/>
          <w:color w:val="1E293B"/>
          <w:sz w:val="21"/>
        </w:rPr>
        <w:t>• Scheme, Discount &amp; Free Goods Engine (DOC-14, DOC-15): Configures automated promotional schemes (e.g., 10+1 Free, 20+3 Free), flat manufacturer trade discounts, chemist tiered volume discounts, and cash settlement rebates.</w:t>
      </w:r>
    </w:p>
    <w:p>
      <w:pPr>
        <w:keepNext/>
        <w:spacing w:before="360" w:after="160"/>
      </w:pPr>
      <w:r>
        <w:rPr>
          <w:rFonts w:ascii="Segoe UI" w:hAnsi="Segoe UI"/>
          <w:b/>
          <w:i w:val="0"/>
          <w:color w:val="1B4332"/>
          <w:sz w:val="36"/>
        </w:rPr>
        <w:t>4. The 6 Core Transaction Billing Modules (100% Keyboard-Operated)</w:t>
      </w:r>
    </w:p>
    <w:p>
      <w:pPr>
        <w:spacing w:before="0" w:after="120" w:line="276" w:lineRule="auto"/>
        <w:jc w:val="left"/>
      </w:pPr>
      <w:r>
        <w:rPr>
          <w:rFonts w:ascii="Segoe UI" w:hAnsi="Segoe UI"/>
          <w:b w:val="0"/>
          <w:i w:val="0"/>
          <w:color w:val="1E293B"/>
          <w:sz w:val="21"/>
        </w:rPr>
        <w:t>The transaction engine provides six specialized voucher modules engineered for high-frequency counter operations:</w:t>
      </w:r>
    </w:p>
    <w:tbl>
      <w:tblPr>
        <w:tblW w:type="auto" w:w="0"/>
        <w:jc w:val="center"/>
        <w:tblLook w:firstColumn="1" w:firstRow="1" w:lastColumn="0" w:lastRow="0" w:noHBand="0" w:noVBand="1" w:val="04A0"/>
      </w:tblPr>
      <w:tblGrid>
        <w:gridCol w:w="2340"/>
        <w:gridCol w:w="2340"/>
        <w:gridCol w:w="2340"/>
        <w:gridCol w:w="2340"/>
      </w:tblGrid>
      <w:tr>
        <w:tc>
          <w:tcPr>
            <w:tcW w:type="dxa" w:w="2016"/>
            <w:shd w:fill="1B4332"/>
            <w:tcMar>
              <w:top w:w="140" w:type="dxa"/>
              <w:bottom w:w="140" w:type="dxa"/>
              <w:left w:w="160" w:type="dxa"/>
              <w:right w:w="160" w:type="dxa"/>
            </w:tcMar>
          </w:tcPr>
          <w:p>
            <w:pPr>
              <w:jc w:val="left"/>
            </w:pPr>
            <w:r>
              <w:rPr>
                <w:rFonts w:ascii="Segoe UI" w:hAnsi="Segoe UI"/>
                <w:b/>
                <w:i w:val="0"/>
                <w:color w:val="FFFFFF"/>
                <w:sz w:val="19"/>
              </w:rPr>
              <w:t>Module &amp; Route</w:t>
            </w:r>
          </w:p>
        </w:tc>
        <w:tc>
          <w:tcPr>
            <w:tcW w:type="dxa" w:w="1872"/>
            <w:shd w:fill="1B4332"/>
            <w:tcMar>
              <w:top w:w="140" w:type="dxa"/>
              <w:bottom w:w="140" w:type="dxa"/>
              <w:left w:w="160" w:type="dxa"/>
              <w:right w:w="160" w:type="dxa"/>
            </w:tcMar>
          </w:tcPr>
          <w:p>
            <w:pPr>
              <w:jc w:val="left"/>
            </w:pPr>
            <w:r>
              <w:rPr>
                <w:rFonts w:ascii="Segoe UI" w:hAnsi="Segoe UI"/>
                <w:b/>
                <w:i w:val="0"/>
                <w:color w:val="FFFFFF"/>
                <w:sz w:val="19"/>
              </w:rPr>
              <w:t>Source Component</w:t>
            </w:r>
          </w:p>
        </w:tc>
        <w:tc>
          <w:tcPr>
            <w:tcW w:type="dxa" w:w="4032"/>
            <w:shd w:fill="1B4332"/>
            <w:tcMar>
              <w:top w:w="140" w:type="dxa"/>
              <w:bottom w:w="140" w:type="dxa"/>
              <w:left w:w="160" w:type="dxa"/>
              <w:right w:w="160" w:type="dxa"/>
            </w:tcMar>
          </w:tcPr>
          <w:p>
            <w:pPr>
              <w:jc w:val="left"/>
            </w:pPr>
            <w:r>
              <w:rPr>
                <w:rFonts w:ascii="Segoe UI" w:hAnsi="Segoe UI"/>
                <w:b/>
                <w:i w:val="0"/>
                <w:color w:val="FFFFFF"/>
                <w:sz w:val="19"/>
              </w:rPr>
              <w:t>Operational Flow &amp; Double-Entry Accounting Impact</w:t>
            </w:r>
          </w:p>
        </w:tc>
        <w:tc>
          <w:tcPr>
            <w:tcW w:type="dxa" w:w="1440"/>
            <w:shd w:fill="1B4332"/>
            <w:tcMar>
              <w:top w:w="140" w:type="dxa"/>
              <w:bottom w:w="140" w:type="dxa"/>
              <w:left w:w="160" w:type="dxa"/>
              <w:right w:w="160" w:type="dxa"/>
            </w:tcMar>
          </w:tcPr>
          <w:p>
            <w:pPr>
              <w:jc w:val="left"/>
            </w:pPr>
            <w:r>
              <w:rPr>
                <w:rFonts w:ascii="Segoe UI" w:hAnsi="Segoe UI"/>
                <w:b/>
                <w:i w:val="0"/>
                <w:color w:val="FFFFFF"/>
                <w:sz w:val="19"/>
              </w:rPr>
              <w:t>Series Example</w:t>
            </w:r>
          </w:p>
        </w:tc>
      </w:tr>
      <w:tr>
        <w:tc>
          <w:tcPr>
            <w:tcW w:type="dxa" w:w="2016"/>
            <w:shd w:fill="FFFFFF"/>
            <w:tcMar>
              <w:top w:w="100" w:type="dxa"/>
              <w:bottom w:w="100" w:type="dxa"/>
              <w:left w:w="150" w:type="dxa"/>
              <w:right w:w="150" w:type="dxa"/>
            </w:tcMar>
          </w:tcPr>
          <w:p>
            <w:pPr>
              <w:jc w:val="left"/>
            </w:pPr>
            <w:r>
              <w:rPr>
                <w:rFonts w:ascii="Segoe UI" w:hAnsi="Segoe UI"/>
                <w:b w:val="0"/>
                <w:i w:val="0"/>
                <w:color w:val="1E293B"/>
                <w:sz w:val="18"/>
              </w:rPr>
              <w:t>1. Sales Bill (/sales)</w:t>
            </w:r>
          </w:p>
        </w:tc>
        <w:tc>
          <w:tcPr>
            <w:tcW w:type="dxa" w:w="1872"/>
            <w:shd w:fill="FFFFFF"/>
            <w:tcMar>
              <w:top w:w="100" w:type="dxa"/>
              <w:bottom w:w="100" w:type="dxa"/>
              <w:left w:w="150" w:type="dxa"/>
              <w:right w:w="150" w:type="dxa"/>
            </w:tcMar>
          </w:tcPr>
          <w:p>
            <w:pPr>
              <w:jc w:val="left"/>
            </w:pPr>
            <w:r>
              <w:rPr>
                <w:rFonts w:ascii="Segoe UI" w:hAnsi="Segoe UI"/>
                <w:b w:val="0"/>
                <w:i w:val="0"/>
                <w:color w:val="1E293B"/>
                <w:sz w:val="18"/>
              </w:rPr>
              <w:t>SalesBill.tsx</w:t>
            </w:r>
          </w:p>
        </w:tc>
        <w:tc>
          <w:tcPr>
            <w:tcW w:type="dxa" w:w="4032"/>
            <w:shd w:fill="FFFFFF"/>
            <w:tcMar>
              <w:top w:w="100" w:type="dxa"/>
              <w:bottom w:w="100" w:type="dxa"/>
              <w:left w:w="150" w:type="dxa"/>
              <w:right w:w="150" w:type="dxa"/>
            </w:tcMar>
          </w:tcPr>
          <w:p>
            <w:pPr>
              <w:jc w:val="left"/>
            </w:pPr>
            <w:r>
              <w:rPr>
                <w:rFonts w:ascii="Segoe UI" w:hAnsi="Segoe UI"/>
                <w:b w:val="0"/>
                <w:i w:val="0"/>
                <w:color w:val="1E293B"/>
                <w:sz w:val="18"/>
              </w:rPr>
              <w:t>1. Header: Date -&gt; Bill No (Auto-series) -&gt; Party Picker [F7].</w:t>
              <w:br/>
              <w:t>2. Grid: Product [F3/F7] -&gt; Batch Picker popup (shows live stock, expiry MM/YY, SRate, MRP) -&gt; Qty -&gt; Free Qty -&gt; Sale Rate -&gt; Disc % -&gt; Next Row.</w:t>
              <w:br/>
              <w:t>3. Settlement: Press 'End' or 'Enter' on empty product line to launch Settlement Modal. Select Cash, Card, Credit, or Bank. Press Enter to commit.</w:t>
              <w:br/>
              <w:t>4. Ledger Impact: Dr Customer Ledger (or Cash in Hand), Cr Sales Account, Cr CGST/SGST/IGST Output Tax.</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RJ-INV-6874 -&gt; RJ-INV-6875</w:t>
            </w:r>
          </w:p>
        </w:tc>
      </w:tr>
      <w:tr>
        <w:tc>
          <w:tcPr>
            <w:tcW w:type="dxa" w:w="2016"/>
            <w:shd w:fill="F8FAF9"/>
            <w:tcMar>
              <w:top w:w="100" w:type="dxa"/>
              <w:bottom w:w="100" w:type="dxa"/>
              <w:left w:w="150" w:type="dxa"/>
              <w:right w:w="150" w:type="dxa"/>
            </w:tcMar>
          </w:tcPr>
          <w:p>
            <w:pPr>
              <w:jc w:val="left"/>
            </w:pPr>
            <w:r>
              <w:rPr>
                <w:rFonts w:ascii="Segoe UI" w:hAnsi="Segoe UI"/>
                <w:b w:val="0"/>
                <w:i w:val="0"/>
                <w:color w:val="1E293B"/>
                <w:sz w:val="18"/>
              </w:rPr>
              <w:t>2. Purchase Bill (/purchase)</w:t>
            </w:r>
          </w:p>
        </w:tc>
        <w:tc>
          <w:tcPr>
            <w:tcW w:type="dxa" w:w="1872"/>
            <w:shd w:fill="F8FAF9"/>
            <w:tcMar>
              <w:top w:w="100" w:type="dxa"/>
              <w:bottom w:w="100" w:type="dxa"/>
              <w:left w:w="150" w:type="dxa"/>
              <w:right w:w="150" w:type="dxa"/>
            </w:tcMar>
          </w:tcPr>
          <w:p>
            <w:pPr>
              <w:jc w:val="left"/>
            </w:pPr>
            <w:r>
              <w:rPr>
                <w:rFonts w:ascii="Segoe UI" w:hAnsi="Segoe UI"/>
                <w:b w:val="0"/>
                <w:i w:val="0"/>
                <w:color w:val="1E293B"/>
                <w:sz w:val="18"/>
              </w:rPr>
              <w:t>PurchaseBill.tsx</w:t>
            </w:r>
          </w:p>
        </w:tc>
        <w:tc>
          <w:tcPr>
            <w:tcW w:type="dxa" w:w="4032"/>
            <w:shd w:fill="F8FAF9"/>
            <w:tcMar>
              <w:top w:w="100" w:type="dxa"/>
              <w:bottom w:w="100" w:type="dxa"/>
              <w:left w:w="150" w:type="dxa"/>
              <w:right w:w="150" w:type="dxa"/>
            </w:tcMar>
          </w:tcPr>
          <w:p>
            <w:pPr>
              <w:jc w:val="left"/>
            </w:pPr>
            <w:r>
              <w:rPr>
                <w:rFonts w:ascii="Segoe UI" w:hAnsi="Segoe UI"/>
                <w:b w:val="0"/>
                <w:i w:val="0"/>
                <w:color w:val="1E293B"/>
                <w:sz w:val="18"/>
              </w:rPr>
              <w:t>1. Header: Date -&gt; Bill No -&gt; Party [F7] -&gt; Party Inv No -&gt; Inv Date -&gt; Tax Mode.</w:t>
              <w:br/>
              <w:t>2. Grid: Product -&gt; Batch Creation (Enter Batch No, MRP, PRate, SRate, Expiry MM/YY) -&gt; Qty -&gt; Free -&gt; Purchase Rate -&gt; Disc % -&gt; GST %.</w:t>
              <w:br/>
              <w:t>3. PO Matching: Optional [PO Picker] matches physical inward with Purchase Order.</w:t>
              <w:br/>
              <w:t>4. Ledger Impact: Dr Purchase Account, Dr CGST/SGST/IGST Input Tax Credit, Cr Vendor Ledger.</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RJ-PB-7905 -&gt; RJ-PB-7906</w:t>
            </w:r>
          </w:p>
        </w:tc>
      </w:tr>
      <w:tr>
        <w:tc>
          <w:tcPr>
            <w:tcW w:type="dxa" w:w="2016"/>
            <w:shd w:fill="FFFFFF"/>
            <w:tcMar>
              <w:top w:w="100" w:type="dxa"/>
              <w:bottom w:w="100" w:type="dxa"/>
              <w:left w:w="150" w:type="dxa"/>
              <w:right w:w="150" w:type="dxa"/>
            </w:tcMar>
          </w:tcPr>
          <w:p>
            <w:pPr>
              <w:jc w:val="left"/>
            </w:pPr>
            <w:r>
              <w:rPr>
                <w:rFonts w:ascii="Segoe UI" w:hAnsi="Segoe UI"/>
                <w:b w:val="0"/>
                <w:i w:val="0"/>
                <w:color w:val="1E293B"/>
                <w:sz w:val="18"/>
              </w:rPr>
              <w:t>3. Supplier Debit Note (/purchase-return)</w:t>
            </w:r>
          </w:p>
        </w:tc>
        <w:tc>
          <w:tcPr>
            <w:tcW w:type="dxa" w:w="1872"/>
            <w:shd w:fill="FFFFFF"/>
            <w:tcMar>
              <w:top w:w="100" w:type="dxa"/>
              <w:bottom w:w="100" w:type="dxa"/>
              <w:left w:w="150" w:type="dxa"/>
              <w:right w:w="150" w:type="dxa"/>
            </w:tcMar>
          </w:tcPr>
          <w:p>
            <w:pPr>
              <w:jc w:val="left"/>
            </w:pPr>
            <w:r>
              <w:rPr>
                <w:rFonts w:ascii="Segoe UI" w:hAnsi="Segoe UI"/>
                <w:b w:val="0"/>
                <w:i w:val="0"/>
                <w:color w:val="1E293B"/>
                <w:sz w:val="18"/>
              </w:rPr>
              <w:t>PurchaseReturnBill.tsx</w:t>
            </w:r>
          </w:p>
        </w:tc>
        <w:tc>
          <w:tcPr>
            <w:tcW w:type="dxa" w:w="4032"/>
            <w:shd w:fill="FFFFFF"/>
            <w:tcMar>
              <w:top w:w="100" w:type="dxa"/>
              <w:bottom w:w="100" w:type="dxa"/>
              <w:left w:w="150" w:type="dxa"/>
              <w:right w:w="150" w:type="dxa"/>
            </w:tcMar>
          </w:tcPr>
          <w:p>
            <w:pPr>
              <w:jc w:val="left"/>
            </w:pPr>
            <w:r>
              <w:rPr>
                <w:rFonts w:ascii="Segoe UI" w:hAnsi="Segoe UI"/>
                <w:b w:val="0"/>
                <w:i w:val="0"/>
                <w:color w:val="1E293B"/>
                <w:sz w:val="18"/>
              </w:rPr>
              <w:t>1. Dual Modes: [F2] Against Inward Bill (queries vendor bills via /api/sales/invoices/by-supplier/) vs [F3] Direct Loose Return.</w:t>
              <w:br/>
              <w:t>2. Stock Disposition: Routes returned goods to 🟢 Saleable, 🔴 Breakage Godown, or 🟡 Expired Godown.</w:t>
              <w:br/>
              <w:t>3. Reason Codes: Transit damage, Expired, Near expiry, Excess supply, Rate difference.</w:t>
              <w:br/>
              <w:t>4. Ledger Impact: Dr Vendor Ledger, Cr Purchase Return Account, Cr ITC Reversal.</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RJ-DN-8924 -&gt; RJ-DN-8925</w:t>
            </w:r>
          </w:p>
        </w:tc>
      </w:tr>
      <w:tr>
        <w:tc>
          <w:tcPr>
            <w:tcW w:type="dxa" w:w="2016"/>
            <w:shd w:fill="F8FAF9"/>
            <w:tcMar>
              <w:top w:w="100" w:type="dxa"/>
              <w:bottom w:w="100" w:type="dxa"/>
              <w:left w:w="150" w:type="dxa"/>
              <w:right w:w="150" w:type="dxa"/>
            </w:tcMar>
          </w:tcPr>
          <w:p>
            <w:pPr>
              <w:jc w:val="left"/>
            </w:pPr>
            <w:r>
              <w:rPr>
                <w:rFonts w:ascii="Segoe UI" w:hAnsi="Segoe UI"/>
                <w:b w:val="0"/>
                <w:i w:val="0"/>
                <w:color w:val="1E293B"/>
                <w:sz w:val="18"/>
              </w:rPr>
              <w:t>4. Customer Credit Note (/sales-return)</w:t>
            </w:r>
          </w:p>
        </w:tc>
        <w:tc>
          <w:tcPr>
            <w:tcW w:type="dxa" w:w="1872"/>
            <w:shd w:fill="F8FAF9"/>
            <w:tcMar>
              <w:top w:w="100" w:type="dxa"/>
              <w:bottom w:w="100" w:type="dxa"/>
              <w:left w:w="150" w:type="dxa"/>
              <w:right w:w="150" w:type="dxa"/>
            </w:tcMar>
          </w:tcPr>
          <w:p>
            <w:pPr>
              <w:jc w:val="left"/>
            </w:pPr>
            <w:r>
              <w:rPr>
                <w:rFonts w:ascii="Segoe UI" w:hAnsi="Segoe UI"/>
                <w:b w:val="0"/>
                <w:i w:val="0"/>
                <w:color w:val="1E293B"/>
                <w:sz w:val="18"/>
              </w:rPr>
              <w:t>SalesReturnBill.tsx</w:t>
            </w:r>
          </w:p>
        </w:tc>
        <w:tc>
          <w:tcPr>
            <w:tcW w:type="dxa" w:w="4032"/>
            <w:shd w:fill="F8FAF9"/>
            <w:tcMar>
              <w:top w:w="100" w:type="dxa"/>
              <w:bottom w:w="100" w:type="dxa"/>
              <w:left w:w="150" w:type="dxa"/>
              <w:right w:w="150" w:type="dxa"/>
            </w:tcMar>
          </w:tcPr>
          <w:p>
            <w:pPr>
              <w:jc w:val="left"/>
            </w:pPr>
            <w:r>
              <w:rPr>
                <w:rFonts w:ascii="Segoe UI" w:hAnsi="Segoe UI"/>
                <w:b w:val="0"/>
                <w:i w:val="0"/>
                <w:color w:val="1E293B"/>
                <w:sz w:val="18"/>
              </w:rPr>
              <w:t>1. Dual Modes: [F2] Against Sales Bill (queries customer bills via /api/sales/invoices/by-customer/) vs [F3] Direct Counter Return.</w:t>
              <w:br/>
              <w:t>2. Quantity Capping: System strictly caps returnable quantity against original billed quantity.</w:t>
              <w:br/>
              <w:t>3. Stock Restoration: Reinstates original batch rate and restores inventory into selected godown.</w:t>
              <w:br/>
              <w:t>4. Ledger Impact: Dr Sales Return Account, Dr GST Output Tax Reversal, Cr Customer Ledger.</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RJ-CN-9937 -&gt; RJ-CN-9938</w:t>
            </w:r>
          </w:p>
        </w:tc>
      </w:tr>
      <w:tr>
        <w:tc>
          <w:tcPr>
            <w:tcW w:type="dxa" w:w="2016"/>
            <w:shd w:fill="FFFFFF"/>
            <w:tcMar>
              <w:top w:w="100" w:type="dxa"/>
              <w:bottom w:w="100" w:type="dxa"/>
              <w:left w:w="150" w:type="dxa"/>
              <w:right w:w="150" w:type="dxa"/>
            </w:tcMar>
          </w:tcPr>
          <w:p>
            <w:pPr>
              <w:jc w:val="left"/>
            </w:pPr>
            <w:r>
              <w:rPr>
                <w:rFonts w:ascii="Segoe UI" w:hAnsi="Segoe UI"/>
                <w:b w:val="0"/>
                <w:i w:val="0"/>
                <w:color w:val="1E293B"/>
                <w:sz w:val="18"/>
              </w:rPr>
              <w:t>5. Breakage Issue (/brk-issue)</w:t>
            </w:r>
          </w:p>
        </w:tc>
        <w:tc>
          <w:tcPr>
            <w:tcW w:type="dxa" w:w="1872"/>
            <w:shd w:fill="FFFFFF"/>
            <w:tcMar>
              <w:top w:w="100" w:type="dxa"/>
              <w:bottom w:w="100" w:type="dxa"/>
              <w:left w:w="150" w:type="dxa"/>
              <w:right w:w="150" w:type="dxa"/>
            </w:tcMar>
          </w:tcPr>
          <w:p>
            <w:pPr>
              <w:jc w:val="left"/>
            </w:pPr>
            <w:r>
              <w:rPr>
                <w:rFonts w:ascii="Segoe UI" w:hAnsi="Segoe UI"/>
                <w:b w:val="0"/>
                <w:i w:val="0"/>
                <w:color w:val="1E293B"/>
                <w:sz w:val="18"/>
              </w:rPr>
              <w:t>BrkIssueBill.tsx</w:t>
            </w:r>
          </w:p>
        </w:tc>
        <w:tc>
          <w:tcPr>
            <w:tcW w:type="dxa" w:w="4032"/>
            <w:shd w:fill="FFFFFF"/>
            <w:tcMar>
              <w:top w:w="100" w:type="dxa"/>
              <w:bottom w:w="100" w:type="dxa"/>
              <w:left w:w="150" w:type="dxa"/>
              <w:right w:w="150" w:type="dxa"/>
            </w:tcMar>
          </w:tcPr>
          <w:p>
            <w:pPr>
              <w:jc w:val="left"/>
            </w:pPr>
            <w:r>
              <w:rPr>
                <w:rFonts w:ascii="Segoe UI" w:hAnsi="Segoe UI"/>
                <w:b w:val="0"/>
                <w:i w:val="0"/>
                <w:color w:val="1E293B"/>
                <w:sz w:val="18"/>
              </w:rPr>
              <w:t>1. Purpose: Deducts non-saleable, broken, or expired stock from brk_exp_stock to return to principal drug manufacturers for commercial credit claims.</w:t>
              <w:br/>
              <w:t>2. Grid: High-speed barcode/batch selection matching manufacturer claims.</w:t>
              <w:br/>
              <w:t>3. Ledger Impact: Dr Claims Receivable from Principal, Cr Breakage/Expiry Stock Account.</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RJ-BKI-10950 -&gt; RJ-BKI-10951</w:t>
            </w:r>
          </w:p>
        </w:tc>
      </w:tr>
      <w:tr>
        <w:tc>
          <w:tcPr>
            <w:tcW w:type="dxa" w:w="2016"/>
            <w:shd w:fill="F8FAF9"/>
            <w:tcMar>
              <w:top w:w="100" w:type="dxa"/>
              <w:bottom w:w="100" w:type="dxa"/>
              <w:left w:w="150" w:type="dxa"/>
              <w:right w:w="150" w:type="dxa"/>
            </w:tcMar>
          </w:tcPr>
          <w:p>
            <w:pPr>
              <w:jc w:val="left"/>
            </w:pPr>
            <w:r>
              <w:rPr>
                <w:rFonts w:ascii="Segoe UI" w:hAnsi="Segoe UI"/>
                <w:b w:val="0"/>
                <w:i w:val="0"/>
                <w:color w:val="1E293B"/>
                <w:sz w:val="18"/>
              </w:rPr>
              <w:t>6. Breakage Receive (/brk-receive)</w:t>
            </w:r>
          </w:p>
        </w:tc>
        <w:tc>
          <w:tcPr>
            <w:tcW w:type="dxa" w:w="1872"/>
            <w:shd w:fill="F8FAF9"/>
            <w:tcMar>
              <w:top w:w="100" w:type="dxa"/>
              <w:bottom w:w="100" w:type="dxa"/>
              <w:left w:w="150" w:type="dxa"/>
              <w:right w:w="150" w:type="dxa"/>
            </w:tcMar>
          </w:tcPr>
          <w:p>
            <w:pPr>
              <w:jc w:val="left"/>
            </w:pPr>
            <w:r>
              <w:rPr>
                <w:rFonts w:ascii="Segoe UI" w:hAnsi="Segoe UI"/>
                <w:b w:val="0"/>
                <w:i w:val="0"/>
                <w:color w:val="1E293B"/>
                <w:sz w:val="18"/>
              </w:rPr>
              <w:t>BrkReceiveBill.tsx</w:t>
            </w:r>
          </w:p>
        </w:tc>
        <w:tc>
          <w:tcPr>
            <w:tcW w:type="dxa" w:w="4032"/>
            <w:shd w:fill="F8FAF9"/>
            <w:tcMar>
              <w:top w:w="100" w:type="dxa"/>
              <w:bottom w:w="100" w:type="dxa"/>
              <w:left w:w="150" w:type="dxa"/>
              <w:right w:w="150" w:type="dxa"/>
            </w:tcMar>
          </w:tcPr>
          <w:p>
            <w:pPr>
              <w:jc w:val="left"/>
            </w:pPr>
            <w:r>
              <w:rPr>
                <w:rFonts w:ascii="Segoe UI" w:hAnsi="Segoe UI"/>
                <w:b w:val="0"/>
                <w:i w:val="0"/>
                <w:color w:val="1E293B"/>
                <w:sz w:val="18"/>
              </w:rPr>
              <w:t>1. Purpose: Receives unsaleable, leakage, or expired products surrendered by retail chemists at counter.</w:t>
              <w:br/>
              <w:t>2. Inward Stock: Directly accrues units into segregated brk_exp_stock godown without inflating saleable inventory.</w:t>
              <w:br/>
              <w:t>3. Settlement: Issues physical credit slip or cash allowance to chemist.</w:t>
              <w:br/>
              <w:t>4. Ledger Impact: Dr Breakage/Expiry Stock Account, Cr Customer Ledger / Cash.</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RJ-BKR-11966 -&gt; RJ-BKR-11967</w:t>
            </w:r>
          </w:p>
        </w:tc>
      </w:tr>
    </w:tbl>
    <w:p>
      <w:pPr>
        <w:spacing w:after="160"/>
      </w:pPr>
    </w:p>
    <w:p>
      <w:pPr>
        <w:keepNext/>
        <w:spacing w:before="360" w:after="160"/>
      </w:pPr>
      <w:r>
        <w:rPr>
          <w:rFonts w:ascii="Segoe UI" w:hAnsi="Segoe UI"/>
          <w:b/>
          <w:i w:val="0"/>
          <w:color w:val="1B4332"/>
          <w:sz w:val="36"/>
        </w:rPr>
        <w:t>5. Payment, Receipt &amp; Bill-by-Bill Settlement Engine (DOC-07 &amp; DOC-24)</w:t>
      </w:r>
    </w:p>
    <w:p>
      <w:pPr>
        <w:spacing w:before="0" w:after="120" w:line="276" w:lineRule="auto"/>
        <w:jc w:val="left"/>
      </w:pPr>
      <w:r>
        <w:rPr>
          <w:rFonts w:ascii="Segoe UI" w:hAnsi="Segoe UI"/>
          <w:b w:val="0"/>
          <w:i w:val="0"/>
          <w:color w:val="1E293B"/>
          <w:sz w:val="21"/>
        </w:rPr>
        <w:t>The Settlement Engine manages high-velocity cash and bank transactions with automated bill matching:</w:t>
      </w:r>
    </w:p>
    <w:p>
      <w:pPr>
        <w:keepNext/>
        <w:spacing w:before="280" w:after="120"/>
      </w:pPr>
      <w:r>
        <w:rPr>
          <w:rFonts w:ascii="Segoe UI" w:hAnsi="Segoe UI"/>
          <w:b/>
          <w:i w:val="0"/>
          <w:color w:val="2D6A4F"/>
          <w:sz w:val="27"/>
        </w:rPr>
        <w:t>5.1 Customer Counter Receipts ([F6] Receipt, /receipt)</w:t>
      </w:r>
    </w:p>
    <w:p>
      <w:pPr>
        <w:spacing w:before="0" w:after="120" w:line="276" w:lineRule="auto"/>
        <w:jc w:val="left"/>
      </w:pPr>
      <w:r>
        <w:rPr>
          <w:rFonts w:ascii="Segoe UI" w:hAnsi="Segoe UI"/>
          <w:b w:val="0"/>
          <w:i w:val="0"/>
          <w:color w:val="1E293B"/>
          <w:sz w:val="21"/>
        </w:rPr>
        <w:t>• Designed for front-counter collection from retail chemists settling outstanding credit balances.</w:t>
      </w:r>
    </w:p>
    <w:p>
      <w:pPr>
        <w:spacing w:before="0" w:after="120" w:line="276" w:lineRule="auto"/>
        <w:jc w:val="left"/>
      </w:pPr>
      <w:r>
        <w:rPr>
          <w:rFonts w:ascii="Segoe UI" w:hAnsi="Segoe UI"/>
          <w:b w:val="0"/>
          <w:i w:val="0"/>
          <w:color w:val="1E293B"/>
          <w:sz w:val="21"/>
        </w:rPr>
        <w:t>• Hotkeys: [F7] Party Picker, [Alt+A] FIFO Allocation, [Ctrl+S] Save Voucher.</w:t>
      </w:r>
    </w:p>
    <w:p>
      <w:pPr>
        <w:spacing w:before="0" w:after="120" w:line="276" w:lineRule="auto"/>
        <w:jc w:val="left"/>
      </w:pPr>
      <w:r>
        <w:rPr>
          <w:rFonts w:ascii="Segoe UI" w:hAnsi="Segoe UI"/>
          <w:b w:val="0"/>
          <w:i w:val="0"/>
          <w:color w:val="1E293B"/>
          <w:sz w:val="21"/>
        </w:rPr>
        <w:t>• Payment Modes: Cash in Hand, Multi-Bank Cheques, NEFT/RTGS, and Counter UPI QR codes.</w:t>
      </w:r>
    </w:p>
    <w:p>
      <w:pPr>
        <w:spacing w:before="0" w:after="120" w:line="276" w:lineRule="auto"/>
        <w:jc w:val="left"/>
      </w:pPr>
      <w:r>
        <w:rPr>
          <w:rFonts w:ascii="Segoe UI" w:hAnsi="Segoe UI"/>
          <w:b w:val="0"/>
          <w:i w:val="0"/>
          <w:color w:val="1E293B"/>
          <w:sz w:val="21"/>
        </w:rPr>
        <w:t>• Double-Entry Impact: Dr Cash / Bank Account, Cr Customer Debtor Ledger.</w:t>
      </w:r>
    </w:p>
    <w:p>
      <w:pPr>
        <w:keepNext/>
        <w:spacing w:before="280" w:after="120"/>
      </w:pPr>
      <w:r>
        <w:rPr>
          <w:rFonts w:ascii="Segoe UI" w:hAnsi="Segoe UI"/>
          <w:b/>
          <w:i w:val="0"/>
          <w:color w:val="2D6A4F"/>
          <w:sz w:val="27"/>
        </w:rPr>
        <w:t>5.2 Supplier Outward Payments ([F5] Payment, /payment)</w:t>
      </w:r>
    </w:p>
    <w:p>
      <w:pPr>
        <w:spacing w:before="0" w:after="120" w:line="276" w:lineRule="auto"/>
        <w:jc w:val="left"/>
      </w:pPr>
      <w:r>
        <w:rPr>
          <w:rFonts w:ascii="Segoe UI" w:hAnsi="Segoe UI"/>
          <w:b w:val="0"/>
          <w:i w:val="0"/>
          <w:color w:val="1E293B"/>
          <w:sz w:val="21"/>
        </w:rPr>
        <w:t>• Used for disbursing scheduled vendor payments against inward purchase bills.</w:t>
      </w:r>
    </w:p>
    <w:p>
      <w:pPr>
        <w:spacing w:before="0" w:after="120" w:line="276" w:lineRule="auto"/>
        <w:jc w:val="left"/>
      </w:pPr>
      <w:r>
        <w:rPr>
          <w:rFonts w:ascii="Segoe UI" w:hAnsi="Segoe UI"/>
          <w:b w:val="0"/>
          <w:i w:val="0"/>
          <w:color w:val="1E293B"/>
          <w:sz w:val="21"/>
        </w:rPr>
        <w:t>• Features Cheque Print preview, UTR transaction number capture, and TDS deduction tracking.</w:t>
      </w:r>
    </w:p>
    <w:p>
      <w:pPr>
        <w:spacing w:before="0" w:after="120" w:line="276" w:lineRule="auto"/>
        <w:jc w:val="left"/>
      </w:pPr>
      <w:r>
        <w:rPr>
          <w:rFonts w:ascii="Segoe UI" w:hAnsi="Segoe UI"/>
          <w:b w:val="0"/>
          <w:i w:val="0"/>
          <w:color w:val="1E293B"/>
          <w:sz w:val="21"/>
        </w:rPr>
        <w:t>• Double-Entry Impact: Dr Supplier Creditor Ledger, Cr Bank Account.</w:t>
      </w:r>
    </w:p>
    <w:p>
      <w:pPr>
        <w:keepNext/>
        <w:spacing w:before="280" w:after="120"/>
      </w:pPr>
      <w:r>
        <w:rPr>
          <w:rFonts w:ascii="Segoe UI" w:hAnsi="Segoe UI"/>
          <w:b/>
          <w:i w:val="0"/>
          <w:color w:val="2D6A4F"/>
          <w:sz w:val="27"/>
        </w:rPr>
        <w:t>5.3 Bill-by-Bill FIFO Allocation &amp; Ageing Analysis (/finance/outstanding)</w:t>
      </w:r>
    </w:p>
    <w:p>
      <w:pPr>
        <w:spacing w:before="0" w:after="120" w:line="276" w:lineRule="auto"/>
        <w:jc w:val="left"/>
      </w:pPr>
      <w:r>
        <w:rPr>
          <w:rFonts w:ascii="Segoe UI" w:hAnsi="Segoe UI"/>
          <w:b w:val="0"/>
          <w:i w:val="0"/>
          <w:color w:val="1E293B"/>
          <w:sz w:val="21"/>
        </w:rPr>
        <w:t>• FIFO Auto-Allocation ([Alt+A]): Automatically apportions receipt amounts across oldest open invoices in chronological order, eliminating manual bill selection.</w:t>
      </w:r>
    </w:p>
    <w:p>
      <w:pPr>
        <w:spacing w:before="0" w:after="120" w:line="276" w:lineRule="auto"/>
        <w:jc w:val="left"/>
      </w:pPr>
      <w:r>
        <w:rPr>
          <w:rFonts w:ascii="Segoe UI" w:hAnsi="Segoe UI"/>
          <w:b w:val="0"/>
          <w:i w:val="0"/>
          <w:color w:val="1E293B"/>
          <w:sz w:val="21"/>
        </w:rPr>
        <w:t>• Partial Settlement: Accurately adjusts invoice outstanding balances and creates on-account advances (is_floating=True) if excess cash is received.</w:t>
      </w:r>
    </w:p>
    <w:p>
      <w:pPr>
        <w:spacing w:before="0" w:after="120" w:line="276" w:lineRule="auto"/>
        <w:jc w:val="left"/>
      </w:pPr>
      <w:r>
        <w:rPr>
          <w:rFonts w:ascii="Segoe UI" w:hAnsi="Segoe UI"/>
          <w:b w:val="0"/>
          <w:i w:val="0"/>
          <w:color w:val="1E293B"/>
          <w:sz w:val="21"/>
        </w:rPr>
        <w:t>• Ageing Analysis Workbench: Real-time risk categorization into statutory brackets: 0–30 Days (Current), 31–60 Days, 61–90 Days, and 90+ Days Overdue. Features expandable bill breakdown drawers and direct 1-click navigation to counter vouchers ([Receive ↗] and [Pay ↗]).</w:t>
      </w:r>
    </w:p>
    <w:p>
      <w:pPr>
        <w:keepNext/>
        <w:spacing w:before="360" w:after="160"/>
      </w:pPr>
      <w:r>
        <w:rPr>
          <w:rFonts w:ascii="Segoe UI" w:hAnsi="Segoe UI"/>
          <w:b/>
          <w:i w:val="0"/>
          <w:color w:val="1B4332"/>
          <w:sz w:val="36"/>
        </w:rPr>
        <w:t>6. Double-Entry General Ledger &amp; Accounting Suite (DOC-08, DOC-09, DOC-25)</w:t>
      </w:r>
    </w:p>
    <w:p>
      <w:pPr>
        <w:spacing w:before="0" w:after="120" w:line="276" w:lineRule="auto"/>
        <w:jc w:val="left"/>
      </w:pPr>
      <w:r>
        <w:rPr>
          <w:rFonts w:ascii="Segoe UI" w:hAnsi="Segoe UI"/>
          <w:b w:val="0"/>
          <w:i w:val="0"/>
          <w:color w:val="1E293B"/>
          <w:sz w:val="21"/>
        </w:rPr>
        <w:t>The accounting engine implements an uncompromising, append-only double-entry core where every transaction maintains the invariant: Sum(Debits) == Sum(Credits).</w:t>
      </w:r>
    </w:p>
    <w:p>
      <w:pPr>
        <w:keepNext/>
        <w:spacing w:before="280" w:after="120"/>
      </w:pPr>
      <w:r>
        <w:rPr>
          <w:rFonts w:ascii="Segoe UI" w:hAnsi="Segoe UI"/>
          <w:b/>
          <w:i w:val="0"/>
          <w:color w:val="2D6A4F"/>
          <w:sz w:val="27"/>
        </w:rPr>
        <w:t>6.1 Core Financial Statements Suite</w:t>
      </w:r>
    </w:p>
    <w:p>
      <w:pPr>
        <w:spacing w:before="0" w:after="120" w:line="276" w:lineRule="auto"/>
        <w:jc w:val="left"/>
      </w:pPr>
      <w:r>
        <w:rPr>
          <w:rFonts w:ascii="Segoe UI" w:hAnsi="Segoe UI"/>
          <w:b w:val="0"/>
          <w:i w:val="0"/>
          <w:color w:val="1E293B"/>
          <w:sz w:val="21"/>
        </w:rPr>
        <w:t>1. Day Book (/finance/daybook): Daily chronological transactions register tracking all multi-leg voucher postings with real-time Dr/Cr balance totals.</w:t>
      </w:r>
    </w:p>
    <w:p>
      <w:pPr>
        <w:spacing w:before="0" w:after="120" w:line="276" w:lineRule="auto"/>
        <w:jc w:val="left"/>
      </w:pPr>
      <w:r>
        <w:rPr>
          <w:rFonts w:ascii="Segoe UI" w:hAnsi="Segoe UI"/>
          <w:b w:val="0"/>
          <w:i w:val="0"/>
          <w:color w:val="1E293B"/>
          <w:sz w:val="21"/>
        </w:rPr>
        <w:t>2. Ledger Statement (/finance/ledger-statement): Detailed chronological account statement across 69+ active ledgers, featuring opening balances, voucher drill-downs, and running balances.</w:t>
      </w:r>
    </w:p>
    <w:p>
      <w:pPr>
        <w:spacing w:before="0" w:after="120" w:line="276" w:lineRule="auto"/>
        <w:jc w:val="left"/>
      </w:pPr>
      <w:r>
        <w:rPr>
          <w:rFonts w:ascii="Segoe UI" w:hAnsi="Segoe UI"/>
          <w:b w:val="0"/>
          <w:i w:val="0"/>
          <w:color w:val="1E293B"/>
          <w:sz w:val="21"/>
        </w:rPr>
        <w:t>3. Trial Balance (/finance/trial-balance): Automated double-entry ledger verification across all active accounts ensuring debit and credit equilibrium.</w:t>
      </w:r>
    </w:p>
    <w:p>
      <w:pPr>
        <w:spacing w:before="0" w:after="120" w:line="276" w:lineRule="auto"/>
        <w:jc w:val="left"/>
      </w:pPr>
      <w:r>
        <w:rPr>
          <w:rFonts w:ascii="Segoe UI" w:hAnsi="Segoe UI"/>
          <w:b w:val="0"/>
          <w:i w:val="0"/>
          <w:color w:val="1E293B"/>
          <w:sz w:val="21"/>
        </w:rPr>
        <w:t>4. Profit &amp; Loss Statement (/finance/profit-loss): Multi-tier P&amp;L calculating Gross Trading Margin from sales, cost of goods sold (COGS), and net operational profit after deducting indirect expenditure.</w:t>
      </w:r>
    </w:p>
    <w:p>
      <w:pPr>
        <w:spacing w:before="0" w:after="120" w:line="276" w:lineRule="auto"/>
        <w:jc w:val="left"/>
      </w:pPr>
      <w:r>
        <w:rPr>
          <w:rFonts w:ascii="Segoe UI" w:hAnsi="Segoe UI"/>
          <w:b w:val="0"/>
          <w:i w:val="0"/>
          <w:color w:val="1E293B"/>
          <w:sz w:val="21"/>
        </w:rPr>
        <w:t>5. Balance Sheet (/finance/balance-sheet): Authoritative financial position statement displaying Capital Accounts, Non-Current Liabilities, Current Liabilities, Fixed Assets, Current Assets, and closing stock valuations.</w:t>
      </w:r>
    </w:p>
    <w:p>
      <w:pPr>
        <w:keepNext/>
        <w:spacing w:before="280" w:after="120"/>
      </w:pPr>
      <w:r>
        <w:rPr>
          <w:rFonts w:ascii="Segoe UI" w:hAnsi="Segoe UI"/>
          <w:b/>
          <w:i w:val="0"/>
          <w:color w:val="2D6A4F"/>
          <w:sz w:val="27"/>
        </w:rPr>
        <w:t>6.2 Journal Voucher Cockpit &amp; Accrual Engine (/journal &amp; /finance/journal)</w:t>
      </w:r>
    </w:p>
    <w:p>
      <w:pPr>
        <w:spacing w:before="0" w:after="120" w:line="276" w:lineRule="auto"/>
        <w:jc w:val="left"/>
      </w:pPr>
      <w:r>
        <w:rPr>
          <w:rFonts w:ascii="Segoe UI" w:hAnsi="Segoe UI"/>
          <w:b w:val="0"/>
          <w:i w:val="0"/>
          <w:color w:val="1E293B"/>
          <w:sz w:val="21"/>
        </w:rPr>
        <w:t>• Keyboard-First Multi-Leg Cockpit: Designed for rapid double-entry adjustments without touching the mouse.</w:t>
      </w:r>
    </w:p>
    <w:p>
      <w:pPr>
        <w:spacing w:before="0" w:after="120" w:line="276" w:lineRule="auto"/>
        <w:jc w:val="left"/>
      </w:pPr>
      <w:r>
        <w:rPr>
          <w:rFonts w:ascii="Segoe UI" w:hAnsi="Segoe UI"/>
          <w:b w:val="0"/>
          <w:i w:val="0"/>
          <w:color w:val="1E293B"/>
          <w:sz w:val="21"/>
        </w:rPr>
        <w:t>• Dynamic Auto-Balance ([Ctrl+B]): Calculates the exact mathematical discrepancy between debits and credits and automatically inserts a balancing line with the required Cr/Dr amount.</w:t>
      </w:r>
    </w:p>
    <w:p>
      <w:pPr>
        <w:spacing w:before="0" w:after="120" w:line="276" w:lineRule="auto"/>
        <w:jc w:val="left"/>
      </w:pPr>
      <w:r>
        <w:rPr>
          <w:rFonts w:ascii="Segoe UI" w:hAnsi="Segoe UI"/>
          <w:b w:val="0"/>
          <w:i w:val="0"/>
          <w:color w:val="1E293B"/>
          <w:sz w:val="21"/>
        </w:rPr>
        <w:t>• 6 Statutory Classifications: Standard Manual Journal, Accrual Journal, Provision, Prepaid/Deferred Adjustment, Reclassification/Transfer, Opening Balance Adjustment.</w:t>
      </w:r>
    </w:p>
    <w:p>
      <w:pPr>
        <w:spacing w:before="0" w:after="120" w:line="276" w:lineRule="auto"/>
        <w:jc w:val="left"/>
      </w:pPr>
      <w:r>
        <w:rPr>
          <w:rFonts w:ascii="Segoe UI" w:hAnsi="Segoe UI"/>
          <w:b w:val="0"/>
          <w:i w:val="0"/>
          <w:color w:val="1E293B"/>
          <w:sz w:val="21"/>
        </w:rPr>
        <w:t>• Accrual Auto-Reversal Scheduler: Automatically schedules reversal transactions for the 1st of the following financial month.</w:t>
      </w:r>
    </w:p>
    <w:p>
      <w:pPr>
        <w:spacing w:before="0" w:after="120" w:line="276" w:lineRule="auto"/>
        <w:jc w:val="left"/>
      </w:pPr>
      <w:r>
        <w:rPr>
          <w:rFonts w:ascii="Segoe UI" w:hAnsi="Segoe UI"/>
          <w:b w:val="0"/>
          <w:i w:val="0"/>
          <w:color w:val="1E293B"/>
          <w:sz w:val="21"/>
        </w:rPr>
        <w:t>• Traceable 1-Click Atomic Reversal (POST /api/finance/journal/{id}/reverse): Performs an atomic GL inversion (Dr -&gt; Cr, Cr -&gt; Dr) neutralizing balances while preserving complete audit provenance.</w:t>
      </w:r>
    </w:p>
    <w:p>
      <w:pPr>
        <w:keepNext/>
        <w:spacing w:before="360" w:after="160"/>
      </w:pPr>
      <w:r>
        <w:rPr>
          <w:rFonts w:ascii="Segoe UI" w:hAnsi="Segoe UI"/>
          <w:b/>
          <w:i w:val="0"/>
          <w:color w:val="1B4332"/>
          <w:sz w:val="36"/>
        </w:rPr>
        <w:t>7. Operational Expenditures, Fixed Assets &amp; Cash Control (DOC-26, 27, 28)</w:t>
      </w:r>
    </w:p>
    <w:p>
      <w:pPr>
        <w:keepNext/>
        <w:spacing w:before="280" w:after="120"/>
      </w:pPr>
      <w:r>
        <w:rPr>
          <w:rFonts w:ascii="Segoe UI" w:hAnsi="Segoe UI"/>
          <w:b/>
          <w:i w:val="0"/>
          <w:color w:val="2D6A4F"/>
          <w:sz w:val="27"/>
        </w:rPr>
        <w:t>7.1 Operational Expenses, Petty Cash &amp; Advances (/finance/expenses)</w:t>
      </w:r>
    </w:p>
    <w:p>
      <w:pPr>
        <w:spacing w:before="0" w:after="120" w:line="276" w:lineRule="auto"/>
        <w:jc w:val="left"/>
      </w:pPr>
      <w:r>
        <w:rPr>
          <w:rFonts w:ascii="Segoe UI" w:hAnsi="Segoe UI"/>
          <w:b w:val="0"/>
          <w:i w:val="0"/>
          <w:color w:val="1E293B"/>
          <w:sz w:val="21"/>
        </w:rPr>
        <w:t>• Single-Click Direct Expense Cockpit: Immediate recording of daily operational disbursements (POST /api/expenses/direct) with explicit Paid From ('Cash in Hand' / 'Bank A/c') and Expense Head selection.</w:t>
      </w:r>
    </w:p>
    <w:p>
      <w:pPr>
        <w:spacing w:before="0" w:after="120" w:line="276" w:lineRule="auto"/>
        <w:jc w:val="left"/>
      </w:pPr>
      <w:r>
        <w:rPr>
          <w:rFonts w:ascii="Segoe UI" w:hAnsi="Segoe UI"/>
          <w:b w:val="0"/>
          <w:i w:val="0"/>
          <w:color w:val="1E293B"/>
          <w:sz w:val="21"/>
        </w:rPr>
        <w:t>• Interactive Live Accounting Impact Box: Visually displays Dr Expense Head, Cr Cash/Bank, and the exact reduction in Net Profit prior to voucher submission.</w:t>
      </w:r>
    </w:p>
    <w:p>
      <w:pPr>
        <w:spacing w:before="0" w:after="120" w:line="276" w:lineRule="auto"/>
        <w:jc w:val="left"/>
      </w:pPr>
      <w:r>
        <w:rPr>
          <w:rFonts w:ascii="Segoe UI" w:hAnsi="Segoe UI"/>
          <w:b w:val="0"/>
          <w:i w:val="0"/>
          <w:color w:val="1E293B"/>
          <w:sz w:val="21"/>
        </w:rPr>
        <w:t>• 10 Statutory Indirect Expense Ledgers: Pre-seeded heads (Office Rent, Electricity, Printing &amp; Stationery, Freight &amp; Cartage, Staff Tea &amp; Refreshment, Vehicle Fuel, Godown Maintenance, Legal Fees, Postage, Miscellaneous).</w:t>
      </w:r>
    </w:p>
    <w:p>
      <w:pPr>
        <w:spacing w:before="0" w:after="120" w:line="276" w:lineRule="auto"/>
        <w:jc w:val="left"/>
      </w:pPr>
      <w:r>
        <w:rPr>
          <w:rFonts w:ascii="Segoe UI" w:hAnsi="Segoe UI"/>
          <w:b w:val="0"/>
          <w:i w:val="0"/>
          <w:color w:val="1E293B"/>
          <w:sz w:val="21"/>
        </w:rPr>
        <w:t>• Employee Advances &amp; Multi-Line Claims: Manages tour imprests, itemized bill attachments, and one-click GL commitment.</w:t>
      </w:r>
    </w:p>
    <w:p>
      <w:pPr>
        <w:keepNext/>
        <w:spacing w:before="280" w:after="120"/>
      </w:pPr>
      <w:r>
        <w:rPr>
          <w:rFonts w:ascii="Segoe UI" w:hAnsi="Segoe UI"/>
          <w:b/>
          <w:i w:val="0"/>
          <w:color w:val="2D6A4F"/>
          <w:sz w:val="27"/>
        </w:rPr>
        <w:t>7.2 Fixed Assets &amp; Depreciation Engine (/finance/assets)</w:t>
      </w:r>
    </w:p>
    <w:p>
      <w:pPr>
        <w:spacing w:before="0" w:after="120" w:line="276" w:lineRule="auto"/>
        <w:jc w:val="left"/>
      </w:pPr>
      <w:r>
        <w:rPr>
          <w:rFonts w:ascii="Segoe UI" w:hAnsi="Segoe UI"/>
          <w:b w:val="0"/>
          <w:i w:val="0"/>
          <w:color w:val="1E293B"/>
          <w:sz w:val="21"/>
        </w:rPr>
        <w:t>• Statutory Asset Blocks: Conforms to Companies Act 2013 and Income Tax Act Schedule II (Plant &amp; Machinery, Buildings, Furniture &amp; Fixtures, Computer Equipment, Vehicles).</w:t>
      </w:r>
    </w:p>
    <w:p>
      <w:pPr>
        <w:spacing w:before="0" w:after="120" w:line="276" w:lineRule="auto"/>
        <w:jc w:val="left"/>
      </w:pPr>
      <w:r>
        <w:rPr>
          <w:rFonts w:ascii="Segoe UI" w:hAnsi="Segoe UI"/>
          <w:b w:val="0"/>
          <w:i w:val="0"/>
          <w:color w:val="1E293B"/>
          <w:sz w:val="21"/>
        </w:rPr>
        <w:t>• Depreciation Models: Both Straight Line Method (SLM) and Written Down Value (WDV) supported with configurable residual value (default 5%) and daily proration.</w:t>
      </w:r>
    </w:p>
    <w:p>
      <w:pPr>
        <w:spacing w:before="0" w:after="120" w:line="276" w:lineRule="auto"/>
        <w:jc w:val="left"/>
      </w:pPr>
      <w:r>
        <w:rPr>
          <w:rFonts w:ascii="Segoe UI" w:hAnsi="Segoe UI"/>
          <w:b w:val="0"/>
          <w:i w:val="0"/>
          <w:color w:val="1E293B"/>
          <w:sz w:val="21"/>
        </w:rPr>
        <w:t>• Automated Period Depreciation Runs: Generates atomic balanced Journal Vouchers (Dr Depreciation Expense in P&amp;L, Cr Accumulated Depreciation on Balance Sheet) reducing Net Book Value instantly.</w:t>
      </w:r>
    </w:p>
    <w:p>
      <w:pPr>
        <w:keepNext/>
        <w:spacing w:before="280" w:after="120"/>
      </w:pPr>
      <w:r>
        <w:rPr>
          <w:rFonts w:ascii="Segoe UI" w:hAnsi="Segoe UI"/>
          <w:b/>
          <w:i w:val="0"/>
          <w:color w:val="2D6A4F"/>
          <w:sz w:val="27"/>
        </w:rPr>
        <w:t>7.3 Bank Reconciliation &amp; Physical Cash Control (/finance/bank-reconciliation)</w:t>
      </w:r>
    </w:p>
    <w:p>
      <w:pPr>
        <w:spacing w:before="0" w:after="120" w:line="276" w:lineRule="auto"/>
        <w:jc w:val="left"/>
      </w:pPr>
      <w:r>
        <w:rPr>
          <w:rFonts w:ascii="Segoe UI" w:hAnsi="Segoe UI"/>
          <w:b w:val="0"/>
          <w:i w:val="0"/>
          <w:color w:val="1E293B"/>
          <w:sz w:val="21"/>
        </w:rPr>
        <w:t>• Dual-Pane BRS Workbench: Interactive comparison between ERP bank ledger entries and external bank statement feeds with CSV import.</w:t>
      </w:r>
    </w:p>
    <w:p>
      <w:pPr>
        <w:spacing w:before="0" w:after="120" w:line="276" w:lineRule="auto"/>
        <w:jc w:val="left"/>
      </w:pPr>
      <w:r>
        <w:rPr>
          <w:rFonts w:ascii="Segoe UI" w:hAnsi="Segoe UI"/>
          <w:b w:val="0"/>
          <w:i w:val="0"/>
          <w:color w:val="1E293B"/>
          <w:sz w:val="21"/>
        </w:rPr>
        <w:t>• Automated Multi-Rule Auto-Matching: Matches entries based on Reference/Cheque Number, Exact Amount, and Date Proximity Tolerance (default +/- 3 days).</w:t>
      </w:r>
    </w:p>
    <w:p>
      <w:pPr>
        <w:spacing w:before="0" w:after="120" w:line="276" w:lineRule="auto"/>
        <w:jc w:val="left"/>
      </w:pPr>
      <w:r>
        <w:rPr>
          <w:rFonts w:ascii="Segoe UI" w:hAnsi="Segoe UI"/>
          <w:b w:val="0"/>
          <w:i w:val="0"/>
          <w:color w:val="1E293B"/>
          <w:sz w:val="21"/>
        </w:rPr>
        <w:t>• Daily Physical Cash Denomination Tally: Currency denomination grid (CashVerification model) counting physical notes (₹2000, ₹500, ₹200, ₹100, ₹50, ₹20, ₹10) and coins (₹5, ₹2, ₹1). Compares physical total against system book balance, automatically identifying and auditing Shortage or Excess.</w:t>
      </w:r>
    </w:p>
    <w:p>
      <w:pPr>
        <w:keepNext/>
        <w:spacing w:before="360" w:after="160"/>
      </w:pPr>
      <w:r>
        <w:rPr>
          <w:rFonts w:ascii="Segoe UI" w:hAnsi="Segoe UI"/>
          <w:b/>
          <w:i w:val="0"/>
          <w:color w:val="1B4332"/>
          <w:sz w:val="36"/>
        </w:rPr>
        <w:t>8. Statutory GST Compliance, E-Invoicing &amp; E-Way Bill Engine (DOC-29)</w:t>
      </w:r>
    </w:p>
    <w:p>
      <w:pPr>
        <w:spacing w:before="0" w:after="120" w:line="276" w:lineRule="auto"/>
        <w:jc w:val="left"/>
      </w:pPr>
      <w:r>
        <w:rPr>
          <w:rFonts w:ascii="Segoe UI" w:hAnsi="Segoe UI"/>
          <w:b w:val="0"/>
          <w:i w:val="0"/>
          <w:color w:val="1E293B"/>
          <w:sz w:val="21"/>
        </w:rPr>
        <w:t>The GST compliance subsystem (/gst) automates statutory tax reconciliation, e-invoicing, and portal filing:</w:t>
      </w:r>
    </w:p>
    <w:tbl>
      <w:tblPr>
        <w:tblW w:type="auto" w:w="0"/>
        <w:jc w:val="center"/>
        <w:tblLook w:firstColumn="1" w:firstRow="1" w:lastColumn="0" w:lastRow="0" w:noHBand="0" w:noVBand="1" w:val="04A0"/>
      </w:tblPr>
      <w:tblGrid>
        <w:gridCol w:w="3120"/>
        <w:gridCol w:w="3120"/>
        <w:gridCol w:w="3120"/>
      </w:tblGrid>
      <w:tr>
        <w:tc>
          <w:tcPr>
            <w:tcW w:type="dxa" w:w="2592"/>
            <w:shd w:fill="1B4332"/>
            <w:tcMar>
              <w:top w:w="140" w:type="dxa"/>
              <w:bottom w:w="140" w:type="dxa"/>
              <w:left w:w="160" w:type="dxa"/>
              <w:right w:w="160" w:type="dxa"/>
            </w:tcMar>
          </w:tcPr>
          <w:p>
            <w:pPr>
              <w:jc w:val="left"/>
            </w:pPr>
            <w:r>
              <w:rPr>
                <w:rFonts w:ascii="Segoe UI" w:hAnsi="Segoe UI"/>
                <w:b/>
                <w:i w:val="0"/>
                <w:color w:val="FFFFFF"/>
                <w:sz w:val="19"/>
              </w:rPr>
              <w:t>GST Statutory Return / Tool</w:t>
            </w:r>
          </w:p>
        </w:tc>
        <w:tc>
          <w:tcPr>
            <w:tcW w:type="dxa" w:w="3168"/>
            <w:shd w:fill="1B4332"/>
            <w:tcMar>
              <w:top w:w="140" w:type="dxa"/>
              <w:bottom w:w="140" w:type="dxa"/>
              <w:left w:w="160" w:type="dxa"/>
              <w:right w:w="160" w:type="dxa"/>
            </w:tcMar>
          </w:tcPr>
          <w:p>
            <w:pPr>
              <w:jc w:val="left"/>
            </w:pPr>
            <w:r>
              <w:rPr>
                <w:rFonts w:ascii="Segoe UI" w:hAnsi="Segoe UI"/>
                <w:b/>
                <w:i w:val="0"/>
                <w:color w:val="FFFFFF"/>
                <w:sz w:val="19"/>
              </w:rPr>
              <w:t>Regulatory Scope &amp; Table Coverage</w:t>
            </w:r>
          </w:p>
        </w:tc>
        <w:tc>
          <w:tcPr>
            <w:tcW w:type="dxa" w:w="3600"/>
            <w:shd w:fill="1B4332"/>
            <w:tcMar>
              <w:top w:w="140" w:type="dxa"/>
              <w:bottom w:w="140" w:type="dxa"/>
              <w:left w:w="160" w:type="dxa"/>
              <w:right w:w="160" w:type="dxa"/>
            </w:tcMar>
          </w:tcPr>
          <w:p>
            <w:pPr>
              <w:jc w:val="left"/>
            </w:pPr>
            <w:r>
              <w:rPr>
                <w:rFonts w:ascii="Segoe UI" w:hAnsi="Segoe UI"/>
                <w:b/>
                <w:i w:val="0"/>
                <w:color w:val="FFFFFF"/>
                <w:sz w:val="19"/>
              </w:rPr>
              <w:t>System Automation &amp; Features</w:t>
            </w:r>
          </w:p>
        </w:tc>
      </w:tr>
      <w:tr>
        <w:tc>
          <w:tcPr>
            <w:tcW w:type="dxa" w:w="2592"/>
            <w:shd w:fill="FFFFFF"/>
            <w:tcMar>
              <w:top w:w="100" w:type="dxa"/>
              <w:bottom w:w="100" w:type="dxa"/>
              <w:left w:w="150" w:type="dxa"/>
              <w:right w:w="150" w:type="dxa"/>
            </w:tcMar>
          </w:tcPr>
          <w:p>
            <w:pPr>
              <w:jc w:val="left"/>
            </w:pPr>
            <w:r>
              <w:rPr>
                <w:rFonts w:ascii="Segoe UI" w:hAnsi="Segoe UI"/>
                <w:b w:val="0"/>
                <w:i w:val="0"/>
                <w:color w:val="1E293B"/>
                <w:sz w:val="18"/>
              </w:rPr>
              <w:t>GSTR-1 Outward Supplies Register</w:t>
            </w:r>
          </w:p>
        </w:tc>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 Table 4 (B2B Taxable Invoices)</w:t>
              <w:br/>
              <w:t>• Table 7 (B2CS Retail Outward)</w:t>
              <w:br/>
              <w:t>• Table 9B (CDNR Credit/Debit Notes)</w:t>
              <w:br/>
              <w:t>• Table 12 (HSN Medicament Summary)</w:t>
              <w:br/>
              <w:t>• Table 13 (Documents Issued Series)</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Generates complete outward liability breakdown with customer GSTINs, Place of Supply (POS), Reverse Charge flags, and tax slab allocations (5%, 12%, 18%).</w:t>
            </w:r>
          </w:p>
        </w:tc>
      </w:tr>
      <w:tr>
        <w:tc>
          <w:tcPr>
            <w:tcW w:type="dxa" w:w="2592"/>
            <w:shd w:fill="F8FAF9"/>
            <w:tcMar>
              <w:top w:w="100" w:type="dxa"/>
              <w:bottom w:w="100" w:type="dxa"/>
              <w:left w:w="150" w:type="dxa"/>
              <w:right w:w="150" w:type="dxa"/>
            </w:tcMar>
          </w:tcPr>
          <w:p>
            <w:pPr>
              <w:jc w:val="left"/>
            </w:pPr>
            <w:r>
              <w:rPr>
                <w:rFonts w:ascii="Segoe UI" w:hAnsi="Segoe UI"/>
                <w:b w:val="0"/>
                <w:i w:val="0"/>
                <w:color w:val="1E293B"/>
                <w:sz w:val="18"/>
              </w:rPr>
              <w:t>GSTR-2 Inward Supplies &amp; ITC Register</w:t>
            </w:r>
          </w:p>
        </w:tc>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 Inward Purchase Bill matching</w:t>
              <w:br/>
              <w:t>• Supplier GSTIN validation</w:t>
              <w:br/>
              <w:t>• Eligible ITC Breakdown (CGST, SGST, IGST)</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Audits 105+ vendor bills with automated Debit Note ITC reversal matching (-₹95.20) to prevent statutory tax over-claims during department scrutiny.</w:t>
            </w:r>
          </w:p>
        </w:tc>
      </w:tr>
      <w:tr>
        <w:tc>
          <w:tcPr>
            <w:tcW w:type="dxa" w:w="2592"/>
            <w:shd w:fill="FFFFFF"/>
            <w:tcMar>
              <w:top w:w="100" w:type="dxa"/>
              <w:bottom w:w="100" w:type="dxa"/>
              <w:left w:w="150" w:type="dxa"/>
              <w:right w:w="150" w:type="dxa"/>
            </w:tcMar>
          </w:tcPr>
          <w:p>
            <w:pPr>
              <w:jc w:val="left"/>
            </w:pPr>
            <w:r>
              <w:rPr>
                <w:rFonts w:ascii="Segoe UI" w:hAnsi="Segoe UI"/>
                <w:b w:val="0"/>
                <w:i w:val="0"/>
                <w:color w:val="1E293B"/>
                <w:sz w:val="18"/>
              </w:rPr>
              <w:t>GSTR-3B Monthly Return &amp; Set-off</w:t>
            </w:r>
          </w:p>
        </w:tc>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 Table 3.1 Outward Tax Liabilities</w:t>
              <w:br/>
              <w:t>• Table 4 Eligible ITC &amp; Net ITC</w:t>
              <w:br/>
              <w:t>• Table 5.1 Cash Tax Payment Set-off</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Calculates consolidated monthly tax liability, automatically offsets available Input Tax Credit, and computes Net Cash Payable.</w:t>
            </w:r>
          </w:p>
        </w:tc>
      </w:tr>
      <w:tr>
        <w:tc>
          <w:tcPr>
            <w:tcW w:type="dxa" w:w="2592"/>
            <w:shd w:fill="F8FAF9"/>
            <w:tcMar>
              <w:top w:w="100" w:type="dxa"/>
              <w:bottom w:w="100" w:type="dxa"/>
              <w:left w:w="150" w:type="dxa"/>
              <w:right w:w="150" w:type="dxa"/>
            </w:tcMar>
          </w:tcPr>
          <w:p>
            <w:pPr>
              <w:jc w:val="left"/>
            </w:pPr>
            <w:r>
              <w:rPr>
                <w:rFonts w:ascii="Segoe UI" w:hAnsi="Segoe UI"/>
                <w:b w:val="0"/>
                <w:i w:val="0"/>
                <w:color w:val="1E293B"/>
                <w:sz w:val="18"/>
              </w:rPr>
              <w:t>Official GSTN Portal Offline Utility JSON</w:t>
            </w:r>
          </w:p>
        </w:tc>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Standard Schema: GSTR1_Offline_Utility_v1.5</w:t>
              <w:br/>
              <w:t>Endpoint: GET /api/gst/gstr1/json</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Exports standardized government JSON payload ready for direct, zero-error upload to the official gst.gov.in portal.</w:t>
            </w:r>
          </w:p>
        </w:tc>
      </w:tr>
      <w:tr>
        <w:tc>
          <w:tcPr>
            <w:tcW w:type="dxa" w:w="2592"/>
            <w:shd w:fill="FFFFFF"/>
            <w:tcMar>
              <w:top w:w="100" w:type="dxa"/>
              <w:bottom w:w="100" w:type="dxa"/>
              <w:left w:w="150" w:type="dxa"/>
              <w:right w:w="150" w:type="dxa"/>
            </w:tcMar>
          </w:tcPr>
          <w:p>
            <w:pPr>
              <w:jc w:val="left"/>
            </w:pPr>
            <w:r>
              <w:rPr>
                <w:rFonts w:ascii="Segoe UI" w:hAnsi="Segoe UI"/>
                <w:b w:val="0"/>
                <w:i w:val="0"/>
                <w:color w:val="1E293B"/>
                <w:sz w:val="18"/>
              </w:rPr>
              <w:t>E-Invoicing (IRN) &amp; NIC E-Way Bill</w:t>
            </w:r>
          </w:p>
        </w:tc>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Route: /gst/compliance</w:t>
              <w:br/>
              <w:t>Mandatory B2B Threshold Compliance</w:t>
            </w:r>
          </w:p>
        </w:tc>
        <w:tc>
          <w:tcPr>
            <w:tcW w:type="dxa" w:w="3600"/>
            <w:shd w:fill="FFFFFF"/>
            <w:tcMar>
              <w:top w:w="100" w:type="dxa"/>
              <w:bottom w:w="100" w:type="dxa"/>
              <w:left w:w="150" w:type="dxa"/>
              <w:right w:w="150" w:type="dxa"/>
            </w:tcMar>
          </w:tcPr>
          <w:p>
            <w:pPr>
              <w:jc w:val="left"/>
            </w:pPr>
            <w:r>
              <w:rPr>
                <w:rFonts w:ascii="Segoe UI" w:hAnsi="Segoe UI"/>
                <w:b w:val="0"/>
                <w:i w:val="0"/>
                <w:color w:val="1E293B"/>
                <w:sz w:val="18"/>
              </w:rPr>
              <w:t>Generates 64-character Invoice Reference Number (IRN), signed QR codes, and National Informatics Centre (NIC) E-Way Bills for consignments exceeding ₹50,000.</w:t>
            </w:r>
          </w:p>
        </w:tc>
      </w:tr>
      <w:tr>
        <w:tc>
          <w:tcPr>
            <w:tcW w:type="dxa" w:w="2592"/>
            <w:shd w:fill="F8FAF9"/>
            <w:tcMar>
              <w:top w:w="100" w:type="dxa"/>
              <w:bottom w:w="100" w:type="dxa"/>
              <w:left w:w="150" w:type="dxa"/>
              <w:right w:w="150" w:type="dxa"/>
            </w:tcMar>
          </w:tcPr>
          <w:p>
            <w:pPr>
              <w:jc w:val="left"/>
            </w:pPr>
            <w:r>
              <w:rPr>
                <w:rFonts w:ascii="Segoe UI" w:hAnsi="Segoe UI"/>
                <w:b w:val="0"/>
                <w:i w:val="0"/>
                <w:color w:val="1E293B"/>
                <w:sz w:val="18"/>
              </w:rPr>
              <w:t>Cryptographically Signed Ledger</w:t>
            </w:r>
          </w:p>
        </w:tc>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Route: /gst/signed-ledger</w:t>
              <w:br/>
              <w:t>Auditor &amp; Court Evidence Standard</w:t>
            </w:r>
          </w:p>
        </w:tc>
        <w:tc>
          <w:tcPr>
            <w:tcW w:type="dxa" w:w="3600"/>
            <w:shd w:fill="F8FAF9"/>
            <w:tcMar>
              <w:top w:w="100" w:type="dxa"/>
              <w:bottom w:w="100" w:type="dxa"/>
              <w:left w:w="150" w:type="dxa"/>
              <w:right w:w="150" w:type="dxa"/>
            </w:tcMar>
          </w:tcPr>
          <w:p>
            <w:pPr>
              <w:jc w:val="left"/>
            </w:pPr>
            <w:r>
              <w:rPr>
                <w:rFonts w:ascii="Segoe UI" w:hAnsi="Segoe UI"/>
                <w:b w:val="0"/>
                <w:i w:val="0"/>
                <w:color w:val="1E293B"/>
                <w:sz w:val="18"/>
              </w:rPr>
              <w:t>Applies SHA-256 digital signature hashes to customer ledger statements for legally binding statutory verification.</w:t>
            </w:r>
          </w:p>
        </w:tc>
      </w:tr>
    </w:tbl>
    <w:p>
      <w:pPr>
        <w:spacing w:after="160"/>
      </w:pPr>
    </w:p>
    <w:p>
      <w:pPr>
        <w:keepNext/>
        <w:spacing w:before="360" w:after="160"/>
      </w:pPr>
      <w:r>
        <w:rPr>
          <w:rFonts w:ascii="Segoe UI" w:hAnsi="Segoe UI"/>
          <w:b/>
          <w:i w:val="0"/>
          <w:color w:val="1B4332"/>
          <w:sz w:val="36"/>
        </w:rPr>
        <w:t>9. Management Reporting &amp; Business Intelligence Engine (DOC-30 &amp; DOC-31)</w:t>
      </w:r>
    </w:p>
    <w:p>
      <w:pPr>
        <w:spacing w:before="0" w:after="120" w:line="276" w:lineRule="auto"/>
        <w:jc w:val="left"/>
      </w:pPr>
      <w:r>
        <w:rPr>
          <w:rFonts w:ascii="Segoe UI" w:hAnsi="Segoe UI"/>
          <w:b w:val="0"/>
          <w:i w:val="0"/>
          <w:color w:val="1E293B"/>
          <w:sz w:val="21"/>
        </w:rPr>
        <w:t>Transforming high-frequency billing data into actionable executive intelligence:</w:t>
      </w:r>
    </w:p>
    <w:p>
      <w:pPr>
        <w:spacing w:before="0" w:after="120" w:line="276" w:lineRule="auto"/>
        <w:jc w:val="left"/>
      </w:pPr>
      <w:r>
        <w:rPr>
          <w:rFonts w:ascii="Segoe UI" w:hAnsi="Segoe UI"/>
          <w:b w:val="0"/>
          <w:i w:val="0"/>
          <w:color w:val="1E293B"/>
          <w:sz w:val="21"/>
        </w:rPr>
        <w:t>• Company-Wise Sales Register (/reports): Aggregates revenue across 25+ pharmaceutical manufacturers with inline drawer product drill-downs ([▶ View Products]) and manufacturer multi-filters.</w:t>
      </w:r>
    </w:p>
    <w:p>
      <w:pPr>
        <w:spacing w:before="0" w:after="120" w:line="276" w:lineRule="auto"/>
        <w:jc w:val="left"/>
      </w:pPr>
      <w:r>
        <w:rPr>
          <w:rFonts w:ascii="Segoe UI" w:hAnsi="Segoe UI"/>
          <w:b w:val="0"/>
          <w:i w:val="0"/>
          <w:color w:val="1E293B"/>
          <w:sz w:val="21"/>
        </w:rPr>
        <w:t>• Custom Semantic Report Designer (/reports/designer): Dynamic visual query builder querying /api/reports_v2/query with grouping by Company/Party and reusable template persistence.</w:t>
      </w:r>
    </w:p>
    <w:p>
      <w:pPr>
        <w:spacing w:before="0" w:after="120" w:line="276" w:lineRule="auto"/>
        <w:jc w:val="left"/>
      </w:pPr>
      <w:r>
        <w:rPr>
          <w:rFonts w:ascii="Segoe UI" w:hAnsi="Segoe UI"/>
          <w:b w:val="0"/>
          <w:i w:val="0"/>
          <w:color w:val="1E293B"/>
          <w:sz w:val="21"/>
        </w:rPr>
        <w:t>• Regional Sales Territory Map Widget: Embedded symmetrically in the BI Dashboard, tracking territory revenue, retail chemist counts, and quota attainment. Features an enlarged interactive modal (#mapModal) with state comparison benchmarks (strictly zero fleet tracking).</w:t>
      </w:r>
    </w:p>
    <w:p>
      <w:pPr>
        <w:spacing w:before="0" w:after="120" w:line="276" w:lineRule="auto"/>
        <w:jc w:val="left"/>
      </w:pPr>
      <w:r>
        <w:rPr>
          <w:rFonts w:ascii="Segoe UI" w:hAnsi="Segoe UI"/>
          <w:b w:val="0"/>
          <w:i w:val="0"/>
          <w:color w:val="1E293B"/>
          <w:sz w:val="21"/>
        </w:rPr>
        <w:t>• Predictive AI Exception Signals: Real-time detection of stockout risk velocity, customer churn probability, 30-day cash flow projections, and near-expiry exposure.</w:t>
      </w:r>
    </w:p>
    <w:p>
      <w:pPr>
        <w:keepNext/>
        <w:spacing w:before="360" w:after="160"/>
      </w:pPr>
      <w:r>
        <w:rPr>
          <w:rFonts w:ascii="Segoe UI" w:hAnsi="Segoe UI"/>
          <w:b/>
          <w:i w:val="0"/>
          <w:color w:val="1B4332"/>
          <w:sz w:val="36"/>
        </w:rPr>
        <w:t>10. Workflow, Approval, Alert &amp; Business Automation Engine (DOC-32)</w:t>
      </w:r>
    </w:p>
    <w:p>
      <w:pPr>
        <w:spacing w:before="0" w:after="120" w:line="276" w:lineRule="auto"/>
        <w:jc w:val="left"/>
      </w:pPr>
      <w:r>
        <w:rPr>
          <w:rFonts w:ascii="Segoe UI" w:hAnsi="Segoe UI"/>
          <w:b w:val="0"/>
          <w:i w:val="0"/>
          <w:color w:val="1E293B"/>
          <w:sz w:val="21"/>
        </w:rPr>
        <w:t>DOC-32 is the centralized governance layer managing multi-tier approvals, SLA countdowns, and idempotent downstream actions.</w:t>
      </w:r>
    </w:p>
    <w:p>
      <w:pPr>
        <w:keepNext/>
        <w:spacing w:before="280" w:after="120"/>
      </w:pPr>
      <w:r>
        <w:rPr>
          <w:rFonts w:ascii="Segoe UI" w:hAnsi="Segoe UI"/>
          <w:b/>
          <w:i w:val="0"/>
          <w:color w:val="2D6A4F"/>
          <w:sz w:val="27"/>
        </w:rPr>
        <w:t>10.1 Core Governance Non-Negotiables</w:t>
      </w:r>
    </w:p>
    <w:p>
      <w:pPr>
        <w:spacing w:before="0" w:after="120" w:line="276" w:lineRule="auto"/>
        <w:jc w:val="left"/>
      </w:pPr>
      <w:r>
        <w:rPr>
          <w:rFonts w:ascii="Segoe UI" w:hAnsi="Segoe UI"/>
          <w:b w:val="0"/>
          <w:i w:val="0"/>
          <w:color w:val="1E293B"/>
          <w:sz w:val="21"/>
        </w:rPr>
        <w:t>1. Orchestration Layer Only: The workflow engine does not recalculate taxes or ledger postings. It governs routing and triggers downstream actions.</w:t>
      </w:r>
    </w:p>
    <w:p>
      <w:pPr>
        <w:spacing w:before="0" w:after="120" w:line="276" w:lineRule="auto"/>
        <w:jc w:val="left"/>
      </w:pPr>
      <w:r>
        <w:rPr>
          <w:rFonts w:ascii="Segoe UI" w:hAnsi="Segoe UI"/>
          <w:b w:val="0"/>
          <w:i w:val="0"/>
          <w:color w:val="1E293B"/>
          <w:sz w:val="21"/>
        </w:rPr>
        <w:t>2. Maker-Checker Separation of Duties: The document creator cannot approve their own transaction. System enforces HTTP 403 Forbidden and displays a prominent warning banner with disabled approve buttons.</w:t>
      </w:r>
    </w:p>
    <w:p>
      <w:pPr>
        <w:spacing w:before="0" w:after="120" w:line="276" w:lineRule="auto"/>
        <w:jc w:val="left"/>
      </w:pPr>
      <w:r>
        <w:rPr>
          <w:rFonts w:ascii="Segoe UI" w:hAnsi="Segoe UI"/>
          <w:b w:val="0"/>
          <w:i w:val="0"/>
          <w:color w:val="1E293B"/>
          <w:sz w:val="21"/>
        </w:rPr>
        <w:t>3. Idempotency Guarantee: Every trigger utilizes a deterministic SHA-256 deduplication key (SHA-256(tenant_id + doc_id + event)) preventing duplicate approval tasks on network retries.</w:t>
      </w:r>
    </w:p>
    <w:p>
      <w:pPr>
        <w:keepNext/>
        <w:spacing w:before="280" w:after="120"/>
      </w:pPr>
      <w:r>
        <w:rPr>
          <w:rFonts w:ascii="Segoe UI" w:hAnsi="Segoe UI"/>
          <w:b/>
          <w:i w:val="0"/>
          <w:color w:val="2D6A4F"/>
          <w:sz w:val="27"/>
        </w:rPr>
        <w:t>10.2 Workflow Cockpits &amp; Tools</w:t>
      </w:r>
    </w:p>
    <w:p>
      <w:pPr>
        <w:spacing w:before="0" w:after="120" w:line="276" w:lineRule="auto"/>
        <w:jc w:val="left"/>
      </w:pPr>
      <w:r>
        <w:rPr>
          <w:rFonts w:ascii="Segoe UI" w:hAnsi="Segoe UI"/>
          <w:b w:val="0"/>
          <w:i w:val="0"/>
          <w:color w:val="1E293B"/>
          <w:sz w:val="21"/>
        </w:rPr>
        <w:t>• Unified Approval Inbox (/workflow/inbox, [F4]): Unified queue with SLA countdown badges, priority indicators, slide-over inspection drawer, quick hotkeys ([A] Approve, [R] Reject, [D] Delegate), and mandatory rejection modal (#reject-modal).</w:t>
      </w:r>
    </w:p>
    <w:p>
      <w:pPr>
        <w:spacing w:before="0" w:after="120" w:line="276" w:lineRule="auto"/>
        <w:jc w:val="left"/>
      </w:pPr>
      <w:r>
        <w:rPr>
          <w:rFonts w:ascii="Segoe UI" w:hAnsi="Segoe UI"/>
          <w:b w:val="0"/>
          <w:i w:val="0"/>
          <w:color w:val="1E293B"/>
          <w:sz w:val="21"/>
        </w:rPr>
        <w:t>• Visual No-Code Workflow Designer (/workflow/designer): Multi-tier ladder builder (Tier 1 Floor Manager -&gt; Tier 2 Branch Admin -&gt; Tier 3 AM Admin), post-approval action picker, and interactive sandbox simulator (#input-sim-amount).</w:t>
      </w:r>
    </w:p>
    <w:p>
      <w:pPr>
        <w:spacing w:before="0" w:after="120" w:line="276" w:lineRule="auto"/>
        <w:jc w:val="left"/>
      </w:pPr>
      <w:r>
        <w:rPr>
          <w:rFonts w:ascii="Segoe UI" w:hAnsi="Segoe UI"/>
          <w:b w:val="0"/>
          <w:i w:val="0"/>
          <w:color w:val="1E293B"/>
          <w:sz w:val="21"/>
        </w:rPr>
        <w:t>• Execution &amp; SLA Monitor (/workflow/monitor): Real-time analytics displaying 1.8h Average Turnaround Time, 94.2% SLA Adherence, bottleneck approver rankings, SHA-256 hash stream, and 1-click safe retry buttons.</w:t>
      </w:r>
    </w:p>
    <w:p>
      <w:pPr>
        <w:keepNext/>
        <w:spacing w:before="360" w:after="160"/>
      </w:pPr>
      <w:r>
        <w:rPr>
          <w:rFonts w:ascii="Segoe UI" w:hAnsi="Segoe UI"/>
          <w:b/>
          <w:i w:val="0"/>
          <w:color w:val="1B4332"/>
          <w:sz w:val="36"/>
        </w:rPr>
        <w:t>11. Audit Trail, Data Governance &amp; Compliance Control Engine (DOC-33)</w:t>
      </w:r>
    </w:p>
    <w:p>
      <w:pPr>
        <w:spacing w:before="0" w:after="120" w:line="276" w:lineRule="auto"/>
        <w:jc w:val="left"/>
      </w:pPr>
      <w:r>
        <w:rPr>
          <w:rFonts w:ascii="Segoe UI" w:hAnsi="Segoe UI"/>
          <w:b w:val="0"/>
          <w:i w:val="0"/>
          <w:color w:val="1E293B"/>
          <w:sz w:val="21"/>
        </w:rPr>
        <w:t>DOC-33 serves as the cryptographic trust and regulatory governance spine of the enterprise platform, enforcing mathematical non-repudiation, tamper detection, and statutory record retention across all ledger postings, master data adjustments, and approval actions.</w:t>
      </w:r>
    </w:p>
    <w:p>
      <w:pPr>
        <w:keepNext/>
        <w:spacing w:before="280" w:after="120"/>
      </w:pPr>
      <w:r>
        <w:rPr>
          <w:rFonts w:ascii="Segoe UI" w:hAnsi="Segoe UI"/>
          <w:b/>
          <w:i w:val="0"/>
          <w:color w:val="2D6A4F"/>
          <w:sz w:val="27"/>
        </w:rPr>
        <w:t>11.1 Non-Negotiable Compliance Architecture</w:t>
      </w:r>
    </w:p>
    <w:p>
      <w:pPr>
        <w:spacing w:before="0" w:after="120" w:line="276" w:lineRule="auto"/>
        <w:jc w:val="left"/>
      </w:pPr>
      <w:r>
        <w:rPr>
          <w:rFonts w:ascii="Segoe UI" w:hAnsi="Segoe UI"/>
          <w:b w:val="0"/>
          <w:i w:val="0"/>
          <w:color w:val="1E293B"/>
          <w:sz w:val="21"/>
        </w:rPr>
        <w:t>1. Append-Only Immutability: Audit log records are strictly append-only. No user, administrator, or API caller can delete or modify past audit events.</w:t>
      </w:r>
    </w:p>
    <w:p>
      <w:pPr>
        <w:spacing w:before="0" w:after="120" w:line="276" w:lineRule="auto"/>
        <w:jc w:val="left"/>
      </w:pPr>
      <w:r>
        <w:rPr>
          <w:rFonts w:ascii="Segoe UI" w:hAnsi="Segoe UI"/>
          <w:b w:val="0"/>
          <w:i w:val="0"/>
          <w:color w:val="1E293B"/>
          <w:sz w:val="21"/>
        </w:rPr>
        <w:t>2. Cryptographic Hash Chaining: Each event is cryptographically linked to its predecessor via an SHA-256 digital fingerprint calculated as: SHA256(prev_hash + tenant_id + actor + event_type + object_type + object_id + timestamp + before_payload + after_payload). Sequential chain validation (POST /api/audit/verify-chain) mathematically proves historical data integrity.</w:t>
      </w:r>
    </w:p>
    <w:p>
      <w:pPr>
        <w:spacing w:before="0" w:after="120" w:line="276" w:lineRule="auto"/>
        <w:jc w:val="left"/>
      </w:pPr>
      <w:r>
        <w:rPr>
          <w:rFonts w:ascii="Segoe UI" w:hAnsi="Segoe UI"/>
          <w:b w:val="0"/>
          <w:i w:val="0"/>
          <w:color w:val="1E293B"/>
          <w:sz w:val="21"/>
        </w:rPr>
        <w:t>3. Sensitive Data Redaction: Passwords, tokens, secret keys, bank secrets, and credential hashes are intercepted and permanently redacted as [REDACTED_SENSITIVE] before rendering in diff views.</w:t>
      </w:r>
    </w:p>
    <w:p>
      <w:pPr>
        <w:spacing w:before="0" w:after="120" w:line="276" w:lineRule="auto"/>
        <w:jc w:val="left"/>
      </w:pPr>
      <w:r>
        <w:rPr>
          <w:rFonts w:ascii="Segoe UI" w:hAnsi="Segoe UI"/>
          <w:b w:val="0"/>
          <w:i w:val="0"/>
          <w:color w:val="1E293B"/>
          <w:sz w:val="21"/>
        </w:rPr>
        <w:t>4. Audit of Audit: Any administrative inspection, legal hold placement, retention policy update, or evidence export automatically records its own immutable audit event.</w:t>
      </w:r>
    </w:p>
    <w:p>
      <w:pPr>
        <w:keepNext/>
        <w:spacing w:before="280" w:after="120"/>
      </w:pPr>
      <w:r>
        <w:rPr>
          <w:rFonts w:ascii="Segoe UI" w:hAnsi="Segoe UI"/>
          <w:b/>
          <w:i w:val="0"/>
          <w:color w:val="2D6A4F"/>
          <w:sz w:val="27"/>
        </w:rPr>
        <w:t>11.2 Cockpits, Drawers &amp; Governance Features</w:t>
      </w:r>
    </w:p>
    <w:p>
      <w:pPr>
        <w:spacing w:before="0" w:after="120" w:line="276" w:lineRule="auto"/>
        <w:jc w:val="left"/>
      </w:pPr>
      <w:r>
        <w:rPr>
          <w:rFonts w:ascii="Segoe UI" w:hAnsi="Segoe UI"/>
          <w:b w:val="0"/>
          <w:i w:val="0"/>
          <w:color w:val="1E293B"/>
          <w:sz w:val="21"/>
        </w:rPr>
        <w:t>• Unified Audit Explorer (/audit): Multidimensional search (Ctrl+F) with module filters, event type filters, timeline table, and 1-click cryptographic chain verification button (#btn-verify-chain).</w:t>
      </w:r>
    </w:p>
    <w:p>
      <w:pPr>
        <w:spacing w:before="0" w:after="120" w:line="276" w:lineRule="auto"/>
        <w:jc w:val="left"/>
      </w:pPr>
      <w:r>
        <w:rPr>
          <w:rFonts w:ascii="Segoe UI" w:hAnsi="Segoe UI"/>
          <w:b w:val="0"/>
          <w:i w:val="0"/>
          <w:color w:val="1E293B"/>
          <w:sz w:val="21"/>
        </w:rPr>
        <w:t>• Slide-Over Change Detail Drawer: Side inspection panel displaying full event metadata, field-by-field before/after diffs, and an authentic SHA-256 seal badge (✓ SEAL VALID (SHA-256)).</w:t>
      </w:r>
    </w:p>
    <w:p>
      <w:pPr>
        <w:spacing w:before="0" w:after="120" w:line="276" w:lineRule="auto"/>
        <w:jc w:val="left"/>
      </w:pPr>
      <w:r>
        <w:rPr>
          <w:rFonts w:ascii="Segoe UI" w:hAnsi="Segoe UI"/>
          <w:b w:val="0"/>
          <w:i w:val="0"/>
          <w:color w:val="1E293B"/>
          <w:sz w:val="21"/>
        </w:rPr>
        <w:t>• Data Governance Console (/audit/governance): 4-tab control center covering Statutory Retention Policies (MCA/GST 8-year standard / 2,920 days), Legal Litigation Holds (#btn-apply-hold with freeze &amp; unfreeze reasons), Forensic Anomaly Signals (mass edits, repeated reversals, after-hours modifications, chain integrity), and Auditor Evidence Pack Generation.</w:t>
      </w:r>
    </w:p>
    <w:p>
      <w:pPr>
        <w:keepNext/>
        <w:spacing w:before="360" w:after="160"/>
      </w:pPr>
      <w:r>
        <w:rPr>
          <w:rFonts w:ascii="Segoe UI" w:hAnsi="Segoe UI"/>
          <w:b/>
          <w:i w:val="0"/>
          <w:color w:val="1B4332"/>
          <w:sz w:val="36"/>
        </w:rPr>
        <w:t>12. Cargo &amp; Consignment Management Engine (DOC-34)</w:t>
      </w:r>
    </w:p>
    <w:p>
      <w:pPr>
        <w:spacing w:before="0" w:after="120" w:line="276" w:lineRule="auto"/>
        <w:jc w:val="left"/>
      </w:pPr>
      <w:r>
        <w:rPr>
          <w:rFonts w:ascii="Segoe UI" w:hAnsi="Segoe UI"/>
          <w:b w:val="0"/>
          <w:i w:val="0"/>
          <w:color w:val="1E293B"/>
          <w:sz w:val="21"/>
        </w:rPr>
        <w:t>DOC-34 governs physical transport logistics, consignment series management, volumetric CBM calculations, carrier chain-of-custody, four-eyes delivery sign-offs, and Admin-funded cargo cost segregation.</w:t>
      </w:r>
    </w:p>
    <w:p>
      <w:pPr>
        <w:keepNext/>
        <w:spacing w:before="280" w:after="120"/>
      </w:pPr>
      <w:r>
        <w:rPr>
          <w:rFonts w:ascii="Segoe UI" w:hAnsi="Segoe UI"/>
          <w:b/>
          <w:i w:val="0"/>
          <w:color w:val="2D6A4F"/>
          <w:sz w:val="27"/>
        </w:rPr>
        <w:t>12.1 Non-Negotiable Architecture &amp; Core Rules</w:t>
      </w:r>
    </w:p>
    <w:p>
      <w:pPr>
        <w:spacing w:before="0" w:after="120" w:line="276" w:lineRule="auto"/>
        <w:jc w:val="left"/>
      </w:pPr>
      <w:r>
        <w:rPr>
          <w:rFonts w:ascii="Segoe UI" w:hAnsi="Segoe UI"/>
          <w:b w:val="0"/>
          <w:i w:val="0"/>
          <w:color w:val="1E293B"/>
          <w:sz w:val="21"/>
        </w:rPr>
        <w:t>1. Independent Consignment Identity: First-class consignment series (CN-YYYY-XXXX) decoupled from invoice and challan numbering, supporting 1-to-many and many-to-1 relationships.</w:t>
      </w:r>
    </w:p>
    <w:p>
      <w:pPr>
        <w:spacing w:before="0" w:after="120" w:line="276" w:lineRule="auto"/>
        <w:jc w:val="left"/>
      </w:pPr>
      <w:r>
        <w:rPr>
          <w:rFonts w:ascii="Segoe UI" w:hAnsi="Segoe UI"/>
          <w:b w:val="0"/>
          <w:i w:val="0"/>
          <w:color w:val="1E293B"/>
          <w:sz w:val="21"/>
        </w:rPr>
        <w:t>2. Admin-Funded Client Cargo Architecture: In central platform distribution setups where Platform Admin finances freight for Client Companies, the Client Company General Ledger (DOC-08) is NEVER debited automatically. The expense is recognized solely in the Admin Company Ledger under Account 5200 (Freight &amp; Logistics Expense).</w:t>
      </w:r>
    </w:p>
    <w:p>
      <w:pPr>
        <w:spacing w:before="0" w:after="120" w:line="276" w:lineRule="auto"/>
        <w:jc w:val="left"/>
      </w:pPr>
      <w:r>
        <w:rPr>
          <w:rFonts w:ascii="Segoe UI" w:hAnsi="Segoe UI"/>
          <w:b w:val="0"/>
          <w:i w:val="0"/>
          <w:color w:val="1E293B"/>
          <w:sz w:val="21"/>
        </w:rPr>
        <w:t>3. Combined Reporting Toggle: Platform Admin executives can toggle aggregate multi-client freight reporting without breaching tenant isolation boundaries.</w:t>
      </w:r>
    </w:p>
    <w:p>
      <w:pPr>
        <w:spacing w:before="0" w:after="120" w:line="276" w:lineRule="auto"/>
        <w:jc w:val="left"/>
      </w:pPr>
      <w:r>
        <w:rPr>
          <w:rFonts w:ascii="Segoe UI" w:hAnsi="Segoe UI"/>
          <w:b w:val="0"/>
          <w:i w:val="0"/>
          <w:color w:val="1E293B"/>
          <w:sz w:val="21"/>
        </w:rPr>
        <w:t>4. Volumetric CBM Formula: CBM = (Length (cm) * Width (cm) * Height (cm)) / 1,000,000. Multi-package barcodes (PKG-YYYY-XXXX-NN) track individual tare, gross weight, and fragility.</w:t>
      </w:r>
    </w:p>
    <w:p>
      <w:pPr>
        <w:spacing w:before="0" w:after="120" w:line="276" w:lineRule="auto"/>
        <w:jc w:val="left"/>
      </w:pPr>
      <w:r>
        <w:rPr>
          <w:rFonts w:ascii="Segoe UI" w:hAnsi="Segoe UI"/>
          <w:b w:val="0"/>
          <w:i w:val="0"/>
          <w:color w:val="1E293B"/>
          <w:sz w:val="21"/>
        </w:rPr>
        <w:t>5. Movement State Machine: PLANNED -&gt; READY_FOR_LOADING -&gt; LOADING -&gt; DISPATCHED -&gt; IN_TRANSIT -&gt; DELIVERED -&gt; CLOSED (with EXCEPTION branching).</w:t>
      </w:r>
    </w:p>
    <w:p>
      <w:pPr>
        <w:spacing w:before="0" w:after="120" w:line="276" w:lineRule="auto"/>
        <w:jc w:val="left"/>
      </w:pPr>
      <w:r>
        <w:rPr>
          <w:rFonts w:ascii="Segoe UI" w:hAnsi="Segoe UI"/>
          <w:b w:val="0"/>
          <w:i w:val="0"/>
          <w:color w:val="1E293B"/>
          <w:sz w:val="21"/>
        </w:rPr>
        <w:t>6. Proof of Delivery (POD) &amp; Exception Desk: Four-eyes physical delivery validation tracking accepted vs damaged/short quantities and carrier liability claims.</w:t>
      </w:r>
    </w:p>
    <w:p>
      <w:pPr>
        <w:keepNext/>
        <w:spacing w:before="280" w:after="120"/>
      </w:pPr>
      <w:r>
        <w:rPr>
          <w:rFonts w:ascii="Segoe UI" w:hAnsi="Segoe UI"/>
          <w:b/>
          <w:i w:val="0"/>
          <w:color w:val="2D6A4F"/>
          <w:sz w:val="27"/>
        </w:rPr>
        <w:t>12.2 Operational Cockpits &amp; Launchers</w:t>
      </w:r>
    </w:p>
    <w:p>
      <w:pPr>
        <w:spacing w:before="0" w:after="120" w:line="276" w:lineRule="auto"/>
        <w:jc w:val="left"/>
      </w:pPr>
      <w:r>
        <w:rPr>
          <w:rFonts w:ascii="Segoe UI" w:hAnsi="Segoe UI"/>
          <w:b w:val="0"/>
          <w:i w:val="0"/>
          <w:color w:val="1E293B"/>
          <w:sz w:val="21"/>
        </w:rPr>
        <w:t>• Cargo Board (/cargo, [Ctrl+1]): Top KPI strip, visual status matrix, new consignment creation modal ([F6]), slide-over detail drawer, and status progression buttons.</w:t>
      </w:r>
    </w:p>
    <w:p>
      <w:pPr>
        <w:spacing w:before="0" w:after="120" w:line="276" w:lineRule="auto"/>
        <w:jc w:val="left"/>
      </w:pPr>
      <w:r>
        <w:rPr>
          <w:rFonts w:ascii="Segoe UI" w:hAnsi="Segoe UI"/>
          <w:b w:val="0"/>
          <w:i w:val="0"/>
          <w:color w:val="1E293B"/>
          <w:sz w:val="21"/>
        </w:rPr>
        <w:t>• Cargo Cost Center (/cargo/costs, [F4]): Admin-borne vs Client-borne financial bifurcation, combined multi-client reporting toggle, and CSV manifest exporter.</w:t>
      </w:r>
    </w:p>
    <w:p>
      <w:pPr>
        <w:spacing w:before="0" w:after="120" w:line="276" w:lineRule="auto"/>
        <w:jc w:val="left"/>
      </w:pPr>
      <w:r>
        <w:rPr>
          <w:rFonts w:ascii="Segoe UI" w:hAnsi="Segoe UI"/>
          <w:b w:val="0"/>
          <w:i w:val="0"/>
          <w:color w:val="1E293B"/>
          <w:sz w:val="21"/>
        </w:rPr>
        <w:t>• POD &amp; Exception Desk (/cargo/pod-exceptions): Pending delivery receiving queue with 4-eyes validation, accepted vs short/damaged quantities, and transit claims resolution desk.</w:t>
      </w:r>
    </w:p>
    <w:p>
      <w:pPr>
        <w:keepNext/>
        <w:spacing w:before="360" w:after="160"/>
      </w:pPr>
      <w:r>
        <w:rPr>
          <w:rFonts w:ascii="Segoe UI" w:hAnsi="Segoe UI"/>
          <w:b/>
          <w:i w:val="0"/>
          <w:color w:val="1B4332"/>
          <w:sz w:val="36"/>
        </w:rPr>
        <w:t>13. Relational Database Schema Dictionary (PostgreSQL)</w:t>
      </w:r>
    </w:p>
    <w:p>
      <w:pPr>
        <w:spacing w:before="0" w:after="120" w:line="276" w:lineRule="auto"/>
        <w:jc w:val="left"/>
      </w:pPr>
      <w:r>
        <w:rPr>
          <w:rFonts w:ascii="Segoe UI" w:hAnsi="Segoe UI"/>
          <w:b w:val="0"/>
          <w:i w:val="0"/>
          <w:color w:val="1E293B"/>
          <w:sz w:val="21"/>
        </w:rPr>
        <w:t>The database architecture encompasses 25+ high-performance relational tables:</w:t>
      </w:r>
    </w:p>
    <w:tbl>
      <w:tblPr>
        <w:tblW w:type="auto" w:w="0"/>
        <w:jc w:val="center"/>
        <w:tblLook w:firstColumn="1" w:firstRow="1" w:lastColumn="0" w:lastRow="0" w:noHBand="0" w:noVBand="1" w:val="04A0"/>
      </w:tblPr>
      <w:tblGrid>
        <w:gridCol w:w="3120"/>
        <w:gridCol w:w="3120"/>
        <w:gridCol w:w="3120"/>
      </w:tblGrid>
      <w:tr>
        <w:tc>
          <w:tcPr>
            <w:tcW w:type="dxa" w:w="2160"/>
            <w:shd w:fill="1B4332"/>
            <w:tcMar>
              <w:top w:w="140" w:type="dxa"/>
              <w:bottom w:w="140" w:type="dxa"/>
              <w:left w:w="160" w:type="dxa"/>
              <w:right w:w="160" w:type="dxa"/>
            </w:tcMar>
          </w:tcPr>
          <w:p>
            <w:pPr>
              <w:jc w:val="left"/>
            </w:pPr>
            <w:r>
              <w:rPr>
                <w:rFonts w:ascii="Segoe UI" w:hAnsi="Segoe UI"/>
                <w:b/>
                <w:i w:val="0"/>
                <w:color w:val="FFFFFF"/>
                <w:sz w:val="19"/>
              </w:rPr>
              <w:t>Table Name</w:t>
            </w:r>
          </w:p>
        </w:tc>
        <w:tc>
          <w:tcPr>
            <w:tcW w:type="dxa" w:w="2880"/>
            <w:shd w:fill="1B4332"/>
            <w:tcMar>
              <w:top w:w="140" w:type="dxa"/>
              <w:bottom w:w="140" w:type="dxa"/>
              <w:left w:w="160" w:type="dxa"/>
              <w:right w:w="160" w:type="dxa"/>
            </w:tcMar>
          </w:tcPr>
          <w:p>
            <w:pPr>
              <w:jc w:val="left"/>
            </w:pPr>
            <w:r>
              <w:rPr>
                <w:rFonts w:ascii="Segoe UI" w:hAnsi="Segoe UI"/>
                <w:b/>
                <w:i w:val="0"/>
                <w:color w:val="FFFFFF"/>
                <w:sz w:val="19"/>
              </w:rPr>
              <w:t>Primary Keys &amp; Constraints</w:t>
            </w:r>
          </w:p>
        </w:tc>
        <w:tc>
          <w:tcPr>
            <w:tcW w:type="dxa" w:w="4320"/>
            <w:shd w:fill="1B4332"/>
            <w:tcMar>
              <w:top w:w="140" w:type="dxa"/>
              <w:bottom w:w="140" w:type="dxa"/>
              <w:left w:w="160" w:type="dxa"/>
              <w:right w:w="160" w:type="dxa"/>
            </w:tcMar>
          </w:tcPr>
          <w:p>
            <w:pPr>
              <w:jc w:val="left"/>
            </w:pPr>
            <w:r>
              <w:rPr>
                <w:rFonts w:ascii="Segoe UI" w:hAnsi="Segoe UI"/>
                <w:b/>
                <w:i w:val="0"/>
                <w:color w:val="FFFFFF"/>
                <w:sz w:val="19"/>
              </w:rPr>
              <w:t>Functional Purpose &amp; Key Columns</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tenants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code VARCHAR(50) UNIQUE</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Company partition isolation. Columns: name, gstin, address, is_active, created_at.</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users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username VARCHAR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System identity &amp; auth. Columns: email, hashed_password, role, tenant_id.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parties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code VARCHAR UNIQUE</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Customer &amp; vendor master. Columns: name, party_type, gstin, dl_no, credit_limit, balance.</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products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code VARCHAR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SKU &amp; medicament master. Columns: name, generic_name, hsn_code, gst_rate, uom.</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batches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product_id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Batch tracking. Columns: batch_number, expiry_date, mrp, sale_rate, purchase_rate, stock_qty.</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invoices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invoice_number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Core billing header. Columns: party_id, invoice_type, invoice_date, total_amount, balance_amount.</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invoice_items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invoice_id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Itemized bill line items. Columns: product_id, batch_id, qty, free_qty, rate, discount_pct, tax_amount.</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vouchers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voucher_number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General Ledger header. Columns: voucher_type, voucher_date, total_amount, narration, is_reversed.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voucher_entries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voucher_id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Double-entry legs. Columns: ledger_id, entry_type (Dr/Cr), amount, is_reconciled.</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invoice_allocations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receipt_voucher_id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Bill-by-bill settlements. Columns: invoice_id, allocated_amount, is_floating.</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employee_advances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employee_id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Staff imprest tracking. Columns: amount, purpose, status (Active/Settled), issued_date.</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expense_claims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claimant_id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Opex reimbursement claims. Columns: total_amount, advance_id, status (Pending/Approved), voucher_id.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fixed_assets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asset_code UNIQUE</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Asset register. Columns: name, category_id, purchase_date, original_cost, book_value, dep_method.</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cash_verifications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verified_by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Physical drawer tally. Columns: verification_date, system_balance, physical_balance, discrepancy.</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workflow_definitions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company_id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Approval templates. Columns: module_name, trigger_event, tier_ladder JSONB, is_active.</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workflow_instances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idempotency_key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Workflow executions. Columns: source_document_id, status, current_tier, document_payload.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workflow_tasks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instance_id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Approval work items. Columns: tier_index, required_role, assigned_user, status, sla_deadline.</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workflow_audit_logs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instance_id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Regulatory audit timeline. Columns: action_type, actor_id, previous_state, new_state, remarks.</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audit_events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prev_hash VARCHAR(64)</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Immutable cryptographically chained audit events. Columns: company_id, actor_name, event_type, object_type, before_payload JSONB, after_payload JSONB, event_hash.</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retention_policies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company_id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Statutory retention policies. Columns: object_type, retention_days (2920 days / 8 yrs), legal_hold_allowed, effective_from.</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legal_holds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company_id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Statutory litigation/inquiry holds. Columns: scope_type, scope_description, reason, created_by_id, released_at, release_reason.</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consignments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consignment_number UNIQUE</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Decoupled freight shipment. Columns: company_id, document_number, transporter_name, vehicle_no, driver_name, origin_hub, destination_hub, lr_no, status, is_admin_funded.</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cargo_packages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consignment_id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Multi-package volumetric hierarchy. Columns: package_type, barcode UNIQUE, gross_weight, tare_weight, net_weight, length_cm, width_cm, height_cm, cbm, is_fragile, status.</w:t>
            </w:r>
          </w:p>
        </w:tc>
      </w:tr>
      <w:tr>
        <w:tc>
          <w:tcPr>
            <w:tcW w:type="dxa" w:w="2160"/>
            <w:shd w:fill="F8FAF9"/>
            <w:tcMar>
              <w:top w:w="100" w:type="dxa"/>
              <w:bottom w:w="100" w:type="dxa"/>
              <w:left w:w="150" w:type="dxa"/>
              <w:right w:w="150" w:type="dxa"/>
            </w:tcMar>
          </w:tcPr>
          <w:p>
            <w:pPr>
              <w:jc w:val="left"/>
            </w:pPr>
            <w:r>
              <w:rPr>
                <w:rFonts w:ascii="Segoe UI" w:hAnsi="Segoe UI"/>
                <w:b w:val="0"/>
                <w:i w:val="0"/>
                <w:color w:val="1E293B"/>
                <w:sz w:val="18"/>
              </w:rPr>
              <w:t>cargo_costs</w:t>
            </w:r>
          </w:p>
        </w:tc>
        <w:tc>
          <w:tcPr>
            <w:tcW w:type="dxa" w:w="2880"/>
            <w:shd w:fill="F8FAF9"/>
            <w:tcMar>
              <w:top w:w="100" w:type="dxa"/>
              <w:bottom w:w="100" w:type="dxa"/>
              <w:left w:w="150" w:type="dxa"/>
              <w:right w:w="150" w:type="dxa"/>
            </w:tcMar>
          </w:tcPr>
          <w:p>
            <w:pPr>
              <w:jc w:val="left"/>
            </w:pPr>
            <w:r>
              <w:rPr>
                <w:rFonts w:ascii="Segoe UI" w:hAnsi="Segoe UI"/>
                <w:b w:val="0"/>
                <w:i w:val="0"/>
                <w:color w:val="1E293B"/>
                <w:sz w:val="18"/>
              </w:rPr>
              <w:t>id UUID (PK), consignment_id (FK)</w:t>
            </w:r>
          </w:p>
        </w:tc>
        <w:tc>
          <w:tcPr>
            <w:tcW w:type="dxa" w:w="4320"/>
            <w:shd w:fill="F8FAF9"/>
            <w:tcMar>
              <w:top w:w="100" w:type="dxa"/>
              <w:bottom w:w="100" w:type="dxa"/>
              <w:left w:w="150" w:type="dxa"/>
              <w:right w:w="150" w:type="dxa"/>
            </w:tcMar>
          </w:tcPr>
          <w:p>
            <w:pPr>
              <w:jc w:val="left"/>
            </w:pPr>
            <w:r>
              <w:rPr>
                <w:rFonts w:ascii="Segoe UI" w:hAnsi="Segoe UI"/>
                <w:b w:val="0"/>
                <w:i w:val="0"/>
                <w:color w:val="1E293B"/>
                <w:sz w:val="18"/>
              </w:rPr>
              <w:t>Bifurcated freight expenditure. Columns: beneficiary_company_id, cost_bearer_company_id, cost_type, gross_cost, recovery_amount, net_bearer_cost, is_admin_borne, recovery_status.</w:t>
            </w:r>
          </w:p>
        </w:tc>
      </w:tr>
      <w:tr>
        <w:tc>
          <w:tcPr>
            <w:tcW w:type="dxa" w:w="2160"/>
            <w:shd w:fill="FFFFFF"/>
            <w:tcMar>
              <w:top w:w="100" w:type="dxa"/>
              <w:bottom w:w="100" w:type="dxa"/>
              <w:left w:w="150" w:type="dxa"/>
              <w:right w:w="150" w:type="dxa"/>
            </w:tcMar>
          </w:tcPr>
          <w:p>
            <w:pPr>
              <w:jc w:val="left"/>
            </w:pPr>
            <w:r>
              <w:rPr>
                <w:rFonts w:ascii="Segoe UI" w:hAnsi="Segoe UI"/>
                <w:b w:val="0"/>
                <w:i w:val="0"/>
                <w:color w:val="1E293B"/>
                <w:sz w:val="18"/>
              </w:rPr>
              <w:t>pod_records</w:t>
            </w:r>
          </w:p>
        </w:tc>
        <w:tc>
          <w:tcPr>
            <w:tcW w:type="dxa" w:w="2880"/>
            <w:shd w:fill="FFFFFF"/>
            <w:tcMar>
              <w:top w:w="100" w:type="dxa"/>
              <w:bottom w:w="100" w:type="dxa"/>
              <w:left w:w="150" w:type="dxa"/>
              <w:right w:w="150" w:type="dxa"/>
            </w:tcMar>
          </w:tcPr>
          <w:p>
            <w:pPr>
              <w:jc w:val="left"/>
            </w:pPr>
            <w:r>
              <w:rPr>
                <w:rFonts w:ascii="Segoe UI" w:hAnsi="Segoe UI"/>
                <w:b w:val="0"/>
                <w:i w:val="0"/>
                <w:color w:val="1E293B"/>
                <w:sz w:val="18"/>
              </w:rPr>
              <w:t>id UUID (PK), consignment_id (FK)</w:t>
            </w:r>
          </w:p>
        </w:tc>
        <w:tc>
          <w:tcPr>
            <w:tcW w:type="dxa" w:w="4320"/>
            <w:shd w:fill="FFFFFF"/>
            <w:tcMar>
              <w:top w:w="100" w:type="dxa"/>
              <w:bottom w:w="100" w:type="dxa"/>
              <w:left w:w="150" w:type="dxa"/>
              <w:right w:w="150" w:type="dxa"/>
            </w:tcMar>
          </w:tcPr>
          <w:p>
            <w:pPr>
              <w:jc w:val="left"/>
            </w:pPr>
            <w:r>
              <w:rPr>
                <w:rFonts w:ascii="Segoe UI" w:hAnsi="Segoe UI"/>
                <w:b w:val="0"/>
                <w:i w:val="0"/>
                <w:color w:val="1E293B"/>
                <w:sz w:val="18"/>
              </w:rPr>
              <w:t>Proof of delivery &amp; discrepancy record. Columns: received_by, received_at, accepted_qty, short_qty, damage_qty, signature_token, remarks, status.</w:t>
            </w:r>
          </w:p>
        </w:tc>
      </w:tr>
    </w:tbl>
    <w:p>
      <w:pPr>
        <w:spacing w:after="160"/>
      </w:pPr>
    </w:p>
    <w:p>
      <w:pPr>
        <w:keepNext/>
        <w:spacing w:before="360" w:after="160"/>
      </w:pPr>
      <w:r>
        <w:rPr>
          <w:rFonts w:ascii="Segoe UI" w:hAnsi="Segoe UI"/>
          <w:b/>
          <w:i w:val="0"/>
          <w:color w:val="1B4332"/>
          <w:sz w:val="36"/>
        </w:rPr>
        <w:t>14. RESTful API Directory &amp; Endpoint Specifications</w:t>
      </w:r>
    </w:p>
    <w:p>
      <w:pPr>
        <w:spacing w:before="0" w:after="120" w:line="276" w:lineRule="auto"/>
        <w:jc w:val="left"/>
      </w:pPr>
      <w:r>
        <w:rPr>
          <w:rFonts w:ascii="Segoe UI" w:hAnsi="Segoe UI"/>
          <w:b w:val="0"/>
          <w:i w:val="0"/>
          <w:color w:val="1E293B"/>
          <w:sz w:val="21"/>
        </w:rPr>
        <w:t>The backend exposes a high-speed, asynchronous RESTful API layer organized by domain (40+ endpoints):</w:t>
      </w:r>
    </w:p>
    <w:tbl>
      <w:tblPr>
        <w:tblW w:type="auto" w:w="0"/>
        <w:jc w:val="center"/>
        <w:tblLook w:firstColumn="1" w:firstRow="1" w:lastColumn="0" w:lastRow="0" w:noHBand="0" w:noVBand="1" w:val="04A0"/>
      </w:tblPr>
      <w:tblGrid>
        <w:gridCol w:w="3120"/>
        <w:gridCol w:w="3120"/>
        <w:gridCol w:w="3120"/>
      </w:tblGrid>
      <w:tr>
        <w:tc>
          <w:tcPr>
            <w:tcW w:type="dxa" w:w="3168"/>
            <w:shd w:fill="1B4332"/>
            <w:tcMar>
              <w:top w:w="140" w:type="dxa"/>
              <w:bottom w:w="140" w:type="dxa"/>
              <w:left w:w="160" w:type="dxa"/>
              <w:right w:w="160" w:type="dxa"/>
            </w:tcMar>
          </w:tcPr>
          <w:p>
            <w:pPr>
              <w:jc w:val="left"/>
            </w:pPr>
            <w:r>
              <w:rPr>
                <w:rFonts w:ascii="Segoe UI" w:hAnsi="Segoe UI"/>
                <w:b/>
                <w:i w:val="0"/>
                <w:color w:val="FFFFFF"/>
                <w:sz w:val="19"/>
              </w:rPr>
              <w:t>Endpoint Route</w:t>
            </w:r>
          </w:p>
        </w:tc>
        <w:tc>
          <w:tcPr>
            <w:tcW w:type="dxa" w:w="1296"/>
            <w:shd w:fill="1B4332"/>
            <w:tcMar>
              <w:top w:w="140" w:type="dxa"/>
              <w:bottom w:w="140" w:type="dxa"/>
              <w:left w:w="160" w:type="dxa"/>
              <w:right w:w="160" w:type="dxa"/>
            </w:tcMar>
          </w:tcPr>
          <w:p>
            <w:pPr>
              <w:jc w:val="left"/>
            </w:pPr>
            <w:r>
              <w:rPr>
                <w:rFonts w:ascii="Segoe UI" w:hAnsi="Segoe UI"/>
                <w:b/>
                <w:i w:val="0"/>
                <w:color w:val="FFFFFF"/>
                <w:sz w:val="19"/>
              </w:rPr>
              <w:t>HTTP Method</w:t>
            </w:r>
          </w:p>
        </w:tc>
        <w:tc>
          <w:tcPr>
            <w:tcW w:type="dxa" w:w="4896"/>
            <w:shd w:fill="1B4332"/>
            <w:tcMar>
              <w:top w:w="140" w:type="dxa"/>
              <w:bottom w:w="140" w:type="dxa"/>
              <w:left w:w="160" w:type="dxa"/>
              <w:right w:w="160" w:type="dxa"/>
            </w:tcMar>
          </w:tcPr>
          <w:p>
            <w:pPr>
              <w:jc w:val="left"/>
            </w:pPr>
            <w:r>
              <w:rPr>
                <w:rFonts w:ascii="Segoe UI" w:hAnsi="Segoe UI"/>
                <w:b/>
                <w:i w:val="0"/>
                <w:color w:val="FFFFFF"/>
                <w:sz w:val="19"/>
              </w:rPr>
              <w:t>Functional Scope &amp; Payload Description</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/api/auth/token</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OAuth2 JWT password authentication yielding bearer access token.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/api/sales/invoices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Retrieves invoice register / Posts new Sales Bill, creates GL voucher, decrements batch stock.</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/api/sales/invoices/by-customer/{id}</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Fetches past customer bills for Sales Return capping.</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/api/sales/invoices/by-supplier/{id}</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Fetches past inward purchase bills for Debit Note matching.</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/api/stock/products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Product SKU catalog and inventory management.</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/api/stock/batches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Batch creation, stock queries, and expiry monitoring.</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/api/finance_v2/daybook</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Chronological daily double-entry transaction register.</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/api/finance_v2/ledger/{id}</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Individual account statement with opening and closing balances.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/api/finance_v2/receipt</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Records customer collection voucher and performs FIFO invoice allocation.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/api/finance_v2/payment</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Records vendor outward payment voucher with bank/cheque details.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/api/finance/journal</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Posts multi-leg journal voucher with dynamic double-entry verification.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/api/finance/journal/{id}/reverse</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Performs atomic reversal of posted journal voucher.</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/api/expenses/direct</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Instant recording of operational expenses with live P&amp;L impact.</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/api/assets/depreciate/all</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Executes bulk period depreciation run posting Dr/Cr GL vouchers.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/api/finance_v2/bank-recon/auto-match</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Automated multi-rule bank reconciliation with tolerance matching.</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/api/finance_v2/cash-verification</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Submits physical cash denomination drawer tally and audits variance.</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/api/gst/gstr1/json</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Exports official Government GSTN Offline Utility JSON payload.</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/api/dashboard/summary</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Aggregates today's cash, credit sales, SKU counts, and stockout alerts.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/api/dashboard/trends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Returns 7-month comparative sales/purchase curve and Opex donut distribution.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/api/workflow/inbox</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Fetches pending &amp; historic approval tasks with SLA countdowns.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/api/workflow/tasks/{id}/action</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Executes APPROVE, REJECT (mandatory remarks), DELEGATE, or ESCALATE.</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/api/workflow/trigger</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Universal workflow trigger with SHA-256 deduplication and fallback UUID support.</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/api/workflow/analytics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Returns turnaround time (1.8h), SLA adherence (94.2%), and bottleneck analysis.</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/api/audit/events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Multidimensional audit event query with module/event filtering and pagination.</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/api/audit/diff/{id}</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Field-by-field before/after state diff with sensitive data masking and hash seal test.</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/api/audit/verify-chain</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Traverses sequential SHA-256 cryptographic chain certifying 100% data integrity.</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/api/audit/retention/policies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Retrieves and upserts statutory retention schedules (MCA/GST 8-year standard).</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/api/audit/legal-holds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Applies and lists statutory inquiry/litigation holds freezing records.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/api/audit/legal-holds/{id}/release</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Releases legal hold with mandatory justification audit reason.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/api/audit/anomalies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Scans for velocity spikes, repeated cancellations, after-hours edits, and chain tampering.</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/api/audit/evidence-pack</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Produces cryptographically sealed audit evidence package with SHA-256 root hash.</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/api/cargo/summary</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Aggregates total consignments, in-transit, volumetric CBM, Admin-borne cost, pending POD.</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/api/cargo/consignments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 / 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Multi-tenant search &amp; list / Creates new consignment with series CN-YYYY-XXXX continuation.</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/api/cargo/consignments/{id}</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Comprehensive consignment detail with multi-package CBM calculations and costs.</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/api/cargo/consignments/{id}/status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PUT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State machine progression (LOADING -&gt; DISPATCHED -&gt; IN_TRANSIT -&gt; DELIVERED).</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/api/cargo/costs</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Admin-borne cost bifurcation with combined cross-client reporting toggle.</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/api/cargo/pod-exceptions</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GET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Pending delivery receiving queue and active transit exception claims desk.</w:t>
            </w:r>
          </w:p>
        </w:tc>
      </w:tr>
      <w:tr>
        <w:tc>
          <w:tcPr>
            <w:tcW w:type="dxa" w:w="3168"/>
            <w:shd w:fill="F8FAF9"/>
            <w:tcMar>
              <w:top w:w="100" w:type="dxa"/>
              <w:bottom w:w="100" w:type="dxa"/>
              <w:left w:w="150" w:type="dxa"/>
              <w:right w:w="150" w:type="dxa"/>
            </w:tcMar>
          </w:tcPr>
          <w:p>
            <w:pPr>
              <w:jc w:val="left"/>
            </w:pPr>
            <w:r>
              <w:rPr>
                <w:rFonts w:ascii="Segoe UI" w:hAnsi="Segoe UI"/>
                <w:b w:val="0"/>
                <w:i w:val="0"/>
                <w:color w:val="1E293B"/>
                <w:sz w:val="18"/>
              </w:rPr>
              <w:t>/api/cargo/consignments/{id}/pod</w:t>
            </w:r>
          </w:p>
        </w:tc>
        <w:tc>
          <w:tcPr>
            <w:tcW w:type="dxa" w:w="1296"/>
            <w:shd w:fill="F8FAF9"/>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8FAF9"/>
            <w:tcMar>
              <w:top w:w="100" w:type="dxa"/>
              <w:bottom w:w="100" w:type="dxa"/>
              <w:left w:w="150" w:type="dxa"/>
              <w:right w:w="150" w:type="dxa"/>
            </w:tcMar>
          </w:tcPr>
          <w:p>
            <w:pPr>
              <w:jc w:val="left"/>
            </w:pPr>
            <w:r>
              <w:rPr>
                <w:rFonts w:ascii="Segoe UI" w:hAnsi="Segoe UI"/>
                <w:b w:val="0"/>
                <w:i w:val="0"/>
                <w:color w:val="1E293B"/>
                <w:sz w:val="18"/>
              </w:rPr>
              <w:t>Submits delivery POD with accepted vs short/damaged quantities &amp; exception branch.</w:t>
            </w:r>
          </w:p>
        </w:tc>
      </w:tr>
      <w:tr>
        <w:tc>
          <w:tcPr>
            <w:tcW w:type="dxa" w:w="3168"/>
            <w:shd w:fill="FFFFFF"/>
            <w:tcMar>
              <w:top w:w="100" w:type="dxa"/>
              <w:bottom w:w="100" w:type="dxa"/>
              <w:left w:w="150" w:type="dxa"/>
              <w:right w:w="150" w:type="dxa"/>
            </w:tcMar>
          </w:tcPr>
          <w:p>
            <w:pPr>
              <w:jc w:val="left"/>
            </w:pPr>
            <w:r>
              <w:rPr>
                <w:rFonts w:ascii="Segoe UI" w:hAnsi="Segoe UI"/>
                <w:b w:val="0"/>
                <w:i w:val="0"/>
                <w:color w:val="1E293B"/>
                <w:sz w:val="18"/>
              </w:rPr>
              <w:t>/api/cargo/consignments/{id}/resolve-exception</w:t>
            </w:r>
          </w:p>
        </w:tc>
        <w:tc>
          <w:tcPr>
            <w:tcW w:type="dxa" w:w="1296"/>
            <w:shd w:fill="FFFFFF"/>
            <w:tcMar>
              <w:top w:w="100" w:type="dxa"/>
              <w:bottom w:w="100" w:type="dxa"/>
              <w:left w:w="150" w:type="dxa"/>
              <w:right w:w="150" w:type="dxa"/>
            </w:tcMar>
          </w:tcPr>
          <w:p>
            <w:pPr>
              <w:jc w:val="left"/>
            </w:pPr>
            <w:r>
              <w:rPr>
                <w:rFonts w:ascii="Segoe UI" w:hAnsi="Segoe UI"/>
                <w:b w:val="0"/>
                <w:i w:val="0"/>
                <w:color w:val="1E293B"/>
                <w:sz w:val="18"/>
              </w:rPr>
              <w:t>POST</w:t>
            </w:r>
          </w:p>
        </w:tc>
        <w:tc>
          <w:tcPr>
            <w:tcW w:type="dxa" w:w="4896"/>
            <w:shd w:fill="FFFFFF"/>
            <w:tcMar>
              <w:top w:w="100" w:type="dxa"/>
              <w:bottom w:w="100" w:type="dxa"/>
              <w:left w:w="150" w:type="dxa"/>
              <w:right w:w="150" w:type="dxa"/>
            </w:tcMar>
          </w:tcPr>
          <w:p>
            <w:pPr>
              <w:jc w:val="left"/>
            </w:pPr>
            <w:r>
              <w:rPr>
                <w:rFonts w:ascii="Segoe UI" w:hAnsi="Segoe UI"/>
                <w:b w:val="0"/>
                <w:i w:val="0"/>
                <w:color w:val="1E293B"/>
                <w:sz w:val="18"/>
              </w:rPr>
              <w:t>Commits corrective resolution action (Carrier Claim / Demurrage Waiver) with audit log.</w:t>
            </w:r>
          </w:p>
        </w:tc>
      </w:tr>
    </w:tbl>
    <w:p>
      <w:pPr>
        <w:spacing w:after="160"/>
      </w:pPr>
    </w:p>
    <w:p>
      <w:pPr>
        <w:keepNext/>
        <w:spacing w:before="360" w:after="160"/>
      </w:pPr>
      <w:r>
        <w:rPr>
          <w:rFonts w:ascii="Segoe UI" w:hAnsi="Segoe UI"/>
          <w:b/>
          <w:i w:val="0"/>
          <w:color w:val="1B4332"/>
          <w:sz w:val="36"/>
        </w:rPr>
        <w:t>15. Automated Selenium QA Matrix &amp; Production Deployment</w:t>
      </w:r>
    </w:p>
    <w:p>
      <w:pPr>
        <w:spacing w:before="0" w:after="120" w:line="276" w:lineRule="auto"/>
        <w:jc w:val="left"/>
      </w:pPr>
      <w:r>
        <w:rPr>
          <w:rFonts w:ascii="Segoe UI" w:hAnsi="Segoe UI"/>
          <w:b w:val="0"/>
          <w:i w:val="0"/>
          <w:color w:val="1E293B"/>
          <w:sz w:val="21"/>
        </w:rPr>
        <w:t>The codebase maintains 100% automated test coverage across 12 headless Chrome Selenium suites:</w:t>
      </w:r>
    </w:p>
    <w:tbl>
      <w:tblPr>
        <w:tblW w:type="auto" w:w="0"/>
        <w:jc w:val="center"/>
        <w:tblLook w:firstColumn="1" w:firstRow="1" w:lastColumn="0" w:lastRow="0" w:noHBand="0" w:noVBand="1" w:val="04A0"/>
      </w:tblPr>
      <w:tblGrid>
        <w:gridCol w:w="3120"/>
        <w:gridCol w:w="3120"/>
        <w:gridCol w:w="3120"/>
      </w:tblGrid>
      <w:tr>
        <w:tc>
          <w:tcPr>
            <w:tcW w:type="dxa" w:w="3312"/>
            <w:shd w:fill="1B4332"/>
            <w:tcMar>
              <w:top w:w="140" w:type="dxa"/>
              <w:bottom w:w="140" w:type="dxa"/>
              <w:left w:w="160" w:type="dxa"/>
              <w:right w:w="160" w:type="dxa"/>
            </w:tcMar>
          </w:tcPr>
          <w:p>
            <w:pPr>
              <w:jc w:val="left"/>
            </w:pPr>
            <w:r>
              <w:rPr>
                <w:rFonts w:ascii="Segoe UI" w:hAnsi="Segoe UI"/>
                <w:b/>
                <w:i w:val="0"/>
                <w:color w:val="FFFFFF"/>
                <w:sz w:val="19"/>
              </w:rPr>
              <w:t>Automated Test Suite</w:t>
            </w:r>
          </w:p>
        </w:tc>
        <w:tc>
          <w:tcPr>
            <w:tcW w:type="dxa" w:w="1440"/>
            <w:shd w:fill="1B4332"/>
            <w:tcMar>
              <w:top w:w="140" w:type="dxa"/>
              <w:bottom w:w="140" w:type="dxa"/>
              <w:left w:w="160" w:type="dxa"/>
              <w:right w:w="160" w:type="dxa"/>
            </w:tcMar>
          </w:tcPr>
          <w:p>
            <w:pPr>
              <w:jc w:val="left"/>
            </w:pPr>
            <w:r>
              <w:rPr>
                <w:rFonts w:ascii="Segoe UI" w:hAnsi="Segoe UI"/>
                <w:b/>
                <w:i w:val="0"/>
                <w:color w:val="FFFFFF"/>
                <w:sz w:val="19"/>
              </w:rPr>
              <w:t>Stages Verified</w:t>
            </w:r>
          </w:p>
        </w:tc>
        <w:tc>
          <w:tcPr>
            <w:tcW w:type="dxa" w:w="4608"/>
            <w:shd w:fill="1B4332"/>
            <w:tcMar>
              <w:top w:w="140" w:type="dxa"/>
              <w:bottom w:w="140" w:type="dxa"/>
              <w:left w:w="160" w:type="dxa"/>
              <w:right w:w="160" w:type="dxa"/>
            </w:tcMar>
          </w:tcPr>
          <w:p>
            <w:pPr>
              <w:jc w:val="left"/>
            </w:pPr>
            <w:r>
              <w:rPr>
                <w:rFonts w:ascii="Segoe UI" w:hAnsi="Segoe UI"/>
                <w:b/>
                <w:i w:val="0"/>
                <w:color w:val="FFFFFF"/>
                <w:sz w:val="19"/>
              </w:rPr>
              <w:t>Assertion Target &amp; Status</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test_master_all_6_modules_selenium.py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6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All 6 transaction modules (Sales, Purchase, DN, CN, BKI, BKR) with series continuation.</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test_reports_and_finance_selenium.py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8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Day Book, Ledger, Trial Balance, P&amp;L, Balance Sheet, BRS, Report Designer.</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test_gst_compliance_selenium.py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11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GSTR-1 (Tables 4,7,9B,12,13), GSTR-2, GSTR-3B, Offline JSON export, E-Invoicing.</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test_receipt_payment_settlement_selenium.py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6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Customer receipts [F6], FIFO allocation [Alt+A], Supplier payments [F5], Ageing.</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test_journal_accrual_engine_selenium.py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6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Multi-leg cockpit entry, [Ctrl+B] Auto-Balance, accrual reversal scheduler, 1-click reversal.</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test_direct_expense_ui_selenium.py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8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Direct expense form, live P&amp;L impact box, advance issuance, multi-line claim approval.</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test_fixed_assets_selenium.py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5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Asset registration, WDV/SLM depreciation run, GL journal generation, P&amp;L deduction.</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test_bank_recon_cash_selenium.py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6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BRS workbench, tolerance auto-matching, cash denomination tally counting, discrepancy audit.</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test_dashboard_bi_control_center_selenium.py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7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Counter workbench, Executive BI strip, area trends, Opex donut, vector map modal.</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test_workflow_approval_automation_selenium.py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10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Universal trigger, [F4] Inbox, Maker-Checker 403 enforcement, rejection modal, designer simulator, SLA monitor.</w:t>
            </w:r>
          </w:p>
        </w:tc>
      </w:tr>
      <w:tr>
        <w:tc>
          <w:tcPr>
            <w:tcW w:type="dxa" w:w="3312"/>
            <w:shd w:fill="FFFFFF"/>
            <w:tcMar>
              <w:top w:w="100" w:type="dxa"/>
              <w:bottom w:w="100" w:type="dxa"/>
              <w:left w:w="150" w:type="dxa"/>
              <w:right w:w="150" w:type="dxa"/>
            </w:tcMar>
          </w:tcPr>
          <w:p>
            <w:pPr>
              <w:jc w:val="left"/>
            </w:pPr>
            <w:r>
              <w:rPr>
                <w:rFonts w:ascii="Segoe UI" w:hAnsi="Segoe UI"/>
                <w:b w:val="0"/>
                <w:i w:val="0"/>
                <w:color w:val="1E293B"/>
                <w:sz w:val="18"/>
              </w:rPr>
              <w:t>test_audit_governance_selenium.py</w:t>
            </w:r>
          </w:p>
        </w:tc>
        <w:tc>
          <w:tcPr>
            <w:tcW w:type="dxa" w:w="1440"/>
            <w:shd w:fill="FFFFFF"/>
            <w:tcMar>
              <w:top w:w="100" w:type="dxa"/>
              <w:bottom w:w="100" w:type="dxa"/>
              <w:left w:w="150" w:type="dxa"/>
              <w:right w:w="150" w:type="dxa"/>
            </w:tcMar>
          </w:tcPr>
          <w:p>
            <w:pPr>
              <w:jc w:val="left"/>
            </w:pPr>
            <w:r>
              <w:rPr>
                <w:rFonts w:ascii="Segoe UI" w:hAnsi="Segoe UI"/>
                <w:b w:val="0"/>
                <w:i w:val="0"/>
                <w:color w:val="1E293B"/>
                <w:sz w:val="18"/>
              </w:rPr>
              <w:t>10 Stages</w:t>
            </w:r>
          </w:p>
        </w:tc>
        <w:tc>
          <w:tcPr>
            <w:tcW w:type="dxa" w:w="4608"/>
            <w:shd w:fill="FFFFFF"/>
            <w:tcMar>
              <w:top w:w="100" w:type="dxa"/>
              <w:bottom w:w="100" w:type="dxa"/>
              <w:left w:w="150" w:type="dxa"/>
              <w:right w:w="150" w:type="dxa"/>
            </w:tcMar>
          </w:tcPr>
          <w:p>
            <w:pPr>
              <w:jc w:val="left"/>
            </w:pPr>
            <w:r>
              <w:rPr>
                <w:rFonts w:ascii="Segoe UI" w:hAnsi="Segoe UI"/>
                <w:b w:val="0"/>
                <w:i w:val="0"/>
                <w:color w:val="1E293B"/>
                <w:sz w:val="18"/>
              </w:rPr>
              <w:t>100% PASS: Cryptographic SHA-256 hash chaining, diff drawer, seal validation, retention policies, legal holds, forensic anomalies, evidence pack.</w:t>
            </w:r>
          </w:p>
        </w:tc>
      </w:tr>
      <w:tr>
        <w:tc>
          <w:tcPr>
            <w:tcW w:type="dxa" w:w="3312"/>
            <w:shd w:fill="F8FAF9"/>
            <w:tcMar>
              <w:top w:w="100" w:type="dxa"/>
              <w:bottom w:w="100" w:type="dxa"/>
              <w:left w:w="150" w:type="dxa"/>
              <w:right w:w="150" w:type="dxa"/>
            </w:tcMar>
          </w:tcPr>
          <w:p>
            <w:pPr>
              <w:jc w:val="left"/>
            </w:pPr>
            <w:r>
              <w:rPr>
                <w:rFonts w:ascii="Segoe UI" w:hAnsi="Segoe UI"/>
                <w:b w:val="0"/>
                <w:i w:val="0"/>
                <w:color w:val="1E293B"/>
                <w:sz w:val="18"/>
              </w:rPr>
              <w:t>test_cargo_consignment_selenium.py</w:t>
            </w:r>
          </w:p>
        </w:tc>
        <w:tc>
          <w:tcPr>
            <w:tcW w:type="dxa" w:w="1440"/>
            <w:shd w:fill="F8FAF9"/>
            <w:tcMar>
              <w:top w:w="100" w:type="dxa"/>
              <w:bottom w:w="100" w:type="dxa"/>
              <w:left w:w="150" w:type="dxa"/>
              <w:right w:w="150" w:type="dxa"/>
            </w:tcMar>
          </w:tcPr>
          <w:p>
            <w:pPr>
              <w:jc w:val="left"/>
            </w:pPr>
            <w:r>
              <w:rPr>
                <w:rFonts w:ascii="Segoe UI" w:hAnsi="Segoe UI"/>
                <w:b w:val="0"/>
                <w:i w:val="0"/>
                <w:color w:val="1E293B"/>
                <w:sz w:val="18"/>
              </w:rPr>
              <w:t>10 Stages</w:t>
            </w:r>
          </w:p>
        </w:tc>
        <w:tc>
          <w:tcPr>
            <w:tcW w:type="dxa" w:w="4608"/>
            <w:shd w:fill="F8FAF9"/>
            <w:tcMar>
              <w:top w:w="100" w:type="dxa"/>
              <w:bottom w:w="100" w:type="dxa"/>
              <w:left w:w="150" w:type="dxa"/>
              <w:right w:w="150" w:type="dxa"/>
            </w:tcMar>
          </w:tcPr>
          <w:p>
            <w:pPr>
              <w:jc w:val="left"/>
            </w:pPr>
            <w:r>
              <w:rPr>
                <w:rFonts w:ascii="Segoe UI" w:hAnsi="Segoe UI"/>
                <w:b w:val="0"/>
                <w:i w:val="0"/>
                <w:color w:val="1E293B"/>
                <w:sz w:val="18"/>
              </w:rPr>
              <w:t>100% PASS: Consignment registry, volumetric CBM, [Ctrl+1] Board, drawer inspection, cost center combined toggle, 4-eyes POD &amp; exception claims.</w:t>
            </w:r>
          </w:p>
        </w:tc>
      </w:tr>
    </w:tbl>
    <w:p>
      <w:pPr>
        <w:spacing w:after="160"/>
      </w:pPr>
    </w:p>
    <w:p>
      <w:pPr>
        <w:keepNext/>
        <w:spacing w:before="280" w:after="120"/>
      </w:pPr>
      <w:r>
        <w:rPr>
          <w:rFonts w:ascii="Segoe UI" w:hAnsi="Segoe UI"/>
          <w:b/>
          <w:i w:val="0"/>
          <w:color w:val="2D6A4F"/>
          <w:sz w:val="27"/>
        </w:rPr>
        <w:t>15.1 Production Deployment &amp; Synchronization Commands</w:t>
      </w:r>
    </w:p>
    <w:p>
      <w:pPr>
        <w:spacing w:before="0" w:after="120" w:line="276" w:lineRule="auto"/>
        <w:jc w:val="left"/>
      </w:pPr>
      <w:r>
        <w:rPr>
          <w:rFonts w:ascii="Segoe UI" w:hAnsi="Segoe UI"/>
          <w:b w:val="0"/>
          <w:i w:val="0"/>
          <w:color w:val="1E293B"/>
          <w:sz w:val="21"/>
        </w:rPr>
        <w:t>To run or synchronize the software across development and production environments:</w:t>
      </w:r>
    </w:p>
    <w:tbl>
      <w:tblPr>
        <w:tblW w:type="auto" w:w="0"/>
        <w:jc w:val="center"/>
        <w:tblLook w:firstColumn="1" w:firstRow="1" w:lastColumn="0" w:lastRow="0" w:noHBand="0" w:noVBand="1" w:val="04A0"/>
      </w:tblPr>
      <w:tblGrid>
        <w:gridCol w:w="9360"/>
      </w:tblGrid>
      <w:tr>
        <w:tc>
          <w:tcPr>
            <w:tcW w:type="dxa" w:w="9360"/>
            <w:shd w:fill="EEF7F2"/>
            <w:tcMar>
              <w:top w:w="140" w:type="dxa"/>
              <w:bottom w:w="140" w:type="dxa"/>
              <w:left w:w="200" w:type="dxa"/>
              <w:right w:w="180" w:type="dxa"/>
            </w:tcMar>
            <w:tcBorders>
              <w:left w:val="single" w:sz="24" w:space="0" w:color="1B4332"/>
              <w:top w:val="none"/>
              <w:right w:val="none"/>
              <w:bottom w:val="none"/>
            </w:tcBorders>
          </w:tcPr>
          <w:p>
            <w:pPr>
              <w:spacing w:before="40" w:after="40"/>
            </w:pPr>
            <w:r>
              <w:rPr>
                <w:rFonts w:ascii="Segoe UI" w:hAnsi="Segoe UI"/>
                <w:b/>
                <w:i w:val="0"/>
                <w:color w:val="1B4332"/>
                <w:sz w:val="19"/>
              </w:rPr>
              <w:t xml:space="preserve">OPERATIONAL DEPLOYMENT SCRIPTS: </w:t>
            </w:r>
            <w:r>
              <w:rPr>
                <w:rFonts w:ascii="Segoe UI" w:hAnsi="Segoe UI"/>
                <w:b w:val="0"/>
                <w:i w:val="0"/>
                <w:color w:val="1E293B"/>
                <w:sz w:val="19"/>
              </w:rPr>
              <w:t>1. Backend Startup (Port 8000):</w:t>
              <w:br/>
              <w:t xml:space="preserve">   cd C:\Users\DELL\OneDrive\Desktop\erp2\backend</w:t>
              <w:br/>
              <w:t xml:space="preserve">   C:\Python313\python.exe -m uvicorn main:app --port 8000 --reload</w:t>
              <w:br/>
              <w:br/>
              <w:t>2. Frontend Startup (Port 50005):</w:t>
              <w:br/>
              <w:t xml:space="preserve">   cd C:\Users\DELL\OneDrive\Desktop\erp2</w:t>
              <w:br/>
              <w:t xml:space="preserve">   npm run dev -- --port 50005</w:t>
              <w:br/>
              <w:br/>
              <w:t>3. Production Synchronization (Robocopy to Git):</w:t>
              <w:br/>
              <w:t xml:space="preserve">   robocopy C:\Users\DELL\OneDrive\Desktop\erp2\src C:\Users\DELL\OneDrive\Desktop\erp\src /MIR /XD node_modules</w:t>
              <w:br/>
              <w:t xml:space="preserve">   robocopy C:\Users\DELL\OneDrive\Desktop\erp2\backend C:\Users\DELL\OneDrive\Desktop\erp\backend /MIR /XD __pycache__ .venv</w:t>
              <w:br/>
              <w:t xml:space="preserve">   robocopy C:\Users\DELL\OneDrive\Desktop\erp2 C:\Users\DELL\OneDrive\Desktop\erp *.md *.docx *.json *.txt /XF package-lock.json /XD node_modules backend src .git</w:t>
              <w:br/>
              <w:br/>
              <w:t>4. Live Production URL:</w:t>
              <w:br/>
              <w:t xml:space="preserve">   https://erp-rho-three.vercel.app (Continuous Deployment via GitHub origin main)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