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34"/>
        </w:rPr>
        <w:t>COMPREHENSIVE ENTERPRISE SALES, PURCHASE, BILLING &amp; WORKFLOW ARCHITECTURE</w:t>
      </w:r>
    </w:p>
    <w:p>
      <w:pPr>
        <w:spacing w:before="0" w:after="240"/>
        <w:jc w:val="center"/>
      </w:pPr>
      <w:r>
        <w:rPr>
          <w:i/>
          <w:color w:val="475569"/>
          <w:sz w:val="21"/>
        </w:rPr>
        <w:t>Deep-Dive Operational, Transactional &amp; Mathematical Blueprint (SAP S/4HANA, NetSuite, Dynamics 365, Marg ERP, TallyPrime)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5040"/>
        <w:gridCol w:w="5040"/>
      </w:tblGrid>
      <w:tr>
        <w:trPr>
          <w:cantSplit/>
          <w:tblHeader/>
        </w:trPr>
        <w:tc>
          <w:tcPr>
            <w:tcW w:type="dxa" w:w="4896"/>
            <w:vAlign w:val="center"/>
            <w:tcMar>
              <w:top w:w="100" w:type="dxa"/>
              <w:bottom w:w="100" w:type="dxa"/>
              <w:left w:w="120" w:type="dxa"/>
              <w:right w:w="120" w:type="dxa"/>
            </w:tcMar>
            <w:shd w:fill="334155"/>
          </w:tcPr>
          <w:p>
            <w:pPr>
              <w:spacing w:before="40" w:after="40"/>
            </w:pPr>
            <w:r>
              <w:rPr>
                <w:b/>
                <w:color w:val="FFFFFF"/>
                <w:sz w:val="18"/>
              </w:rPr>
              <w:t>Target Architecture: Enterprise Double-Entry, Logistics &amp; Billing Engine</w:t>
            </w:r>
          </w:p>
        </w:tc>
        <w:tc>
          <w:tcPr>
            <w:tcW w:type="dxa" w:w="4896"/>
            <w:vAlign w:val="center"/>
            <w:tcMar>
              <w:top w:w="100" w:type="dxa"/>
              <w:bottom w:w="100" w:type="dxa"/>
              <w:left w:w="120" w:type="dxa"/>
              <w:right w:w="120" w:type="dxa"/>
            </w:tcMar>
            <w:shd w:fill="334155"/>
          </w:tcPr>
          <w:p>
            <w:pPr>
              <w:spacing w:before="40" w:after="40"/>
            </w:pPr>
            <w:r>
              <w:rPr>
                <w:b/>
                <w:color w:val="FFFFFF"/>
                <w:sz w:val="18"/>
              </w:rPr>
              <w:t>Comparative Benchmarks: SAP SD/MM, NetSuite OneWorld, Marg ERP, TallyPrime</w:t>
            </w:r>
          </w:p>
        </w:tc>
      </w:tr>
      <w:tr>
        <w:trPr>
          <w:cantSplit/>
        </w:trPr>
        <w:tc>
          <w:tcPr>
            <w:tcW w:type="dxa" w:w="4896"/>
            <w:vAlign w:val="center"/>
            <w:tcMar>
              <w:top w:w="100" w:type="dxa"/>
              <w:bottom w:w="100" w:type="dxa"/>
              <w:left w:w="120" w:type="dxa"/>
              <w:right w:w="120" w:type="dxa"/>
            </w:tcMar>
            <w:shd w:fill="F8FAFC"/>
          </w:tcPr>
          <w:p>
            <w:pPr>
              <w:spacing w:before="40" w:after="40"/>
            </w:pPr>
            <w:r>
              <w:rPr>
                <w:b/>
                <w:color w:val="1E293B"/>
                <w:sz w:val="17"/>
              </w:rPr>
              <w:t>Compliance Standards: GAAP, IFRS 15, Ind AS, GST/TDS, Statutory Audit Logs</w:t>
            </w:r>
          </w:p>
        </w:tc>
        <w:tc>
          <w:tcPr>
            <w:tcW w:type="dxa" w:w="4896"/>
            <w:vAlign w:val="center"/>
            <w:tcMar>
              <w:top w:w="100" w:type="dxa"/>
              <w:bottom w:w="100" w:type="dxa"/>
              <w:left w:w="120" w:type="dxa"/>
              <w:right w:w="120" w:type="dxa"/>
            </w:tcMar>
            <w:shd w:fill="F8FAFC"/>
          </w:tcPr>
          <w:p>
            <w:pPr>
              <w:spacing w:before="40" w:after="40"/>
            </w:pPr>
            <w:r>
              <w:rPr>
                <w:b/>
                <w:color w:val="1E293B"/>
                <w:sz w:val="17"/>
              </w:rPr>
              <w:t>Engineering Stack: FastAPI, PostgreSQL, Redis, React 19, CQRS Append-Only</w:t>
            </w:r>
          </w:p>
        </w:tc>
      </w:tr>
    </w:tbl>
    <w:p/>
    <w:p>
      <w:pPr>
        <w:pStyle w:val="Heading1"/>
        <w:spacing w:before="280"/>
      </w:pPr>
      <w:r>
        <w:t>1. Executive Framework: The 3-Tier Separation of Concerns</w:t>
      </w:r>
    </w:p>
    <w:p>
      <w:r>
        <w:t>Top-tier ERP systems (SAP S/4HANA, Oracle NetSuite) prevent operational bottlenecks and financial corruption by strictly separating a business transaction into three decoupled architectural tiers:</w:t>
      </w:r>
    </w:p>
    <w:tbl>
      <w:tblPr>
        <w:tblW w:type="auto" w:w="0"/>
        <w:jc w:val="center"/>
        <w:tblLayout w:type="fixed"/>
        <w:tblLook w:firstColumn="1" w:firstRow="1" w:lastColumn="0" w:lastRow="0" w:noHBand="0" w:noVBand="1" w:val="04A0"/>
      </w:tblPr>
      <w:tblGrid>
        <w:gridCol w:w="9792"/>
      </w:tblGrid>
      <w:tr>
        <w:tc>
          <w:tcPr>
            <w:tcW w:type="dxa" w:w="10080"/>
            <w:shd w:fill="EFF6FF"/>
            <w:tcMar>
              <w:top w:w="140" w:type="dxa"/>
              <w:bottom w:w="140" w:type="dxa"/>
              <w:left w:w="180" w:type="dxa"/>
              <w:right w:w="180" w:type="dxa"/>
            </w:tcMar>
            <w:tcBorders>
              <w:top w:val="none"/>
              <w:left w:val="single" w:sz="24" w:space="0" w:color="2563EB"/>
              <w:bottom w:val="none"/>
              <w:right w:val="none"/>
            </w:tcBorders>
          </w:tcPr>
          <w:p>
            <w:pPr>
              <w:spacing w:before="40" w:after="80"/>
            </w:pPr>
            <w:r>
              <w:rPr>
                <w:b/>
                <w:color w:val="0F172A"/>
                <w:sz w:val="21"/>
              </w:rPr>
              <w:t>📌 THE THREE DECOUPLED ARCHITECTURAL TIERS</w:t>
              <w:br/>
            </w:r>
          </w:p>
          <w:p>
            <w:pPr>
              <w:spacing w:before="0" w:after="40"/>
            </w:pPr>
            <w:r>
              <w:rPr>
                <w:color w:val="334155"/>
                <w:sz w:val="19"/>
              </w:rPr>
              <w:t>Tier 1: Commercial Intent (Quotations, Sales Orders, Purchase Orders) -&gt; Non-posting agreements. Establishes contracted pricing, Available-to-Promise (ATP) inventory allocation, customer credit exposure checks, and cost center budget encumbrances. HITS ZERO GENERAL LEDGER (GL) ACCOUNTS.</w:t>
            </w:r>
          </w:p>
          <w:p>
            <w:pPr>
              <w:spacing w:before="0" w:after="40"/>
            </w:pPr>
            <w:r>
              <w:rPr>
                <w:color w:val="334155"/>
                <w:sz w:val="19"/>
              </w:rPr>
              <w:t>Tier 2: Physical Logistics (Outbound Deliveries, Shipments, Goods Receipts) -&gt; Operational floor execution. Decrements or increments physical inventory counts, tracks batch/serial numbers, and triggers Inventory Valuation accounting entries (Cost of Goods Sold or GR/IR Suspense Clearing). NEVER RECOGNIZES REVENUE OR DIRECT VENDOR LIABILITIES.</w:t>
            </w:r>
          </w:p>
          <w:p>
            <w:pPr>
              <w:spacing w:before="0" w:after="40"/>
            </w:pPr>
            <w:r>
              <w:rPr>
                <w:color w:val="334155"/>
                <w:sz w:val="19"/>
              </w:rPr>
              <w:t>Tier 3: Financial Accounting (Billing Documents, Vendor Invoices, Payment Matching) -&gt; Legal realization. Updates Accounts Receivable (AR) / Accounts Payable (AP) subledgers, realizes Revenue under IFRS 15 / ASC 606, calculates Output/Input GST/VAT, and manages open-item clearing.</w:t>
            </w:r>
          </w:p>
        </w:tc>
      </w:tr>
    </w:tbl>
    <w:p/>
    <w:p>
      <w:pPr>
        <w:pStyle w:val="Heading1"/>
        <w:spacing w:before="280"/>
      </w:pPr>
      <w:r>
        <w:t>2. Sales &amp; Order-to-Cash (O2C) End-to-End Flow</w:t>
      </w:r>
    </w:p>
    <w:p>
      <w:r>
        <w:t>The Order-to-Cash (O2C) engine orchestrates the lifecycle from customer quotation to cash settlement. It guarantees that inventory allocation, warehouse dispatch, billing, and tax liabilities operate synchronously without data duplication.</w:t>
      </w:r>
    </w:p>
    <w:p>
      <w:pPr>
        <w:pStyle w:val="Heading2"/>
      </w:pPr>
      <w:r>
        <w:t>2.1 The Standard Multi-Stage Enterprise O2C Flow</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cantSplit/>
          <w:tblHeader/>
        </w:trPr>
        <w:tc>
          <w:tcPr>
            <w:tcW w:type="dxa" w:w="2016"/>
            <w:vAlign w:val="center"/>
            <w:tcMar>
              <w:top w:w="100" w:type="dxa"/>
              <w:bottom w:w="100" w:type="dxa"/>
              <w:left w:w="120" w:type="dxa"/>
              <w:right w:w="120" w:type="dxa"/>
            </w:tcMar>
            <w:shd w:fill="1E293B"/>
          </w:tcPr>
          <w:p>
            <w:pPr>
              <w:spacing w:before="40" w:after="40"/>
            </w:pPr>
            <w:r>
              <w:rPr>
                <w:b/>
                <w:color w:val="FFFFFF"/>
                <w:sz w:val="18"/>
              </w:rPr>
              <w:t>O2C Milestone</w:t>
            </w:r>
          </w:p>
        </w:tc>
        <w:tc>
          <w:tcPr>
            <w:tcW w:type="dxa" w:w="3024"/>
            <w:vAlign w:val="center"/>
            <w:tcMar>
              <w:top w:w="100" w:type="dxa"/>
              <w:bottom w:w="100" w:type="dxa"/>
              <w:left w:w="120" w:type="dxa"/>
              <w:right w:w="120" w:type="dxa"/>
            </w:tcMar>
            <w:shd w:fill="1E293B"/>
          </w:tcPr>
          <w:p>
            <w:pPr>
              <w:spacing w:before="40" w:after="40"/>
            </w:pPr>
            <w:r>
              <w:rPr>
                <w:b/>
                <w:color w:val="FFFFFF"/>
                <w:sz w:val="18"/>
              </w:rPr>
              <w:t>Operational Trigger &amp; System Action</w:t>
            </w:r>
          </w:p>
        </w:tc>
        <w:tc>
          <w:tcPr>
            <w:tcW w:type="dxa" w:w="2592"/>
            <w:vAlign w:val="center"/>
            <w:tcMar>
              <w:top w:w="100" w:type="dxa"/>
              <w:bottom w:w="100" w:type="dxa"/>
              <w:left w:w="120" w:type="dxa"/>
              <w:right w:w="120" w:type="dxa"/>
            </w:tcMar>
            <w:shd w:fill="1E293B"/>
          </w:tcPr>
          <w:p>
            <w:pPr>
              <w:spacing w:before="40" w:after="40"/>
            </w:pPr>
            <w:r>
              <w:rPr>
                <w:b/>
                <w:color w:val="FFFFFF"/>
                <w:sz w:val="18"/>
              </w:rPr>
              <w:t>General Ledger Accounting Entry</w:t>
            </w:r>
          </w:p>
        </w:tc>
        <w:tc>
          <w:tcPr>
            <w:tcW w:type="dxa" w:w="2160"/>
            <w:vAlign w:val="center"/>
            <w:tcMar>
              <w:top w:w="100" w:type="dxa"/>
              <w:bottom w:w="100" w:type="dxa"/>
              <w:left w:w="120" w:type="dxa"/>
              <w:right w:w="120" w:type="dxa"/>
            </w:tcMar>
            <w:shd w:fill="1E293B"/>
          </w:tcPr>
          <w:p>
            <w:pPr>
              <w:spacing w:before="40" w:after="40"/>
            </w:pPr>
            <w:r>
              <w:rPr>
                <w:b/>
                <w:color w:val="FFFFFF"/>
                <w:sz w:val="18"/>
              </w:rPr>
              <w:t>Inventory &amp; Financial Impact</w:t>
            </w:r>
          </w:p>
        </w:tc>
      </w:tr>
      <w:tr>
        <w:trPr>
          <w:cantSplit/>
        </w:trPr>
        <w:tc>
          <w:tcPr>
            <w:tcW w:type="dxa" w:w="2016"/>
            <w:vAlign w:val="center"/>
            <w:tcMar>
              <w:top w:w="100" w:type="dxa"/>
              <w:bottom w:w="100" w:type="dxa"/>
              <w:left w:w="120" w:type="dxa"/>
              <w:right w:w="120" w:type="dxa"/>
            </w:tcMar>
            <w:shd w:fill="F8FAFC"/>
          </w:tcPr>
          <w:p>
            <w:pPr>
              <w:spacing w:before="40" w:after="40"/>
            </w:pPr>
            <w:r>
              <w:rPr>
                <w:color w:val="1E293B"/>
                <w:sz w:val="17"/>
              </w:rPr>
              <w:t>1. Quotation</w:t>
            </w:r>
          </w:p>
        </w:tc>
        <w:tc>
          <w:tcPr>
            <w:tcW w:type="dxa" w:w="3024"/>
            <w:vAlign w:val="center"/>
            <w:tcMar>
              <w:top w:w="100" w:type="dxa"/>
              <w:bottom w:w="100" w:type="dxa"/>
              <w:left w:w="120" w:type="dxa"/>
              <w:right w:w="120" w:type="dxa"/>
            </w:tcMar>
            <w:shd w:fill="F8FAFC"/>
          </w:tcPr>
          <w:p>
            <w:pPr>
              <w:spacing w:before="40" w:after="40"/>
            </w:pPr>
            <w:r>
              <w:rPr>
                <w:color w:val="1E293B"/>
                <w:sz w:val="17"/>
              </w:rPr>
              <w:t>Commercial proposal sent to prospective buyer with tiered pricing and expiration.</w:t>
            </w:r>
          </w:p>
        </w:tc>
        <w:tc>
          <w:tcPr>
            <w:tcW w:type="dxa" w:w="2592"/>
            <w:vAlign w:val="center"/>
            <w:tcMar>
              <w:top w:w="100" w:type="dxa"/>
              <w:bottom w:w="100" w:type="dxa"/>
              <w:left w:w="120" w:type="dxa"/>
              <w:right w:w="120" w:type="dxa"/>
            </w:tcMar>
            <w:shd w:fill="F8FAFC"/>
          </w:tcPr>
          <w:p>
            <w:pPr>
              <w:spacing w:before="40" w:after="40"/>
            </w:pPr>
            <w:r>
              <w:rPr>
                <w:color w:val="1E293B"/>
                <w:sz w:val="17"/>
              </w:rPr>
              <w:t>NO GL ENTRY POSTED</w:t>
            </w:r>
          </w:p>
        </w:tc>
        <w:tc>
          <w:tcPr>
            <w:tcW w:type="dxa" w:w="2160"/>
            <w:vAlign w:val="center"/>
            <w:tcMar>
              <w:top w:w="100" w:type="dxa"/>
              <w:bottom w:w="100" w:type="dxa"/>
              <w:left w:w="120" w:type="dxa"/>
              <w:right w:w="120" w:type="dxa"/>
            </w:tcMar>
            <w:shd w:fill="F8FAFC"/>
          </w:tcPr>
          <w:p>
            <w:pPr>
              <w:spacing w:before="40" w:after="40"/>
            </w:pPr>
            <w:r>
              <w:rPr>
                <w:color w:val="1E293B"/>
                <w:sz w:val="17"/>
              </w:rPr>
              <w:t>Zero inventory reservation. Zero financial impact.</w:t>
            </w:r>
          </w:p>
        </w:tc>
      </w:tr>
      <w:tr>
        <w:trPr>
          <w:cantSplit/>
        </w:trPr>
        <w:tc>
          <w:tcPr>
            <w:tcW w:type="dxa" w:w="2016"/>
            <w:vAlign w:val="center"/>
            <w:tcMar>
              <w:top w:w="100" w:type="dxa"/>
              <w:bottom w:w="100" w:type="dxa"/>
              <w:left w:w="120" w:type="dxa"/>
              <w:right w:w="120" w:type="dxa"/>
            </w:tcMar>
            <w:shd w:fill="FFFFFF"/>
          </w:tcPr>
          <w:p>
            <w:pPr>
              <w:spacing w:before="40" w:after="40"/>
            </w:pPr>
            <w:r>
              <w:rPr>
                <w:color w:val="1E293B"/>
                <w:sz w:val="17"/>
              </w:rPr>
              <w:t>2. Sales Order (SO)</w:t>
            </w:r>
          </w:p>
        </w:tc>
        <w:tc>
          <w:tcPr>
            <w:tcW w:type="dxa" w:w="3024"/>
            <w:vAlign w:val="center"/>
            <w:tcMar>
              <w:top w:w="100" w:type="dxa"/>
              <w:bottom w:w="100" w:type="dxa"/>
              <w:left w:w="120" w:type="dxa"/>
              <w:right w:w="120" w:type="dxa"/>
            </w:tcMar>
            <w:shd w:fill="FFFFFF"/>
          </w:tcPr>
          <w:p>
            <w:pPr>
              <w:spacing w:before="40" w:after="40"/>
            </w:pPr>
            <w:r>
              <w:rPr>
                <w:color w:val="1E293B"/>
                <w:sz w:val="17"/>
              </w:rPr>
              <w:t>Contractual order entered. ATP engine allocates stock. Credit engine checks limit: Exposure = Open Orders + Deliveries + Invoices - Payments.</w:t>
            </w:r>
          </w:p>
        </w:tc>
        <w:tc>
          <w:tcPr>
            <w:tcW w:type="dxa" w:w="2592"/>
            <w:vAlign w:val="center"/>
            <w:tcMar>
              <w:top w:w="100" w:type="dxa"/>
              <w:bottom w:w="100" w:type="dxa"/>
              <w:left w:w="120" w:type="dxa"/>
              <w:right w:w="120" w:type="dxa"/>
            </w:tcMar>
            <w:shd w:fill="FFFFFF"/>
          </w:tcPr>
          <w:p>
            <w:pPr>
              <w:spacing w:before="40" w:after="40"/>
            </w:pPr>
            <w:r>
              <w:rPr>
                <w:color w:val="1E293B"/>
                <w:sz w:val="17"/>
              </w:rPr>
              <w:t>NO GL ENTRY POSTED</w:t>
            </w:r>
          </w:p>
        </w:tc>
        <w:tc>
          <w:tcPr>
            <w:tcW w:type="dxa" w:w="2160"/>
            <w:vAlign w:val="center"/>
            <w:tcMar>
              <w:top w:w="100" w:type="dxa"/>
              <w:bottom w:w="100" w:type="dxa"/>
              <w:left w:w="120" w:type="dxa"/>
              <w:right w:w="120" w:type="dxa"/>
            </w:tcMar>
            <w:shd w:fill="FFFFFF"/>
          </w:tcPr>
          <w:p>
            <w:pPr>
              <w:spacing w:before="40" w:after="40"/>
            </w:pPr>
            <w:r>
              <w:rPr>
                <w:color w:val="1E293B"/>
                <w:sz w:val="17"/>
              </w:rPr>
              <w:t>Soft/Hard reservation of stock across schedule lines. Zero GL impact.</w:t>
            </w:r>
          </w:p>
        </w:tc>
      </w:tr>
      <w:tr>
        <w:trPr>
          <w:cantSplit/>
        </w:trPr>
        <w:tc>
          <w:tcPr>
            <w:tcW w:type="dxa" w:w="2016"/>
            <w:vAlign w:val="center"/>
            <w:tcMar>
              <w:top w:w="100" w:type="dxa"/>
              <w:bottom w:w="100" w:type="dxa"/>
              <w:left w:w="120" w:type="dxa"/>
              <w:right w:w="120" w:type="dxa"/>
            </w:tcMar>
            <w:shd w:fill="F8FAFC"/>
          </w:tcPr>
          <w:p>
            <w:pPr>
              <w:spacing w:before="40" w:after="40"/>
            </w:pPr>
            <w:r>
              <w:rPr>
                <w:color w:val="1E293B"/>
                <w:sz w:val="17"/>
              </w:rPr>
              <w:t>3. Outbound Delivery (Pick/Pack)</w:t>
            </w:r>
          </w:p>
        </w:tc>
        <w:tc>
          <w:tcPr>
            <w:tcW w:type="dxa" w:w="3024"/>
            <w:vAlign w:val="center"/>
            <w:tcMar>
              <w:top w:w="100" w:type="dxa"/>
              <w:bottom w:w="100" w:type="dxa"/>
              <w:left w:w="120" w:type="dxa"/>
              <w:right w:w="120" w:type="dxa"/>
            </w:tcMar>
            <w:shd w:fill="F8FAFC"/>
          </w:tcPr>
          <w:p>
            <w:pPr>
              <w:spacing w:before="40" w:after="40"/>
            </w:pPr>
            <w:r>
              <w:rPr>
                <w:color w:val="1E293B"/>
                <w:sz w:val="17"/>
              </w:rPr>
              <w:t>Warehouse prints pick-list, packs handling units, and verifies serial/batch numbers.</w:t>
            </w:r>
          </w:p>
        </w:tc>
        <w:tc>
          <w:tcPr>
            <w:tcW w:type="dxa" w:w="2592"/>
            <w:vAlign w:val="center"/>
            <w:tcMar>
              <w:top w:w="100" w:type="dxa"/>
              <w:bottom w:w="100" w:type="dxa"/>
              <w:left w:w="120" w:type="dxa"/>
              <w:right w:w="120" w:type="dxa"/>
            </w:tcMar>
            <w:shd w:fill="F8FAFC"/>
          </w:tcPr>
          <w:p>
            <w:pPr>
              <w:spacing w:before="40" w:after="40"/>
            </w:pPr>
            <w:r>
              <w:rPr>
                <w:color w:val="1E293B"/>
                <w:sz w:val="17"/>
              </w:rPr>
              <w:t>NO GL ENTRY POSTED</w:t>
            </w:r>
          </w:p>
        </w:tc>
        <w:tc>
          <w:tcPr>
            <w:tcW w:type="dxa" w:w="2160"/>
            <w:vAlign w:val="center"/>
            <w:tcMar>
              <w:top w:w="100" w:type="dxa"/>
              <w:bottom w:w="100" w:type="dxa"/>
              <w:left w:w="120" w:type="dxa"/>
              <w:right w:w="120" w:type="dxa"/>
            </w:tcMar>
            <w:shd w:fill="F8FAFC"/>
          </w:tcPr>
          <w:p>
            <w:pPr>
              <w:spacing w:before="40" w:after="40"/>
            </w:pPr>
            <w:r>
              <w:rPr>
                <w:color w:val="1E293B"/>
                <w:sz w:val="17"/>
              </w:rPr>
              <w:t>Stock moves from 'Available' to 'Staged/Picked' status.</w:t>
            </w:r>
          </w:p>
        </w:tc>
      </w:tr>
      <w:tr>
        <w:trPr>
          <w:cantSplit/>
        </w:trPr>
        <w:tc>
          <w:tcPr>
            <w:tcW w:type="dxa" w:w="2016"/>
            <w:vAlign w:val="center"/>
            <w:tcMar>
              <w:top w:w="100" w:type="dxa"/>
              <w:bottom w:w="100" w:type="dxa"/>
              <w:left w:w="120" w:type="dxa"/>
              <w:right w:w="120" w:type="dxa"/>
            </w:tcMar>
            <w:shd w:fill="FFFFFF"/>
          </w:tcPr>
          <w:p>
            <w:pPr>
              <w:spacing w:before="40" w:after="40"/>
            </w:pPr>
            <w:r>
              <w:rPr>
                <w:color w:val="1E293B"/>
                <w:sz w:val="17"/>
              </w:rPr>
              <w:t>4. Post Goods Issue (PGI)</w:t>
            </w:r>
          </w:p>
        </w:tc>
        <w:tc>
          <w:tcPr>
            <w:tcW w:type="dxa" w:w="3024"/>
            <w:vAlign w:val="center"/>
            <w:tcMar>
              <w:top w:w="100" w:type="dxa"/>
              <w:bottom w:w="100" w:type="dxa"/>
              <w:left w:w="120" w:type="dxa"/>
              <w:right w:w="120" w:type="dxa"/>
            </w:tcMar>
            <w:shd w:fill="FFFFFF"/>
          </w:tcPr>
          <w:p>
            <w:pPr>
              <w:spacing w:before="40" w:after="40"/>
            </w:pPr>
            <w:r>
              <w:rPr>
                <w:color w:val="1E293B"/>
                <w:sz w:val="17"/>
              </w:rPr>
              <w:t>Carrier leaves warehouse. Physical inventory decremented at Moving Average / Standard Cost.</w:t>
            </w:r>
          </w:p>
        </w:tc>
        <w:tc>
          <w:tcPr>
            <w:tcW w:type="dxa" w:w="2592"/>
            <w:vAlign w:val="center"/>
            <w:tcMar>
              <w:top w:w="100" w:type="dxa"/>
              <w:bottom w:w="100" w:type="dxa"/>
              <w:left w:w="120" w:type="dxa"/>
              <w:right w:w="120" w:type="dxa"/>
            </w:tcMar>
            <w:shd w:fill="FFFFFF"/>
          </w:tcPr>
          <w:p>
            <w:pPr>
              <w:spacing w:before="40" w:after="40"/>
            </w:pPr>
            <w:r>
              <w:rPr>
                <w:color w:val="1E293B"/>
                <w:sz w:val="17"/>
              </w:rPr>
              <w:t>[Dr] Cost of Goods Sold (5000): ₹ 60,000</w:t>
              <w:br/>
              <w:t>[Cr] Inventory Asset (1000): ₹ 60,000</w:t>
            </w:r>
          </w:p>
        </w:tc>
        <w:tc>
          <w:tcPr>
            <w:tcW w:type="dxa" w:w="2160"/>
            <w:vAlign w:val="center"/>
            <w:tcMar>
              <w:top w:w="100" w:type="dxa"/>
              <w:bottom w:w="100" w:type="dxa"/>
              <w:left w:w="120" w:type="dxa"/>
              <w:right w:w="120" w:type="dxa"/>
            </w:tcMar>
            <w:shd w:fill="FFFFFF"/>
          </w:tcPr>
          <w:p>
            <w:pPr>
              <w:spacing w:before="40" w:after="40"/>
            </w:pPr>
            <w:r>
              <w:rPr>
                <w:color w:val="1E293B"/>
                <w:sz w:val="17"/>
              </w:rPr>
              <w:t>Perpetual Inventory drops. Cost of Sales recognized; Revenue strictly deferred.</w:t>
            </w:r>
          </w:p>
        </w:tc>
      </w:tr>
      <w:tr>
        <w:trPr>
          <w:cantSplit/>
        </w:trPr>
        <w:tc>
          <w:tcPr>
            <w:tcW w:type="dxa" w:w="2016"/>
            <w:vAlign w:val="center"/>
            <w:tcMar>
              <w:top w:w="100" w:type="dxa"/>
              <w:bottom w:w="100" w:type="dxa"/>
              <w:left w:w="120" w:type="dxa"/>
              <w:right w:w="120" w:type="dxa"/>
            </w:tcMar>
            <w:shd w:fill="F8FAFC"/>
          </w:tcPr>
          <w:p>
            <w:pPr>
              <w:spacing w:before="40" w:after="40"/>
            </w:pPr>
            <w:r>
              <w:rPr>
                <w:color w:val="1E293B"/>
                <w:sz w:val="17"/>
              </w:rPr>
              <w:t>5. Billing Document (Invoice)</w:t>
            </w:r>
          </w:p>
        </w:tc>
        <w:tc>
          <w:tcPr>
            <w:tcW w:type="dxa" w:w="3024"/>
            <w:vAlign w:val="center"/>
            <w:tcMar>
              <w:top w:w="100" w:type="dxa"/>
              <w:bottom w:w="100" w:type="dxa"/>
              <w:left w:w="120" w:type="dxa"/>
              <w:right w:w="120" w:type="dxa"/>
            </w:tcMar>
            <w:shd w:fill="F8FAFC"/>
          </w:tcPr>
          <w:p>
            <w:pPr>
              <w:spacing w:before="40" w:after="40"/>
            </w:pPr>
            <w:r>
              <w:rPr>
                <w:color w:val="1E293B"/>
                <w:sz w:val="17"/>
              </w:rPr>
              <w:t>Finance executes delivery-related billing. Pricing engine applies discounts and tax slabs.</w:t>
            </w:r>
          </w:p>
        </w:tc>
        <w:tc>
          <w:tcPr>
            <w:tcW w:type="dxa" w:w="2592"/>
            <w:vAlign w:val="center"/>
            <w:tcMar>
              <w:top w:w="100" w:type="dxa"/>
              <w:bottom w:w="100" w:type="dxa"/>
              <w:left w:w="120" w:type="dxa"/>
              <w:right w:w="120" w:type="dxa"/>
            </w:tcMar>
            <w:shd w:fill="F8FAFC"/>
          </w:tcPr>
          <w:p>
            <w:pPr>
              <w:spacing w:before="40" w:after="40"/>
            </w:pPr>
            <w:r>
              <w:rPr>
                <w:color w:val="1E293B"/>
                <w:sz w:val="17"/>
              </w:rPr>
              <w:t>[Dr] Customer AR Subledger (1000): ₹ 1,18,000</w:t>
              <w:br/>
              <w:t>[Cr] Sales Revenue (4000): ₹ 1,00,000</w:t>
              <w:br/>
              <w:t>[Cr] Output CGST Payable (2000): ₹ 9,000</w:t>
              <w:br/>
              <w:t>[Cr] Output SGST Payable (2000): ₹ 9,000</w:t>
            </w:r>
          </w:p>
        </w:tc>
        <w:tc>
          <w:tcPr>
            <w:tcW w:type="dxa" w:w="2160"/>
            <w:vAlign w:val="center"/>
            <w:tcMar>
              <w:top w:w="100" w:type="dxa"/>
              <w:bottom w:w="100" w:type="dxa"/>
              <w:left w:w="120" w:type="dxa"/>
              <w:right w:w="120" w:type="dxa"/>
            </w:tcMar>
            <w:shd w:fill="F8FAFC"/>
          </w:tcPr>
          <w:p>
            <w:pPr>
              <w:spacing w:before="40" w:after="40"/>
            </w:pPr>
            <w:r>
              <w:rPr>
                <w:color w:val="1E293B"/>
                <w:sz w:val="17"/>
              </w:rPr>
              <w:t>Legal customer liability created. Revenue &amp; statutory tax liability recognized.</w:t>
            </w:r>
          </w:p>
        </w:tc>
      </w:tr>
    </w:tbl>
    <w:p/>
    <w:p>
      <w:pPr>
        <w:pStyle w:val="Heading2"/>
      </w:pPr>
      <w:r>
        <w:t>2.2 The Marg-Style Delivery Challan &amp; Series Architecture (Supported SME Feature)</w:t>
      </w:r>
    </w:p>
    <w:p>
      <w:r>
        <w:t>In high-speed distribution (Pharma, FMCG, Building Materials), trucks often dispatch goods before final customer tax invoices are finalized. To support this natively, our architecture incorporates Marg ERP's Challan Consolidation and Series Engine:</w:t>
      </w:r>
    </w:p>
    <w:tbl>
      <w:tblPr>
        <w:tblW w:type="auto" w:w="0"/>
        <w:jc w:val="center"/>
        <w:tblLayout w:type="fixed"/>
        <w:tblLook w:firstColumn="1" w:firstRow="1" w:lastColumn="0" w:lastRow="0" w:noHBand="0" w:noVBand="1" w:val="04A0"/>
      </w:tblPr>
      <w:tblGrid>
        <w:gridCol w:w="9792"/>
      </w:tblGrid>
      <w:tr>
        <w:tc>
          <w:tcPr>
            <w:tcW w:type="dxa" w:w="10080"/>
            <w:shd w:fill="FEF3C7"/>
            <w:tcMar>
              <w:top w:w="140" w:type="dxa"/>
              <w:bottom w:w="140" w:type="dxa"/>
              <w:left w:w="180" w:type="dxa"/>
              <w:right w:w="180" w:type="dxa"/>
            </w:tcMar>
            <w:tcBorders>
              <w:top w:val="none"/>
              <w:left w:val="single" w:sz="24" w:space="0" w:color="D97706"/>
              <w:bottom w:val="none"/>
              <w:right w:val="none"/>
            </w:tcBorders>
          </w:tcPr>
          <w:p>
            <w:pPr>
              <w:spacing w:before="40" w:after="80"/>
            </w:pPr>
            <w:r>
              <w:rPr>
                <w:b/>
                <w:color w:val="0F172A"/>
                <w:sz w:val="21"/>
              </w:rPr>
              <w:t>📌 MARG CHALLAN CONSOLIDATION &amp; SERIES ENGINE</w:t>
              <w:br/>
            </w:r>
          </w:p>
          <w:p>
            <w:pPr>
              <w:spacing w:before="0" w:after="40"/>
            </w:pPr>
            <w:r>
              <w:rPr>
                <w:color w:val="334155"/>
                <w:sz w:val="19"/>
              </w:rPr>
              <w:t>• Delivery Challan Lifecycle: When a Delivery Challan is saved, physical stock drops immediately to prevent double-selling, but financial Accounts Receivable posting is suspended.</w:t>
            </w:r>
          </w:p>
          <w:p>
            <w:pPr>
              <w:spacing w:before="0" w:after="40"/>
            </w:pPr>
            <w:r>
              <w:rPr>
                <w:color w:val="334155"/>
                <w:sz w:val="19"/>
              </w:rPr>
              <w:t>• Multi-Challan Consolidation: Users can open a 'New Sale Bill', click 'Load Pending Challans', select multiple challans (e.g. Challan #CH-101, #CH-102, #CH-105 for the same customer), and merge them into a single consolidated Tax Invoice.</w:t>
            </w:r>
          </w:p>
          <w:p>
            <w:pPr>
              <w:spacing w:before="0" w:after="40"/>
            </w:pPr>
            <w:r>
              <w:rPr>
                <w:color w:val="334155"/>
                <w:sz w:val="19"/>
              </w:rPr>
              <w:t>• Atomic State Transition: All loaded challans transition from 'Pending' to 'Fully Billed', and a single consolidated General Ledger entry is posted atomically.</w:t>
            </w:r>
          </w:p>
          <w:p>
            <w:pPr>
              <w:spacing w:before="0" w:after="40"/>
            </w:pPr>
            <w:r>
              <w:rPr>
                <w:color w:val="334155"/>
                <w:sz w:val="19"/>
              </w:rPr>
              <w:t>• Flexible Billing Series: Isolated auto-numbering prefixes for different business streams (e.g., Series A: A/26-27/0001 for B2B GST; Series B: B/26-27/0001 for Retail POS; Series EXP: EXP/26-27/0001 for Export).</w:t>
            </w:r>
          </w:p>
        </w:tc>
      </w:tr>
    </w:tbl>
    <w:p/>
    <w:p>
      <w:pPr>
        <w:pStyle w:val="Heading1"/>
        <w:spacing w:before="280"/>
      </w:pPr>
      <w:r>
        <w:t>3. Procurement &amp; Procure-to-Pay (P2P) End-to-End Flow</w:t>
      </w:r>
    </w:p>
    <w:p>
      <w:r>
        <w:t>The Procure-to-Pay (P2P) lifecycle manages the requisitioning, ordering, receiving, and settling of raw materials, trade stock, and operating services while preventing vendor over-billing and internal budget leakage.</w:t>
      </w:r>
    </w:p>
    <w:p>
      <w:pPr>
        <w:pStyle w:val="Heading2"/>
      </w:pPr>
      <w:r>
        <w:t>3.1 The GR/IR Suspense Clearing Engine</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2520"/>
        <w:gridCol w:w="2520"/>
        <w:gridCol w:w="2520"/>
        <w:gridCol w:w="2520"/>
      </w:tblGrid>
      <w:tr>
        <w:trPr>
          <w:cantSplit/>
          <w:tblHeader/>
        </w:trPr>
        <w:tc>
          <w:tcPr>
            <w:tcW w:type="dxa" w:w="2016"/>
            <w:vAlign w:val="center"/>
            <w:tcMar>
              <w:top w:w="100" w:type="dxa"/>
              <w:bottom w:w="100" w:type="dxa"/>
              <w:left w:w="120" w:type="dxa"/>
              <w:right w:w="120" w:type="dxa"/>
            </w:tcMar>
            <w:shd w:fill="1E293B"/>
          </w:tcPr>
          <w:p>
            <w:pPr>
              <w:spacing w:before="40" w:after="40"/>
            </w:pPr>
            <w:r>
              <w:rPr>
                <w:b/>
                <w:color w:val="FFFFFF"/>
                <w:sz w:val="18"/>
              </w:rPr>
              <w:t>P2P Milestone</w:t>
            </w:r>
          </w:p>
        </w:tc>
        <w:tc>
          <w:tcPr>
            <w:tcW w:type="dxa" w:w="3024"/>
            <w:vAlign w:val="center"/>
            <w:tcMar>
              <w:top w:w="100" w:type="dxa"/>
              <w:bottom w:w="100" w:type="dxa"/>
              <w:left w:w="120" w:type="dxa"/>
              <w:right w:w="120" w:type="dxa"/>
            </w:tcMar>
            <w:shd w:fill="1E293B"/>
          </w:tcPr>
          <w:p>
            <w:pPr>
              <w:spacing w:before="40" w:after="40"/>
            </w:pPr>
            <w:r>
              <w:rPr>
                <w:b/>
                <w:color w:val="FFFFFF"/>
                <w:sz w:val="18"/>
              </w:rPr>
              <w:t>Operational Event &amp; System Action</w:t>
            </w:r>
          </w:p>
        </w:tc>
        <w:tc>
          <w:tcPr>
            <w:tcW w:type="dxa" w:w="2592"/>
            <w:vAlign w:val="center"/>
            <w:tcMar>
              <w:top w:w="100" w:type="dxa"/>
              <w:bottom w:w="100" w:type="dxa"/>
              <w:left w:w="120" w:type="dxa"/>
              <w:right w:w="120" w:type="dxa"/>
            </w:tcMar>
            <w:shd w:fill="1E293B"/>
          </w:tcPr>
          <w:p>
            <w:pPr>
              <w:spacing w:before="40" w:after="40"/>
            </w:pPr>
            <w:r>
              <w:rPr>
                <w:b/>
                <w:color w:val="FFFFFF"/>
                <w:sz w:val="18"/>
              </w:rPr>
              <w:t>General Ledger Accounting Entry</w:t>
            </w:r>
          </w:p>
        </w:tc>
        <w:tc>
          <w:tcPr>
            <w:tcW w:type="dxa" w:w="2160"/>
            <w:vAlign w:val="center"/>
            <w:tcMar>
              <w:top w:w="100" w:type="dxa"/>
              <w:bottom w:w="100" w:type="dxa"/>
              <w:left w:w="120" w:type="dxa"/>
              <w:right w:w="120" w:type="dxa"/>
            </w:tcMar>
            <w:shd w:fill="1E293B"/>
          </w:tcPr>
          <w:p>
            <w:pPr>
              <w:spacing w:before="40" w:after="40"/>
            </w:pPr>
            <w:r>
              <w:rPr>
                <w:b/>
                <w:color w:val="FFFFFF"/>
                <w:sz w:val="18"/>
              </w:rPr>
              <w:t>Suspense Account Status</w:t>
            </w:r>
          </w:p>
        </w:tc>
      </w:tr>
      <w:tr>
        <w:trPr>
          <w:cantSplit/>
        </w:trPr>
        <w:tc>
          <w:tcPr>
            <w:tcW w:type="dxa" w:w="2016"/>
            <w:vAlign w:val="center"/>
            <w:tcMar>
              <w:top w:w="100" w:type="dxa"/>
              <w:bottom w:w="100" w:type="dxa"/>
              <w:left w:w="120" w:type="dxa"/>
              <w:right w:w="120" w:type="dxa"/>
            </w:tcMar>
            <w:shd w:fill="F8FAFC"/>
          </w:tcPr>
          <w:p>
            <w:pPr>
              <w:spacing w:before="40" w:after="40"/>
            </w:pPr>
            <w:r>
              <w:rPr>
                <w:color w:val="1E293B"/>
                <w:sz w:val="17"/>
              </w:rPr>
              <w:t>1. Purchase Requisition &amp; PO</w:t>
            </w:r>
          </w:p>
        </w:tc>
        <w:tc>
          <w:tcPr>
            <w:tcW w:type="dxa" w:w="3024"/>
            <w:vAlign w:val="center"/>
            <w:tcMar>
              <w:top w:w="100" w:type="dxa"/>
              <w:bottom w:w="100" w:type="dxa"/>
              <w:left w:w="120" w:type="dxa"/>
              <w:right w:w="120" w:type="dxa"/>
            </w:tcMar>
            <w:shd w:fill="F8FAFC"/>
          </w:tcPr>
          <w:p>
            <w:pPr>
              <w:spacing w:before="40" w:after="40"/>
            </w:pPr>
            <w:r>
              <w:rPr>
                <w:color w:val="1E293B"/>
                <w:sz w:val="17"/>
              </w:rPr>
              <w:t>Requisition approved via delegation matrix. PO sent to supplier. Sets budget encumbrance.</w:t>
            </w:r>
          </w:p>
        </w:tc>
        <w:tc>
          <w:tcPr>
            <w:tcW w:type="dxa" w:w="2592"/>
            <w:vAlign w:val="center"/>
            <w:tcMar>
              <w:top w:w="100" w:type="dxa"/>
              <w:bottom w:w="100" w:type="dxa"/>
              <w:left w:w="120" w:type="dxa"/>
              <w:right w:w="120" w:type="dxa"/>
            </w:tcMar>
            <w:shd w:fill="F8FAFC"/>
          </w:tcPr>
          <w:p>
            <w:pPr>
              <w:spacing w:before="40" w:after="40"/>
            </w:pPr>
            <w:r>
              <w:rPr>
                <w:color w:val="1E293B"/>
                <w:sz w:val="17"/>
              </w:rPr>
              <w:t>NO GL ENTRY POSTED</w:t>
              <w:br/>
              <w:t>(Encumbers Department Budget)</w:t>
            </w:r>
          </w:p>
        </w:tc>
        <w:tc>
          <w:tcPr>
            <w:tcW w:type="dxa" w:w="2160"/>
            <w:vAlign w:val="center"/>
            <w:tcMar>
              <w:top w:w="100" w:type="dxa"/>
              <w:bottom w:w="100" w:type="dxa"/>
              <w:left w:w="120" w:type="dxa"/>
              <w:right w:w="120" w:type="dxa"/>
            </w:tcMar>
            <w:shd w:fill="F8FAFC"/>
          </w:tcPr>
          <w:p>
            <w:pPr>
              <w:spacing w:before="40" w:after="40"/>
            </w:pPr>
            <w:r>
              <w:rPr>
                <w:color w:val="1E293B"/>
                <w:sz w:val="17"/>
              </w:rPr>
              <w:t>None</w:t>
            </w:r>
          </w:p>
        </w:tc>
      </w:tr>
      <w:tr>
        <w:trPr>
          <w:cantSplit/>
        </w:trPr>
        <w:tc>
          <w:tcPr>
            <w:tcW w:type="dxa" w:w="2016"/>
            <w:vAlign w:val="center"/>
            <w:tcMar>
              <w:top w:w="100" w:type="dxa"/>
              <w:bottom w:w="100" w:type="dxa"/>
              <w:left w:w="120" w:type="dxa"/>
              <w:right w:w="120" w:type="dxa"/>
            </w:tcMar>
            <w:shd w:fill="FFFFFF"/>
          </w:tcPr>
          <w:p>
            <w:pPr>
              <w:spacing w:before="40" w:after="40"/>
            </w:pPr>
            <w:r>
              <w:rPr>
                <w:color w:val="1E293B"/>
                <w:sz w:val="17"/>
              </w:rPr>
              <w:t>2. Goods Receipt (GR / MIGO)</w:t>
            </w:r>
          </w:p>
        </w:tc>
        <w:tc>
          <w:tcPr>
            <w:tcW w:type="dxa" w:w="3024"/>
            <w:vAlign w:val="center"/>
            <w:tcMar>
              <w:top w:w="100" w:type="dxa"/>
              <w:bottom w:w="100" w:type="dxa"/>
              <w:left w:w="120" w:type="dxa"/>
              <w:right w:w="120" w:type="dxa"/>
            </w:tcMar>
            <w:shd w:fill="FFFFFF"/>
          </w:tcPr>
          <w:p>
            <w:pPr>
              <w:spacing w:before="40" w:after="40"/>
            </w:pPr>
            <w:r>
              <w:rPr>
                <w:color w:val="1E293B"/>
                <w:sz w:val="17"/>
              </w:rPr>
              <w:t>Dock worker receives physical stock. Count incremented at purchase valuation.</w:t>
            </w:r>
          </w:p>
        </w:tc>
        <w:tc>
          <w:tcPr>
            <w:tcW w:type="dxa" w:w="2592"/>
            <w:vAlign w:val="center"/>
            <w:tcMar>
              <w:top w:w="100" w:type="dxa"/>
              <w:bottom w:w="100" w:type="dxa"/>
              <w:left w:w="120" w:type="dxa"/>
              <w:right w:w="120" w:type="dxa"/>
            </w:tcMar>
            <w:shd w:fill="FFFFFF"/>
          </w:tcPr>
          <w:p>
            <w:pPr>
              <w:spacing w:before="40" w:after="40"/>
            </w:pPr>
            <w:r>
              <w:rPr>
                <w:color w:val="1E293B"/>
                <w:sz w:val="17"/>
              </w:rPr>
              <w:t>[Dr] Inventory Asset A/c: ₹ 1,00,000</w:t>
              <w:br/>
              <w:t>[Cr] GR/IR Clearing A/c: ₹ 1,00,000</w:t>
            </w:r>
          </w:p>
        </w:tc>
        <w:tc>
          <w:tcPr>
            <w:tcW w:type="dxa" w:w="2160"/>
            <w:vAlign w:val="center"/>
            <w:tcMar>
              <w:top w:w="100" w:type="dxa"/>
              <w:bottom w:w="100" w:type="dxa"/>
              <w:left w:w="120" w:type="dxa"/>
              <w:right w:w="120" w:type="dxa"/>
            </w:tcMar>
            <w:shd w:fill="FFFFFF"/>
          </w:tcPr>
          <w:p>
            <w:pPr>
              <w:spacing w:before="40" w:after="40"/>
            </w:pPr>
            <w:r>
              <w:rPr>
                <w:color w:val="1E293B"/>
                <w:sz w:val="17"/>
              </w:rPr>
              <w:t>GR/IR Credit Balance Created (Provisional Liability for Un-invoiced Stock)</w:t>
            </w:r>
          </w:p>
        </w:tc>
      </w:tr>
      <w:tr>
        <w:trPr>
          <w:cantSplit/>
        </w:trPr>
        <w:tc>
          <w:tcPr>
            <w:tcW w:type="dxa" w:w="2016"/>
            <w:vAlign w:val="center"/>
            <w:tcMar>
              <w:top w:w="100" w:type="dxa"/>
              <w:bottom w:w="100" w:type="dxa"/>
              <w:left w:w="120" w:type="dxa"/>
              <w:right w:w="120" w:type="dxa"/>
            </w:tcMar>
            <w:shd w:fill="F8FAFC"/>
          </w:tcPr>
          <w:p>
            <w:pPr>
              <w:spacing w:before="40" w:after="40"/>
            </w:pPr>
            <w:r>
              <w:rPr>
                <w:color w:val="1E293B"/>
                <w:sz w:val="17"/>
              </w:rPr>
              <w:t>3. 3-Way Match Invoice (MIRO)</w:t>
            </w:r>
          </w:p>
        </w:tc>
        <w:tc>
          <w:tcPr>
            <w:tcW w:type="dxa" w:w="3024"/>
            <w:vAlign w:val="center"/>
            <w:tcMar>
              <w:top w:w="100" w:type="dxa"/>
              <w:bottom w:w="100" w:type="dxa"/>
              <w:left w:w="120" w:type="dxa"/>
              <w:right w:w="120" w:type="dxa"/>
            </w:tcMar>
            <w:shd w:fill="F8FAFC"/>
          </w:tcPr>
          <w:p>
            <w:pPr>
              <w:spacing w:before="40" w:after="40"/>
            </w:pPr>
            <w:r>
              <w:rPr>
                <w:color w:val="1E293B"/>
                <w:sz w:val="17"/>
              </w:rPr>
              <w:t>Vendor invoice received. Automated 3-way check: PO Price == GR Qty == Bill Qty.</w:t>
            </w:r>
          </w:p>
        </w:tc>
        <w:tc>
          <w:tcPr>
            <w:tcW w:type="dxa" w:w="2592"/>
            <w:vAlign w:val="center"/>
            <w:tcMar>
              <w:top w:w="100" w:type="dxa"/>
              <w:bottom w:w="100" w:type="dxa"/>
              <w:left w:w="120" w:type="dxa"/>
              <w:right w:w="120" w:type="dxa"/>
            </w:tcMar>
            <w:shd w:fill="F8FAFC"/>
          </w:tcPr>
          <w:p>
            <w:pPr>
              <w:spacing w:before="40" w:after="40"/>
            </w:pPr>
            <w:r>
              <w:rPr>
                <w:color w:val="1E293B"/>
                <w:sz w:val="17"/>
              </w:rPr>
              <w:t>[Dr] GR/IR Clearing A/c: ₹ 1,00,000</w:t>
              <w:br/>
              <w:t>[Dr] Input CGST (9%): ₹ 9,000</w:t>
              <w:br/>
              <w:t>[Dr] Input SGST (9%): ₹ 9,000</w:t>
              <w:br/>
              <w:t>[Cr] Vendor AP Subledger: ₹ 1,18,000</w:t>
            </w:r>
          </w:p>
        </w:tc>
        <w:tc>
          <w:tcPr>
            <w:tcW w:type="dxa" w:w="2160"/>
            <w:vAlign w:val="center"/>
            <w:tcMar>
              <w:top w:w="100" w:type="dxa"/>
              <w:bottom w:w="100" w:type="dxa"/>
              <w:left w:w="120" w:type="dxa"/>
              <w:right w:w="120" w:type="dxa"/>
            </w:tcMar>
            <w:shd w:fill="F8FAFC"/>
          </w:tcPr>
          <w:p>
            <w:pPr>
              <w:spacing w:before="40" w:after="40"/>
            </w:pPr>
            <w:r>
              <w:rPr>
                <w:color w:val="1E293B"/>
                <w:sz w:val="17"/>
              </w:rPr>
              <w:t>GR/IR Balance Cleared to ₹ 0.00 (Liquidated Successfully)</w:t>
            </w:r>
          </w:p>
        </w:tc>
      </w:tr>
      <w:tr>
        <w:trPr>
          <w:cantSplit/>
        </w:trPr>
        <w:tc>
          <w:tcPr>
            <w:tcW w:type="dxa" w:w="2016"/>
            <w:vAlign w:val="center"/>
            <w:tcMar>
              <w:top w:w="100" w:type="dxa"/>
              <w:bottom w:w="100" w:type="dxa"/>
              <w:left w:w="120" w:type="dxa"/>
              <w:right w:w="120" w:type="dxa"/>
            </w:tcMar>
            <w:shd w:fill="FFFFFF"/>
          </w:tcPr>
          <w:p>
            <w:pPr>
              <w:spacing w:before="40" w:after="40"/>
            </w:pPr>
            <w:r>
              <w:rPr>
                <w:color w:val="1E293B"/>
                <w:sz w:val="17"/>
              </w:rPr>
              <w:t>4. Vendor Payment &amp; TDS</w:t>
            </w:r>
          </w:p>
        </w:tc>
        <w:tc>
          <w:tcPr>
            <w:tcW w:type="dxa" w:w="3024"/>
            <w:vAlign w:val="center"/>
            <w:tcMar>
              <w:top w:w="100" w:type="dxa"/>
              <w:bottom w:w="100" w:type="dxa"/>
              <w:left w:w="120" w:type="dxa"/>
              <w:right w:w="120" w:type="dxa"/>
            </w:tcMar>
            <w:shd w:fill="FFFFFF"/>
          </w:tcPr>
          <w:p>
            <w:pPr>
              <w:spacing w:before="40" w:after="40"/>
            </w:pPr>
            <w:r>
              <w:rPr>
                <w:color w:val="1E293B"/>
                <w:sz w:val="17"/>
              </w:rPr>
              <w:t>Finance runs weekly payment batch. Bank transfer issued with statutory TDS withholding.</w:t>
            </w:r>
          </w:p>
        </w:tc>
        <w:tc>
          <w:tcPr>
            <w:tcW w:type="dxa" w:w="2592"/>
            <w:vAlign w:val="center"/>
            <w:tcMar>
              <w:top w:w="100" w:type="dxa"/>
              <w:bottom w:w="100" w:type="dxa"/>
              <w:left w:w="120" w:type="dxa"/>
              <w:right w:w="120" w:type="dxa"/>
            </w:tcMar>
            <w:shd w:fill="FFFFFF"/>
          </w:tcPr>
          <w:p>
            <w:pPr>
              <w:spacing w:before="40" w:after="40"/>
            </w:pPr>
            <w:r>
              <w:rPr>
                <w:color w:val="1E293B"/>
                <w:sz w:val="17"/>
              </w:rPr>
              <w:t>[Dr] Vendor AP Subledger: ₹ 1,18,000</w:t>
              <w:br/>
              <w:t>[Cr] Bank Operating A/c: ₹ 1,16,000</w:t>
              <w:br/>
              <w:t>[Cr] TDS Payable (194Q): ₹ 2,000</w:t>
            </w:r>
          </w:p>
        </w:tc>
        <w:tc>
          <w:tcPr>
            <w:tcW w:type="dxa" w:w="2160"/>
            <w:vAlign w:val="center"/>
            <w:tcMar>
              <w:top w:w="100" w:type="dxa"/>
              <w:bottom w:w="100" w:type="dxa"/>
              <w:left w:w="120" w:type="dxa"/>
              <w:right w:w="120" w:type="dxa"/>
            </w:tcMar>
            <w:shd w:fill="FFFFFF"/>
          </w:tcPr>
          <w:p>
            <w:pPr>
              <w:spacing w:before="40" w:after="40"/>
            </w:pPr>
            <w:r>
              <w:rPr>
                <w:color w:val="1E293B"/>
                <w:sz w:val="17"/>
              </w:rPr>
              <w:t>Vendor Liability Fully Settled</w:t>
            </w:r>
          </w:p>
        </w:tc>
      </w:tr>
    </w:tbl>
    <w:p/>
    <w:p>
      <w:pPr>
        <w:pStyle w:val="Heading2"/>
      </w:pPr>
      <w:r>
        <w:t>3.2 Purchase Price Variance (PPV) &amp; Tolerance Overrides</w:t>
      </w:r>
    </w:p>
    <w:p>
      <w:r>
        <w:t>When vendor invoices arrive with unit prices different from the contracted Purchase Order, enterprise systems enforce strict tolerance profiles:</w:t>
      </w:r>
    </w:p>
    <w:p>
      <w:pPr>
        <w:pStyle w:val="ListBullet"/>
      </w:pPr>
      <w:r>
        <w:t>• Under Standard Costing: The delta does not alter inventory valuation; it flushes to a dedicated P&amp;L variance account: [Dr] GR/IR ₹ 10,000 | [Dr] Purchase Price Variance (PPV Expense) ₹ 500 | [Cr] Vendor AP ₹ 10,500.</w:t>
      </w:r>
    </w:p>
    <w:p>
      <w:pPr>
        <w:pStyle w:val="ListBullet"/>
      </w:pPr>
      <w:r>
        <w:t>• Tolerance Exceeded: If variance exceeds configured limits (e.g. &gt; ±2%), the invoice is posted with an automated 'Payment Block (Reason R)' requiring managerial sign-off.</w:t>
      </w:r>
    </w:p>
    <w:p>
      <w:pPr>
        <w:pStyle w:val="Heading1"/>
        <w:spacing w:before="280"/>
      </w:pPr>
      <w:r>
        <w:t>4. Dynamic Billing &amp; Pricing Engine: The Condition Technique</w:t>
      </w:r>
    </w:p>
    <w:p>
      <w:r>
        <w:t>To eliminate hard-coded pricing and brittle General Ledger mapping, enterprise systems implement SAP's renowned 'Condition Technique'—a table-driven calculation waterfall pipeline with dynamic Account Key determination.</w:t>
      </w:r>
    </w:p>
    <w:tbl>
      <w:tblPr>
        <w:tblW w:type="auto" w:w="0"/>
        <w:jc w:val="center"/>
        <w:tblLayout w:type="fixed"/>
        <w:tblLook w:firstColumn="1" w:firstRow="1" w:lastColumn="0" w:lastRow="0" w:noHBand="0" w:noVBand="1" w:val="04A0"/>
      </w:tblPr>
      <w:tblGrid>
        <w:gridCol w:w="9792"/>
      </w:tblGrid>
      <w:tr>
        <w:tc>
          <w:tcPr>
            <w:tcW w:type="dxa" w:w="10080"/>
            <w:shd w:fill="F1F5F9"/>
            <w:tcMar>
              <w:top w:w="140" w:type="dxa"/>
              <w:bottom w:w="140" w:type="dxa"/>
              <w:left w:w="180" w:type="dxa"/>
              <w:right w:w="180" w:type="dxa"/>
            </w:tcMar>
            <w:tcBorders>
              <w:top w:val="none"/>
              <w:left w:val="single" w:sz="24" w:space="0" w:color="475569"/>
              <w:bottom w:val="none"/>
              <w:right w:val="none"/>
            </w:tcBorders>
          </w:tcPr>
          <w:p>
            <w:pPr>
              <w:spacing w:before="40" w:after="80"/>
            </w:pPr>
            <w:r>
              <w:rPr>
                <w:b/>
                <w:color w:val="0F172A"/>
                <w:sz w:val="21"/>
              </w:rPr>
              <w:t>📌 THE 5-STAGE CONDITION CALCULATION PIPELINE</w:t>
              <w:br/>
            </w:r>
          </w:p>
          <w:p>
            <w:pPr>
              <w:spacing w:before="0" w:after="40"/>
            </w:pPr>
            <w:r>
              <w:rPr>
                <w:color w:val="334155"/>
                <w:sz w:val="19"/>
              </w:rPr>
              <w:t>Stage 1: Field Catalog -&gt; Contextual runtime parameters extracted from transaction (Customer ID, Customer Tier, Product SKU, Material Group, Shipping State, Date).</w:t>
            </w:r>
          </w:p>
          <w:p>
            <w:pPr>
              <w:spacing w:before="0" w:after="40"/>
            </w:pPr>
            <w:r>
              <w:rPr>
                <w:color w:val="334155"/>
                <w:sz w:val="19"/>
              </w:rPr>
              <w:t>Stage 2: Condition Table -&gt; Relational index tables mapping combinations (Table 01: Cust+SKU; Table 02: CustGroup+MaterialGroup; Table 03: Base SKU).</w:t>
            </w:r>
          </w:p>
          <w:p>
            <w:pPr>
              <w:spacing w:before="0" w:after="40"/>
            </w:pPr>
            <w:r>
              <w:rPr>
                <w:color w:val="334155"/>
                <w:sz w:val="19"/>
              </w:rPr>
              <w:t>Stage 3: Access Sequence -&gt; Prioritized waterfall search order (Specific Deal -&gt; Group Discount -&gt; Base Price) that stops as soon as a valid rate is found.</w:t>
            </w:r>
          </w:p>
          <w:p>
            <w:pPr>
              <w:spacing w:before="0" w:after="40"/>
            </w:pPr>
            <w:r>
              <w:rPr>
                <w:color w:val="334155"/>
                <w:sz w:val="19"/>
              </w:rPr>
              <w:t>Stage 4: Calculation Schema -&gt; Ordered pricing procedure executing Base Price, Trade Discounts, Freight Surcharges, Cash Discounts, and GST Tax Slabs.</w:t>
            </w:r>
          </w:p>
          <w:p>
            <w:pPr>
              <w:spacing w:before="0" w:after="40"/>
            </w:pPr>
            <w:r>
              <w:rPr>
                <w:color w:val="334155"/>
                <w:sz w:val="19"/>
              </w:rPr>
              <w:t>Stage 5: Account Determination Bridge -&gt; Account Keys (ERL for Revenue, ERS for Discounts, ERF for Freight, MWS for Tax) dynamically resolve target GL accounts without hardcoding.</w:t>
            </w:r>
          </w:p>
        </w:tc>
      </w:tr>
    </w:tbl>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1680"/>
        <w:gridCol w:w="1680"/>
        <w:gridCol w:w="1680"/>
        <w:gridCol w:w="1680"/>
        <w:gridCol w:w="1680"/>
        <w:gridCol w:w="1680"/>
      </w:tblGrid>
      <w:tr>
        <w:trPr>
          <w:cantSplit/>
          <w:tblHeader/>
        </w:trPr>
        <w:tc>
          <w:tcPr>
            <w:tcW w:type="dxa" w:w="1152"/>
            <w:vAlign w:val="center"/>
            <w:tcMar>
              <w:top w:w="100" w:type="dxa"/>
              <w:bottom w:w="100" w:type="dxa"/>
              <w:left w:w="120" w:type="dxa"/>
              <w:right w:w="120" w:type="dxa"/>
            </w:tcMar>
            <w:shd w:fill="1E293B"/>
          </w:tcPr>
          <w:p>
            <w:pPr>
              <w:spacing w:before="40" w:after="40"/>
            </w:pPr>
            <w:r>
              <w:rPr>
                <w:b/>
                <w:color w:val="FFFFFF"/>
                <w:sz w:val="18"/>
              </w:rPr>
              <w:t>Step</w:t>
            </w:r>
          </w:p>
        </w:tc>
        <w:tc>
          <w:tcPr>
            <w:tcW w:type="dxa" w:w="1728"/>
            <w:vAlign w:val="center"/>
            <w:tcMar>
              <w:top w:w="100" w:type="dxa"/>
              <w:bottom w:w="100" w:type="dxa"/>
              <w:left w:w="120" w:type="dxa"/>
              <w:right w:w="120" w:type="dxa"/>
            </w:tcMar>
            <w:shd w:fill="1E293B"/>
          </w:tcPr>
          <w:p>
            <w:pPr>
              <w:spacing w:before="40" w:after="40"/>
            </w:pPr>
            <w:r>
              <w:rPr>
                <w:b/>
                <w:color w:val="FFFFFF"/>
                <w:sz w:val="18"/>
              </w:rPr>
              <w:t>Condition Type</w:t>
            </w:r>
          </w:p>
        </w:tc>
        <w:tc>
          <w:tcPr>
            <w:tcW w:type="dxa" w:w="2160"/>
            <w:vAlign w:val="center"/>
            <w:tcMar>
              <w:top w:w="100" w:type="dxa"/>
              <w:bottom w:w="100" w:type="dxa"/>
              <w:left w:w="120" w:type="dxa"/>
              <w:right w:w="120" w:type="dxa"/>
            </w:tcMar>
            <w:shd w:fill="1E293B"/>
          </w:tcPr>
          <w:p>
            <w:pPr>
              <w:spacing w:before="40" w:after="40"/>
            </w:pPr>
            <w:r>
              <w:rPr>
                <w:b/>
                <w:color w:val="FFFFFF"/>
                <w:sz w:val="18"/>
              </w:rPr>
              <w:t>Description &amp; Logic</w:t>
            </w:r>
          </w:p>
        </w:tc>
        <w:tc>
          <w:tcPr>
            <w:tcW w:type="dxa" w:w="1584"/>
            <w:vAlign w:val="center"/>
            <w:tcMar>
              <w:top w:w="100" w:type="dxa"/>
              <w:bottom w:w="100" w:type="dxa"/>
              <w:left w:w="120" w:type="dxa"/>
              <w:right w:w="120" w:type="dxa"/>
            </w:tcMar>
            <w:shd w:fill="1E293B"/>
          </w:tcPr>
          <w:p>
            <w:pPr>
              <w:spacing w:before="40" w:after="40"/>
            </w:pPr>
            <w:r>
              <w:rPr>
                <w:b/>
                <w:color w:val="FFFFFF"/>
                <w:sz w:val="18"/>
              </w:rPr>
              <w:t>Amount</w:t>
            </w:r>
          </w:p>
        </w:tc>
        <w:tc>
          <w:tcPr>
            <w:tcW w:type="dxa" w:w="1440"/>
            <w:vAlign w:val="center"/>
            <w:tcMar>
              <w:top w:w="100" w:type="dxa"/>
              <w:bottom w:w="100" w:type="dxa"/>
              <w:left w:w="120" w:type="dxa"/>
              <w:right w:w="120" w:type="dxa"/>
            </w:tcMar>
            <w:shd w:fill="1E293B"/>
          </w:tcPr>
          <w:p>
            <w:pPr>
              <w:spacing w:before="40" w:after="40"/>
            </w:pPr>
            <w:r>
              <w:rPr>
                <w:b/>
                <w:color w:val="FFFFFF"/>
                <w:sz w:val="18"/>
              </w:rPr>
              <w:t>Account Key</w:t>
            </w:r>
          </w:p>
        </w:tc>
        <w:tc>
          <w:tcPr>
            <w:tcW w:type="dxa" w:w="1728"/>
            <w:vAlign w:val="center"/>
            <w:tcMar>
              <w:top w:w="100" w:type="dxa"/>
              <w:bottom w:w="100" w:type="dxa"/>
              <w:left w:w="120" w:type="dxa"/>
              <w:right w:w="120" w:type="dxa"/>
            </w:tcMar>
            <w:shd w:fill="1E293B"/>
          </w:tcPr>
          <w:p>
            <w:pPr>
              <w:spacing w:before="40" w:after="40"/>
            </w:pPr>
            <w:r>
              <w:rPr>
                <w:b/>
                <w:color w:val="FFFFFF"/>
                <w:sz w:val="18"/>
              </w:rPr>
              <w:t>Target GL Account</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10</w:t>
            </w:r>
          </w:p>
        </w:tc>
        <w:tc>
          <w:tcPr>
            <w:tcW w:type="dxa" w:w="1728"/>
            <w:vAlign w:val="center"/>
            <w:tcMar>
              <w:top w:w="100" w:type="dxa"/>
              <w:bottom w:w="100" w:type="dxa"/>
              <w:left w:w="120" w:type="dxa"/>
              <w:right w:w="120" w:type="dxa"/>
            </w:tcMar>
            <w:shd w:fill="F8FAFC"/>
          </w:tcPr>
          <w:p>
            <w:pPr>
              <w:spacing w:before="40" w:after="40"/>
            </w:pPr>
            <w:r>
              <w:rPr>
                <w:color w:val="1E293B"/>
                <w:sz w:val="17"/>
              </w:rPr>
              <w:t>PR00 (Base Price)</w:t>
            </w:r>
          </w:p>
        </w:tc>
        <w:tc>
          <w:tcPr>
            <w:tcW w:type="dxa" w:w="2160"/>
            <w:vAlign w:val="center"/>
            <w:tcMar>
              <w:top w:w="100" w:type="dxa"/>
              <w:bottom w:w="100" w:type="dxa"/>
              <w:left w:w="120" w:type="dxa"/>
              <w:right w:w="120" w:type="dxa"/>
            </w:tcMar>
            <w:shd w:fill="F8FAFC"/>
          </w:tcPr>
          <w:p>
            <w:pPr>
              <w:spacing w:before="40" w:after="40"/>
            </w:pPr>
            <w:r>
              <w:rPr>
                <w:color w:val="1E293B"/>
                <w:sz w:val="17"/>
              </w:rPr>
              <w:t>Standard List Price (₹ 1,000 x 100)</w:t>
            </w:r>
          </w:p>
        </w:tc>
        <w:tc>
          <w:tcPr>
            <w:tcW w:type="dxa" w:w="1584"/>
            <w:vAlign w:val="center"/>
            <w:tcMar>
              <w:top w:w="100" w:type="dxa"/>
              <w:bottom w:w="100" w:type="dxa"/>
              <w:left w:w="120" w:type="dxa"/>
              <w:right w:w="120" w:type="dxa"/>
            </w:tcMar>
            <w:shd w:fill="F8FAFC"/>
          </w:tcPr>
          <w:p>
            <w:pPr>
              <w:spacing w:before="40" w:after="40"/>
            </w:pPr>
            <w:r>
              <w:rPr>
                <w:color w:val="1E293B"/>
                <w:sz w:val="17"/>
              </w:rPr>
              <w:t>₹ 1,00,000.00</w:t>
            </w:r>
          </w:p>
        </w:tc>
        <w:tc>
          <w:tcPr>
            <w:tcW w:type="dxa" w:w="1440"/>
            <w:vAlign w:val="center"/>
            <w:tcMar>
              <w:top w:w="100" w:type="dxa"/>
              <w:bottom w:w="100" w:type="dxa"/>
              <w:left w:w="120" w:type="dxa"/>
              <w:right w:w="120" w:type="dxa"/>
            </w:tcMar>
            <w:shd w:fill="F8FAFC"/>
          </w:tcPr>
          <w:p>
            <w:pPr>
              <w:spacing w:before="40" w:after="40"/>
            </w:pPr>
            <w:r>
              <w:rPr>
                <w:color w:val="1E293B"/>
                <w:sz w:val="17"/>
              </w:rPr>
              <w:t>ERL</w:t>
            </w:r>
          </w:p>
        </w:tc>
        <w:tc>
          <w:tcPr>
            <w:tcW w:type="dxa" w:w="1728"/>
            <w:vAlign w:val="center"/>
            <w:tcMar>
              <w:top w:w="100" w:type="dxa"/>
              <w:bottom w:w="100" w:type="dxa"/>
              <w:left w:w="120" w:type="dxa"/>
              <w:right w:w="120" w:type="dxa"/>
            </w:tcMar>
            <w:shd w:fill="F8FAFC"/>
          </w:tcPr>
          <w:p>
            <w:pPr>
              <w:spacing w:before="40" w:after="40"/>
            </w:pPr>
            <w:r>
              <w:rPr>
                <w:color w:val="1E293B"/>
                <w:sz w:val="17"/>
              </w:rPr>
              <w:t>GL 400000 (Gross Domestic Sales Revenue)</w:t>
            </w:r>
          </w:p>
        </w:tc>
      </w:tr>
      <w:tr>
        <w:trPr>
          <w:cantSplit/>
        </w:trPr>
        <w:tc>
          <w:tcPr>
            <w:tcW w:type="dxa" w:w="1152"/>
            <w:vAlign w:val="center"/>
            <w:tcMar>
              <w:top w:w="100" w:type="dxa"/>
              <w:bottom w:w="100" w:type="dxa"/>
              <w:left w:w="120" w:type="dxa"/>
              <w:right w:w="120" w:type="dxa"/>
            </w:tcMar>
            <w:shd w:fill="FFFFFF"/>
          </w:tcPr>
          <w:p>
            <w:pPr>
              <w:spacing w:before="40" w:after="40"/>
            </w:pPr>
            <w:r>
              <w:rPr>
                <w:color w:val="1E293B"/>
                <w:sz w:val="17"/>
              </w:rPr>
              <w:t>20</w:t>
            </w:r>
          </w:p>
        </w:tc>
        <w:tc>
          <w:tcPr>
            <w:tcW w:type="dxa" w:w="1728"/>
            <w:vAlign w:val="center"/>
            <w:tcMar>
              <w:top w:w="100" w:type="dxa"/>
              <w:bottom w:w="100" w:type="dxa"/>
              <w:left w:w="120" w:type="dxa"/>
              <w:right w:w="120" w:type="dxa"/>
            </w:tcMar>
            <w:shd w:fill="FFFFFF"/>
          </w:tcPr>
          <w:p>
            <w:pPr>
              <w:spacing w:before="40" w:after="40"/>
            </w:pPr>
            <w:r>
              <w:rPr>
                <w:color w:val="1E293B"/>
                <w:sz w:val="17"/>
              </w:rPr>
              <w:t>K007 (Cust Discount)</w:t>
            </w:r>
          </w:p>
        </w:tc>
        <w:tc>
          <w:tcPr>
            <w:tcW w:type="dxa" w:w="2160"/>
            <w:vAlign w:val="center"/>
            <w:tcMar>
              <w:top w:w="100" w:type="dxa"/>
              <w:bottom w:w="100" w:type="dxa"/>
              <w:left w:w="120" w:type="dxa"/>
              <w:right w:w="120" w:type="dxa"/>
            </w:tcMar>
            <w:shd w:fill="FFFFFF"/>
          </w:tcPr>
          <w:p>
            <w:pPr>
              <w:spacing w:before="40" w:after="40"/>
            </w:pPr>
            <w:r>
              <w:rPr>
                <w:color w:val="1E293B"/>
                <w:sz w:val="17"/>
              </w:rPr>
              <w:t>Contract Trade Discount (10% on Step 10)</w:t>
            </w:r>
          </w:p>
        </w:tc>
        <w:tc>
          <w:tcPr>
            <w:tcW w:type="dxa" w:w="1584"/>
            <w:vAlign w:val="center"/>
            <w:tcMar>
              <w:top w:w="100" w:type="dxa"/>
              <w:bottom w:w="100" w:type="dxa"/>
              <w:left w:w="120" w:type="dxa"/>
              <w:right w:w="120" w:type="dxa"/>
            </w:tcMar>
            <w:shd w:fill="FFFFFF"/>
          </w:tcPr>
          <w:p>
            <w:pPr>
              <w:spacing w:before="40" w:after="40"/>
            </w:pPr>
            <w:r>
              <w:rPr>
                <w:color w:val="1E293B"/>
                <w:sz w:val="17"/>
              </w:rPr>
              <w:t>- ₹ 10,000.00</w:t>
            </w:r>
          </w:p>
        </w:tc>
        <w:tc>
          <w:tcPr>
            <w:tcW w:type="dxa" w:w="1440"/>
            <w:vAlign w:val="center"/>
            <w:tcMar>
              <w:top w:w="100" w:type="dxa"/>
              <w:bottom w:w="100" w:type="dxa"/>
              <w:left w:w="120" w:type="dxa"/>
              <w:right w:w="120" w:type="dxa"/>
            </w:tcMar>
            <w:shd w:fill="FFFFFF"/>
          </w:tcPr>
          <w:p>
            <w:pPr>
              <w:spacing w:before="40" w:after="40"/>
            </w:pPr>
            <w:r>
              <w:rPr>
                <w:color w:val="1E293B"/>
                <w:sz w:val="17"/>
              </w:rPr>
              <w:t>ERS</w:t>
            </w:r>
          </w:p>
        </w:tc>
        <w:tc>
          <w:tcPr>
            <w:tcW w:type="dxa" w:w="1728"/>
            <w:vAlign w:val="center"/>
            <w:tcMar>
              <w:top w:w="100" w:type="dxa"/>
              <w:bottom w:w="100" w:type="dxa"/>
              <w:left w:w="120" w:type="dxa"/>
              <w:right w:w="120" w:type="dxa"/>
            </w:tcMar>
            <w:shd w:fill="FFFFFF"/>
          </w:tcPr>
          <w:p>
            <w:pPr>
              <w:spacing w:before="40" w:after="40"/>
            </w:pPr>
            <w:r>
              <w:rPr>
                <w:color w:val="1E293B"/>
                <w:sz w:val="17"/>
              </w:rPr>
              <w:t>GL 410000 (Sales Deductions &amp; Discounts)</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30</w:t>
            </w:r>
          </w:p>
        </w:tc>
        <w:tc>
          <w:tcPr>
            <w:tcW w:type="dxa" w:w="1728"/>
            <w:vAlign w:val="center"/>
            <w:tcMar>
              <w:top w:w="100" w:type="dxa"/>
              <w:bottom w:w="100" w:type="dxa"/>
              <w:left w:w="120" w:type="dxa"/>
              <w:right w:w="120" w:type="dxa"/>
            </w:tcMar>
            <w:shd w:fill="F8FAFC"/>
          </w:tcPr>
          <w:p>
            <w:pPr>
              <w:spacing w:before="40" w:after="40"/>
            </w:pPr>
            <w:r>
              <w:rPr>
                <w:color w:val="1E293B"/>
                <w:sz w:val="17"/>
              </w:rPr>
              <w:t>KF00 (Freight Charge)</w:t>
            </w:r>
          </w:p>
        </w:tc>
        <w:tc>
          <w:tcPr>
            <w:tcW w:type="dxa" w:w="2160"/>
            <w:vAlign w:val="center"/>
            <w:tcMar>
              <w:top w:w="100" w:type="dxa"/>
              <w:bottom w:w="100" w:type="dxa"/>
              <w:left w:w="120" w:type="dxa"/>
              <w:right w:w="120" w:type="dxa"/>
            </w:tcMar>
            <w:shd w:fill="F8FAFC"/>
          </w:tcPr>
          <w:p>
            <w:pPr>
              <w:spacing w:before="40" w:after="40"/>
            </w:pPr>
            <w:r>
              <w:rPr>
                <w:color w:val="1E293B"/>
                <w:sz w:val="17"/>
              </w:rPr>
              <w:t>Weight-based Delivery Surcharge</w:t>
            </w:r>
          </w:p>
        </w:tc>
        <w:tc>
          <w:tcPr>
            <w:tcW w:type="dxa" w:w="1584"/>
            <w:vAlign w:val="center"/>
            <w:tcMar>
              <w:top w:w="100" w:type="dxa"/>
              <w:bottom w:w="100" w:type="dxa"/>
              <w:left w:w="120" w:type="dxa"/>
              <w:right w:w="120" w:type="dxa"/>
            </w:tcMar>
            <w:shd w:fill="F8FAFC"/>
          </w:tcPr>
          <w:p>
            <w:pPr>
              <w:spacing w:before="40" w:after="40"/>
            </w:pPr>
            <w:r>
              <w:rPr>
                <w:color w:val="1E293B"/>
                <w:sz w:val="17"/>
              </w:rPr>
              <w:t>+ ₹ 2,000.00</w:t>
            </w:r>
          </w:p>
        </w:tc>
        <w:tc>
          <w:tcPr>
            <w:tcW w:type="dxa" w:w="1440"/>
            <w:vAlign w:val="center"/>
            <w:tcMar>
              <w:top w:w="100" w:type="dxa"/>
              <w:bottom w:w="100" w:type="dxa"/>
              <w:left w:w="120" w:type="dxa"/>
              <w:right w:w="120" w:type="dxa"/>
            </w:tcMar>
            <w:shd w:fill="F8FAFC"/>
          </w:tcPr>
          <w:p>
            <w:pPr>
              <w:spacing w:before="40" w:after="40"/>
            </w:pPr>
            <w:r>
              <w:rPr>
                <w:color w:val="1E293B"/>
                <w:sz w:val="17"/>
              </w:rPr>
              <w:t>ERF</w:t>
            </w:r>
          </w:p>
        </w:tc>
        <w:tc>
          <w:tcPr>
            <w:tcW w:type="dxa" w:w="1728"/>
            <w:vAlign w:val="center"/>
            <w:tcMar>
              <w:top w:w="100" w:type="dxa"/>
              <w:bottom w:w="100" w:type="dxa"/>
              <w:left w:w="120" w:type="dxa"/>
              <w:right w:w="120" w:type="dxa"/>
            </w:tcMar>
            <w:shd w:fill="F8FAFC"/>
          </w:tcPr>
          <w:p>
            <w:pPr>
              <w:spacing w:before="40" w:after="40"/>
            </w:pPr>
            <w:r>
              <w:rPr>
                <w:color w:val="1E293B"/>
                <w:sz w:val="17"/>
              </w:rPr>
              <w:t>GL 420000 (Freight Recovery Income)</w:t>
            </w:r>
          </w:p>
        </w:tc>
      </w:tr>
      <w:tr>
        <w:trPr>
          <w:cantSplit/>
        </w:trPr>
        <w:tc>
          <w:tcPr>
            <w:tcW w:type="dxa" w:w="1152"/>
            <w:vAlign w:val="center"/>
            <w:tcMar>
              <w:top w:w="100" w:type="dxa"/>
              <w:bottom w:w="100" w:type="dxa"/>
              <w:left w:w="120" w:type="dxa"/>
              <w:right w:w="120" w:type="dxa"/>
            </w:tcMar>
            <w:shd w:fill="FFFFFF"/>
          </w:tcPr>
          <w:p>
            <w:pPr>
              <w:spacing w:before="40" w:after="40"/>
            </w:pPr>
            <w:r>
              <w:rPr>
                <w:color w:val="1E293B"/>
                <w:sz w:val="17"/>
              </w:rPr>
              <w:t>40</w:t>
            </w:r>
          </w:p>
        </w:tc>
        <w:tc>
          <w:tcPr>
            <w:tcW w:type="dxa" w:w="1728"/>
            <w:vAlign w:val="center"/>
            <w:tcMar>
              <w:top w:w="100" w:type="dxa"/>
              <w:bottom w:w="100" w:type="dxa"/>
              <w:left w:w="120" w:type="dxa"/>
              <w:right w:w="120" w:type="dxa"/>
            </w:tcMar>
            <w:shd w:fill="FFFFFF"/>
          </w:tcPr>
          <w:p>
            <w:pPr>
              <w:spacing w:before="40" w:after="40"/>
            </w:pPr>
            <w:r>
              <w:rPr>
                <w:color w:val="1E293B"/>
                <w:sz w:val="17"/>
              </w:rPr>
              <w:t>CGST (Tax Slab)</w:t>
            </w:r>
          </w:p>
        </w:tc>
        <w:tc>
          <w:tcPr>
            <w:tcW w:type="dxa" w:w="2160"/>
            <w:vAlign w:val="center"/>
            <w:tcMar>
              <w:top w:w="100" w:type="dxa"/>
              <w:bottom w:w="100" w:type="dxa"/>
              <w:left w:w="120" w:type="dxa"/>
              <w:right w:w="120" w:type="dxa"/>
            </w:tcMar>
            <w:shd w:fill="FFFFFF"/>
          </w:tcPr>
          <w:p>
            <w:pPr>
              <w:spacing w:before="40" w:after="40"/>
            </w:pPr>
            <w:r>
              <w:rPr>
                <w:color w:val="1E293B"/>
                <w:sz w:val="17"/>
              </w:rPr>
              <w:t>Central GST (9% on Subtotal ₹ 92,000)</w:t>
            </w:r>
          </w:p>
        </w:tc>
        <w:tc>
          <w:tcPr>
            <w:tcW w:type="dxa" w:w="1584"/>
            <w:vAlign w:val="center"/>
            <w:tcMar>
              <w:top w:w="100" w:type="dxa"/>
              <w:bottom w:w="100" w:type="dxa"/>
              <w:left w:w="120" w:type="dxa"/>
              <w:right w:w="120" w:type="dxa"/>
            </w:tcMar>
            <w:shd w:fill="FFFFFF"/>
          </w:tcPr>
          <w:p>
            <w:pPr>
              <w:spacing w:before="40" w:after="40"/>
            </w:pPr>
            <w:r>
              <w:rPr>
                <w:color w:val="1E293B"/>
                <w:sz w:val="17"/>
              </w:rPr>
              <w:t>+ ₹ 8,280.00</w:t>
            </w:r>
          </w:p>
        </w:tc>
        <w:tc>
          <w:tcPr>
            <w:tcW w:type="dxa" w:w="1440"/>
            <w:vAlign w:val="center"/>
            <w:tcMar>
              <w:top w:w="100" w:type="dxa"/>
              <w:bottom w:w="100" w:type="dxa"/>
              <w:left w:w="120" w:type="dxa"/>
              <w:right w:w="120" w:type="dxa"/>
            </w:tcMar>
            <w:shd w:fill="FFFFFF"/>
          </w:tcPr>
          <w:p>
            <w:pPr>
              <w:spacing w:before="40" w:after="40"/>
            </w:pPr>
            <w:r>
              <w:rPr>
                <w:color w:val="1E293B"/>
                <w:sz w:val="17"/>
              </w:rPr>
              <w:t>MWS</w:t>
            </w:r>
          </w:p>
        </w:tc>
        <w:tc>
          <w:tcPr>
            <w:tcW w:type="dxa" w:w="1728"/>
            <w:vAlign w:val="center"/>
            <w:tcMar>
              <w:top w:w="100" w:type="dxa"/>
              <w:bottom w:w="100" w:type="dxa"/>
              <w:left w:w="120" w:type="dxa"/>
              <w:right w:w="120" w:type="dxa"/>
            </w:tcMar>
            <w:shd w:fill="FFFFFF"/>
          </w:tcPr>
          <w:p>
            <w:pPr>
              <w:spacing w:before="40" w:after="40"/>
            </w:pPr>
            <w:r>
              <w:rPr>
                <w:color w:val="1E293B"/>
                <w:sz w:val="17"/>
              </w:rPr>
              <w:t>GL 220010 (Output CGST Payable Liability)</w:t>
            </w:r>
          </w:p>
        </w:tc>
      </w:tr>
      <w:tr>
        <w:trPr>
          <w:cantSplit/>
        </w:trPr>
        <w:tc>
          <w:tcPr>
            <w:tcW w:type="dxa" w:w="1152"/>
            <w:vAlign w:val="center"/>
            <w:tcMar>
              <w:top w:w="100" w:type="dxa"/>
              <w:bottom w:w="100" w:type="dxa"/>
              <w:left w:w="120" w:type="dxa"/>
              <w:right w:w="120" w:type="dxa"/>
            </w:tcMar>
            <w:shd w:fill="F8FAFC"/>
          </w:tcPr>
          <w:p>
            <w:pPr>
              <w:spacing w:before="40" w:after="40"/>
            </w:pPr>
            <w:r>
              <w:rPr>
                <w:color w:val="1E293B"/>
                <w:sz w:val="17"/>
              </w:rPr>
              <w:t>50</w:t>
            </w:r>
          </w:p>
        </w:tc>
        <w:tc>
          <w:tcPr>
            <w:tcW w:type="dxa" w:w="1728"/>
            <w:vAlign w:val="center"/>
            <w:tcMar>
              <w:top w:w="100" w:type="dxa"/>
              <w:bottom w:w="100" w:type="dxa"/>
              <w:left w:w="120" w:type="dxa"/>
              <w:right w:w="120" w:type="dxa"/>
            </w:tcMar>
            <w:shd w:fill="F8FAFC"/>
          </w:tcPr>
          <w:p>
            <w:pPr>
              <w:spacing w:before="40" w:after="40"/>
            </w:pPr>
            <w:r>
              <w:rPr>
                <w:color w:val="1E293B"/>
                <w:sz w:val="17"/>
              </w:rPr>
              <w:t>SGST (Tax Slab)</w:t>
            </w:r>
          </w:p>
        </w:tc>
        <w:tc>
          <w:tcPr>
            <w:tcW w:type="dxa" w:w="2160"/>
            <w:vAlign w:val="center"/>
            <w:tcMar>
              <w:top w:w="100" w:type="dxa"/>
              <w:bottom w:w="100" w:type="dxa"/>
              <w:left w:w="120" w:type="dxa"/>
              <w:right w:w="120" w:type="dxa"/>
            </w:tcMar>
            <w:shd w:fill="F8FAFC"/>
          </w:tcPr>
          <w:p>
            <w:pPr>
              <w:spacing w:before="40" w:after="40"/>
            </w:pPr>
            <w:r>
              <w:rPr>
                <w:color w:val="1E293B"/>
                <w:sz w:val="17"/>
              </w:rPr>
              <w:t>State GST (9% on Subtotal ₹ 92,000)</w:t>
            </w:r>
          </w:p>
        </w:tc>
        <w:tc>
          <w:tcPr>
            <w:tcW w:type="dxa" w:w="1584"/>
            <w:vAlign w:val="center"/>
            <w:tcMar>
              <w:top w:w="100" w:type="dxa"/>
              <w:bottom w:w="100" w:type="dxa"/>
              <w:left w:w="120" w:type="dxa"/>
              <w:right w:w="120" w:type="dxa"/>
            </w:tcMar>
            <w:shd w:fill="F8FAFC"/>
          </w:tcPr>
          <w:p>
            <w:pPr>
              <w:spacing w:before="40" w:after="40"/>
            </w:pPr>
            <w:r>
              <w:rPr>
                <w:color w:val="1E293B"/>
                <w:sz w:val="17"/>
              </w:rPr>
              <w:t>+ ₹ 8,280.00</w:t>
            </w:r>
          </w:p>
        </w:tc>
        <w:tc>
          <w:tcPr>
            <w:tcW w:type="dxa" w:w="1440"/>
            <w:vAlign w:val="center"/>
            <w:tcMar>
              <w:top w:w="100" w:type="dxa"/>
              <w:bottom w:w="100" w:type="dxa"/>
              <w:left w:w="120" w:type="dxa"/>
              <w:right w:w="120" w:type="dxa"/>
            </w:tcMar>
            <w:shd w:fill="F8FAFC"/>
          </w:tcPr>
          <w:p>
            <w:pPr>
              <w:spacing w:before="40" w:after="40"/>
            </w:pPr>
            <w:r>
              <w:rPr>
                <w:color w:val="1E293B"/>
                <w:sz w:val="17"/>
              </w:rPr>
              <w:t>MWS</w:t>
            </w:r>
          </w:p>
        </w:tc>
        <w:tc>
          <w:tcPr>
            <w:tcW w:type="dxa" w:w="1728"/>
            <w:vAlign w:val="center"/>
            <w:tcMar>
              <w:top w:w="100" w:type="dxa"/>
              <w:bottom w:w="100" w:type="dxa"/>
              <w:left w:w="120" w:type="dxa"/>
              <w:right w:w="120" w:type="dxa"/>
            </w:tcMar>
            <w:shd w:fill="F8FAFC"/>
          </w:tcPr>
          <w:p>
            <w:pPr>
              <w:spacing w:before="40" w:after="40"/>
            </w:pPr>
            <w:r>
              <w:rPr>
                <w:color w:val="1E293B"/>
                <w:sz w:val="17"/>
              </w:rPr>
              <w:t>GL 220020 (Output SGST Payable Liability)</w:t>
            </w:r>
          </w:p>
        </w:tc>
      </w:tr>
    </w:tbl>
    <w:p>
      <w:r>
        <w:t>Total Billed to Customer Accounts Receivable: ₹ 1,08,560.00 (Balanced across 5 General Ledger Accounts atomically).</w:t>
      </w:r>
    </w:p>
    <w:p>
      <w:pPr>
        <w:pStyle w:val="Heading1"/>
        <w:spacing w:before="280"/>
      </w:pPr>
      <w:r>
        <w:t>5. Advanced Outstanding Management: Bill-by-Bill Allocation Engine</w:t>
      </w:r>
    </w:p>
    <w:p>
      <w:r>
        <w:t>Standard accounting systems simply track aggregate account balances. In contrast, Indian statutory business practices (TallyPrime, Marg ERP) mandate granular 'Bill-wise Details' to know exactly WHICH specific invoices are unpaid. This enables accurate 30/60/90-day aging, automated dunning, and overdue interest calculations.</w:t>
      </w:r>
    </w:p>
    <w:p>
      <w:pPr>
        <w:pStyle w:val="Heading2"/>
      </w:pPr>
      <w:r>
        <w:t>5.1 The 4 Core Reference Types</w:t>
      </w:r>
    </w:p>
    <w:p>
      <w:pPr>
        <w:pStyle w:val="ListBullet"/>
      </w:pPr>
      <w:r>
        <w:t>1. New Ref (New Reference): Created whenever a Sales or Purchase Invoice is posted. Registers a distinct open item tracked by invoice number (e.g. INV/26-27/0101 for ₹ 25,000).</w:t>
      </w:r>
    </w:p>
    <w:p>
      <w:pPr>
        <w:pStyle w:val="ListBullet"/>
      </w:pPr>
      <w:r>
        <w:t>2. Agst Ref (Against Reference): Used during Receipt or Payment vouchers. Forces the user to allocate incoming funds against one or more specific pending 'New Ref' records.</w:t>
      </w:r>
    </w:p>
    <w:p>
      <w:pPr>
        <w:pStyle w:val="ListBullet"/>
      </w:pPr>
      <w:r>
        <w:t>3. Advance: Used when a customer deposits money before an invoice exists. Remains an unallocated credit open item until matched against future invoices.</w:t>
      </w:r>
    </w:p>
    <w:p>
      <w:pPr>
        <w:pStyle w:val="ListBullet"/>
      </w:pPr>
      <w:r>
        <w:t>4. On Account: Used for lump-sum ad-hoc collections where the specific invoice reference is unknown at the moment of payment receipt.</w:t>
      </w:r>
    </w:p>
    <w:p>
      <w:pPr>
        <w:pStyle w:val="Heading2"/>
      </w:pPr>
      <w:r>
        <w:t>5.2 Relational Allocation Bridge Schema (`invoice_allocations`)</w:t>
      </w:r>
    </w:p>
    <w:tbl>
      <w:tblPr>
        <w:tblW w:type="auto" w:w="0"/>
        <w:jc w:val="center"/>
        <w:tblLayout w:type="fixed"/>
        <w:tblLook w:firstColumn="1" w:firstRow="1" w:lastColumn="0" w:lastRow="0" w:noHBand="0" w:noVBand="1" w:val="04A0"/>
        <w:tblBorders>
          <w:top w:val="single" w:sz="4" w:space="0" w:color="CBD5E1"/>
          <w:left w:val="none"/>
          <w:bottom w:val="single" w:sz="8" w:space="0" w:color="94A3B8"/>
          <w:right w:val="none"/>
          <w:insideH w:val="single" w:sz="4" w:space="0" w:color="E2E8F0"/>
          <w:insideV w:val="none"/>
        </w:tblBorders>
      </w:tblPr>
      <w:tblGrid>
        <w:gridCol w:w="3360"/>
        <w:gridCol w:w="3360"/>
        <w:gridCol w:w="3360"/>
      </w:tblGrid>
      <w:tr>
        <w:trPr>
          <w:cantSplit/>
          <w:tblHeader/>
        </w:trPr>
        <w:tc>
          <w:tcPr>
            <w:tcW w:type="dxa" w:w="2592"/>
            <w:vAlign w:val="center"/>
            <w:tcMar>
              <w:top w:w="100" w:type="dxa"/>
              <w:bottom w:w="100" w:type="dxa"/>
              <w:left w:w="120" w:type="dxa"/>
              <w:right w:w="120" w:type="dxa"/>
            </w:tcMar>
            <w:shd w:fill="1E293B"/>
          </w:tcPr>
          <w:p>
            <w:pPr>
              <w:spacing w:before="40" w:after="40"/>
            </w:pPr>
            <w:r>
              <w:rPr>
                <w:b/>
                <w:color w:val="FFFFFF"/>
                <w:sz w:val="18"/>
              </w:rPr>
              <w:t>Field Name</w:t>
            </w:r>
          </w:p>
        </w:tc>
        <w:tc>
          <w:tcPr>
            <w:tcW w:type="dxa" w:w="2592"/>
            <w:vAlign w:val="center"/>
            <w:tcMar>
              <w:top w:w="100" w:type="dxa"/>
              <w:bottom w:w="100" w:type="dxa"/>
              <w:left w:w="120" w:type="dxa"/>
              <w:right w:w="120" w:type="dxa"/>
            </w:tcMar>
            <w:shd w:fill="1E293B"/>
          </w:tcPr>
          <w:p>
            <w:pPr>
              <w:spacing w:before="40" w:after="40"/>
            </w:pPr>
            <w:r>
              <w:rPr>
                <w:b/>
                <w:color w:val="FFFFFF"/>
                <w:sz w:val="18"/>
              </w:rPr>
              <w:t>Data Type</w:t>
            </w:r>
          </w:p>
        </w:tc>
        <w:tc>
          <w:tcPr>
            <w:tcW w:type="dxa" w:w="4608"/>
            <w:vAlign w:val="center"/>
            <w:tcMar>
              <w:top w:w="100" w:type="dxa"/>
              <w:bottom w:w="100" w:type="dxa"/>
              <w:left w:w="120" w:type="dxa"/>
              <w:right w:w="120" w:type="dxa"/>
            </w:tcMar>
            <w:shd w:fill="1E293B"/>
          </w:tcPr>
          <w:p>
            <w:pPr>
              <w:spacing w:before="40" w:after="40"/>
            </w:pPr>
            <w:r>
              <w:rPr>
                <w:b/>
                <w:color w:val="FFFFFF"/>
                <w:sz w:val="18"/>
              </w:rPr>
              <w:t>Architectural Purpose &amp; Constraints</w:t>
            </w:r>
          </w:p>
        </w:tc>
      </w:tr>
      <w:tr>
        <w:trPr>
          <w:cantSplit/>
        </w:trPr>
        <w:tc>
          <w:tcPr>
            <w:tcW w:type="dxa" w:w="2592"/>
            <w:vAlign w:val="center"/>
            <w:tcMar>
              <w:top w:w="100" w:type="dxa"/>
              <w:bottom w:w="100" w:type="dxa"/>
              <w:left w:w="120" w:type="dxa"/>
              <w:right w:w="120" w:type="dxa"/>
            </w:tcMar>
            <w:shd w:fill="F8FAFC"/>
          </w:tcPr>
          <w:p>
            <w:pPr>
              <w:spacing w:before="40" w:after="40"/>
            </w:pPr>
            <w:r>
              <w:rPr>
                <w:color w:val="1E293B"/>
                <w:sz w:val="17"/>
              </w:rPr>
              <w:t>id</w:t>
            </w:r>
          </w:p>
        </w:tc>
        <w:tc>
          <w:tcPr>
            <w:tcW w:type="dxa" w:w="2592"/>
            <w:vAlign w:val="center"/>
            <w:tcMar>
              <w:top w:w="100" w:type="dxa"/>
              <w:bottom w:w="100" w:type="dxa"/>
              <w:left w:w="120" w:type="dxa"/>
              <w:right w:w="120" w:type="dxa"/>
            </w:tcMar>
            <w:shd w:fill="F8FAFC"/>
          </w:tcPr>
          <w:p>
            <w:pPr>
              <w:spacing w:before="40" w:after="40"/>
            </w:pPr>
            <w:r>
              <w:rPr>
                <w:color w:val="1E293B"/>
                <w:sz w:val="17"/>
              </w:rPr>
              <w:t>UUID (Primary Key)</w:t>
            </w:r>
          </w:p>
        </w:tc>
        <w:tc>
          <w:tcPr>
            <w:tcW w:type="dxa" w:w="4608"/>
            <w:vAlign w:val="center"/>
            <w:tcMar>
              <w:top w:w="100" w:type="dxa"/>
              <w:bottom w:w="100" w:type="dxa"/>
              <w:left w:w="120" w:type="dxa"/>
              <w:right w:w="120" w:type="dxa"/>
            </w:tcMar>
            <w:shd w:fill="F8FAFC"/>
          </w:tcPr>
          <w:p>
            <w:pPr>
              <w:spacing w:before="40" w:after="40"/>
            </w:pPr>
            <w:r>
              <w:rPr>
                <w:color w:val="1E293B"/>
                <w:sz w:val="17"/>
              </w:rPr>
              <w:t>Unique identifier for the allocation record.</w:t>
            </w:r>
          </w:p>
        </w:tc>
      </w:tr>
      <w:tr>
        <w:trPr>
          <w:cantSplit/>
        </w:trPr>
        <w:tc>
          <w:tcPr>
            <w:tcW w:type="dxa" w:w="2592"/>
            <w:vAlign w:val="center"/>
            <w:tcMar>
              <w:top w:w="100" w:type="dxa"/>
              <w:bottom w:w="100" w:type="dxa"/>
              <w:left w:w="120" w:type="dxa"/>
              <w:right w:w="120" w:type="dxa"/>
            </w:tcMar>
            <w:shd w:fill="FFFFFF"/>
          </w:tcPr>
          <w:p>
            <w:pPr>
              <w:spacing w:before="40" w:after="40"/>
            </w:pPr>
            <w:r>
              <w:rPr>
                <w:color w:val="1E293B"/>
                <w:sz w:val="17"/>
              </w:rPr>
              <w:t>receipt_voucher_id</w:t>
            </w:r>
          </w:p>
        </w:tc>
        <w:tc>
          <w:tcPr>
            <w:tcW w:type="dxa" w:w="2592"/>
            <w:vAlign w:val="center"/>
            <w:tcMar>
              <w:top w:w="100" w:type="dxa"/>
              <w:bottom w:w="100" w:type="dxa"/>
              <w:left w:w="120" w:type="dxa"/>
              <w:right w:w="120" w:type="dxa"/>
            </w:tcMar>
            <w:shd w:fill="FFFFFF"/>
          </w:tcPr>
          <w:p>
            <w:pPr>
              <w:spacing w:before="40" w:after="40"/>
            </w:pPr>
            <w:r>
              <w:rPr>
                <w:color w:val="1E293B"/>
                <w:sz w:val="17"/>
              </w:rPr>
              <w:t>UUID (Foreign Key)</w:t>
            </w:r>
          </w:p>
        </w:tc>
        <w:tc>
          <w:tcPr>
            <w:tcW w:type="dxa" w:w="4608"/>
            <w:vAlign w:val="center"/>
            <w:tcMar>
              <w:top w:w="100" w:type="dxa"/>
              <w:bottom w:w="100" w:type="dxa"/>
              <w:left w:w="120" w:type="dxa"/>
              <w:right w:w="120" w:type="dxa"/>
            </w:tcMar>
            <w:shd w:fill="FFFFFF"/>
          </w:tcPr>
          <w:p>
            <w:pPr>
              <w:spacing w:before="40" w:after="40"/>
            </w:pPr>
            <w:r>
              <w:rPr>
                <w:color w:val="1E293B"/>
                <w:sz w:val="17"/>
              </w:rPr>
              <w:t>Links to the Payment/Receipt Voucher record in `vouchers` table.</w:t>
            </w:r>
          </w:p>
        </w:tc>
      </w:tr>
      <w:tr>
        <w:trPr>
          <w:cantSplit/>
        </w:trPr>
        <w:tc>
          <w:tcPr>
            <w:tcW w:type="dxa" w:w="2592"/>
            <w:vAlign w:val="center"/>
            <w:tcMar>
              <w:top w:w="100" w:type="dxa"/>
              <w:bottom w:w="100" w:type="dxa"/>
              <w:left w:w="120" w:type="dxa"/>
              <w:right w:w="120" w:type="dxa"/>
            </w:tcMar>
            <w:shd w:fill="F8FAFC"/>
          </w:tcPr>
          <w:p>
            <w:pPr>
              <w:spacing w:before="40" w:after="40"/>
            </w:pPr>
            <w:r>
              <w:rPr>
                <w:color w:val="1E293B"/>
                <w:sz w:val="17"/>
              </w:rPr>
              <w:t>invoice_voucher_id</w:t>
            </w:r>
          </w:p>
        </w:tc>
        <w:tc>
          <w:tcPr>
            <w:tcW w:type="dxa" w:w="2592"/>
            <w:vAlign w:val="center"/>
            <w:tcMar>
              <w:top w:w="100" w:type="dxa"/>
              <w:bottom w:w="100" w:type="dxa"/>
              <w:left w:w="120" w:type="dxa"/>
              <w:right w:w="120" w:type="dxa"/>
            </w:tcMar>
            <w:shd w:fill="F8FAFC"/>
          </w:tcPr>
          <w:p>
            <w:pPr>
              <w:spacing w:before="40" w:after="40"/>
            </w:pPr>
            <w:r>
              <w:rPr>
                <w:color w:val="1E293B"/>
                <w:sz w:val="17"/>
              </w:rPr>
              <w:t>UUID (Foreign Key)</w:t>
            </w:r>
          </w:p>
        </w:tc>
        <w:tc>
          <w:tcPr>
            <w:tcW w:type="dxa" w:w="4608"/>
            <w:vAlign w:val="center"/>
            <w:tcMar>
              <w:top w:w="100" w:type="dxa"/>
              <w:bottom w:w="100" w:type="dxa"/>
              <w:left w:w="120" w:type="dxa"/>
              <w:right w:w="120" w:type="dxa"/>
            </w:tcMar>
            <w:shd w:fill="F8FAFC"/>
          </w:tcPr>
          <w:p>
            <w:pPr>
              <w:spacing w:before="40" w:after="40"/>
            </w:pPr>
            <w:r>
              <w:rPr>
                <w:color w:val="1E293B"/>
                <w:sz w:val="17"/>
              </w:rPr>
              <w:t>Links to the target Sales/Purchase Invoice record being settled.</w:t>
            </w:r>
          </w:p>
        </w:tc>
      </w:tr>
      <w:tr>
        <w:trPr>
          <w:cantSplit/>
        </w:trPr>
        <w:tc>
          <w:tcPr>
            <w:tcW w:type="dxa" w:w="2592"/>
            <w:vAlign w:val="center"/>
            <w:tcMar>
              <w:top w:w="100" w:type="dxa"/>
              <w:bottom w:w="100" w:type="dxa"/>
              <w:left w:w="120" w:type="dxa"/>
              <w:right w:w="120" w:type="dxa"/>
            </w:tcMar>
            <w:shd w:fill="FFFFFF"/>
          </w:tcPr>
          <w:p>
            <w:pPr>
              <w:spacing w:before="40" w:after="40"/>
            </w:pPr>
            <w:r>
              <w:rPr>
                <w:color w:val="1E293B"/>
                <w:sz w:val="17"/>
              </w:rPr>
              <w:t>allocated_amount</w:t>
            </w:r>
          </w:p>
        </w:tc>
        <w:tc>
          <w:tcPr>
            <w:tcW w:type="dxa" w:w="2592"/>
            <w:vAlign w:val="center"/>
            <w:tcMar>
              <w:top w:w="100" w:type="dxa"/>
              <w:bottom w:w="100" w:type="dxa"/>
              <w:left w:w="120" w:type="dxa"/>
              <w:right w:w="120" w:type="dxa"/>
            </w:tcMar>
            <w:shd w:fill="FFFFFF"/>
          </w:tcPr>
          <w:p>
            <w:pPr>
              <w:spacing w:before="40" w:after="40"/>
            </w:pPr>
            <w:r>
              <w:rPr>
                <w:color w:val="1E293B"/>
                <w:sz w:val="17"/>
              </w:rPr>
              <w:t>Decimal(18, 4)</w:t>
            </w:r>
          </w:p>
        </w:tc>
        <w:tc>
          <w:tcPr>
            <w:tcW w:type="dxa" w:w="4608"/>
            <w:vAlign w:val="center"/>
            <w:tcMar>
              <w:top w:w="100" w:type="dxa"/>
              <w:bottom w:w="100" w:type="dxa"/>
              <w:left w:w="120" w:type="dxa"/>
              <w:right w:w="120" w:type="dxa"/>
            </w:tcMar>
            <w:shd w:fill="FFFFFF"/>
          </w:tcPr>
          <w:p>
            <w:pPr>
              <w:spacing w:before="40" w:after="40"/>
            </w:pPr>
            <w:r>
              <w:rPr>
                <w:color w:val="1E293B"/>
                <w:sz w:val="17"/>
              </w:rPr>
              <w:t>Exact monetary portion of the receipt applied to this invoice.</w:t>
            </w:r>
          </w:p>
        </w:tc>
      </w:tr>
      <w:tr>
        <w:trPr>
          <w:cantSplit/>
        </w:trPr>
        <w:tc>
          <w:tcPr>
            <w:tcW w:type="dxa" w:w="2592"/>
            <w:vAlign w:val="center"/>
            <w:tcMar>
              <w:top w:w="100" w:type="dxa"/>
              <w:bottom w:w="100" w:type="dxa"/>
              <w:left w:w="120" w:type="dxa"/>
              <w:right w:w="120" w:type="dxa"/>
            </w:tcMar>
            <w:shd w:fill="F8FAFC"/>
          </w:tcPr>
          <w:p>
            <w:pPr>
              <w:spacing w:before="40" w:after="40"/>
            </w:pPr>
            <w:r>
              <w:rPr>
                <w:color w:val="1E293B"/>
                <w:sz w:val="17"/>
              </w:rPr>
              <w:t>allocation_date</w:t>
            </w:r>
          </w:p>
        </w:tc>
        <w:tc>
          <w:tcPr>
            <w:tcW w:type="dxa" w:w="2592"/>
            <w:vAlign w:val="center"/>
            <w:tcMar>
              <w:top w:w="100" w:type="dxa"/>
              <w:bottom w:w="100" w:type="dxa"/>
              <w:left w:w="120" w:type="dxa"/>
              <w:right w:w="120" w:type="dxa"/>
            </w:tcMar>
            <w:shd w:fill="F8FAFC"/>
          </w:tcPr>
          <w:p>
            <w:pPr>
              <w:spacing w:before="40" w:after="40"/>
            </w:pPr>
            <w:r>
              <w:rPr>
                <w:color w:val="1E293B"/>
                <w:sz w:val="17"/>
              </w:rPr>
              <w:t>TIMESTAMP</w:t>
            </w:r>
          </w:p>
        </w:tc>
        <w:tc>
          <w:tcPr>
            <w:tcW w:type="dxa" w:w="4608"/>
            <w:vAlign w:val="center"/>
            <w:tcMar>
              <w:top w:w="100" w:type="dxa"/>
              <w:bottom w:w="100" w:type="dxa"/>
              <w:left w:w="120" w:type="dxa"/>
              <w:right w:w="120" w:type="dxa"/>
            </w:tcMar>
            <w:shd w:fill="F8FAFC"/>
          </w:tcPr>
          <w:p>
            <w:pPr>
              <w:spacing w:before="40" w:after="40"/>
            </w:pPr>
            <w:r>
              <w:rPr>
                <w:color w:val="1E293B"/>
                <w:sz w:val="17"/>
              </w:rPr>
              <w:t>Date when the allocation was executed for aging accuracy.</w:t>
            </w:r>
          </w:p>
        </w:tc>
      </w:tr>
    </w:tbl>
    <w:p/>
    <w:p>
      <w:pPr>
        <w:pStyle w:val="Heading1"/>
        <w:spacing w:before="280"/>
      </w:pPr>
      <w:r>
        <w:t>6. Transactional Integrity, Lineage (DAG) &amp; Storno Reversals</w:t>
      </w:r>
    </w:p>
    <w:p>
      <w:pPr>
        <w:pStyle w:val="ListBullet"/>
      </w:pPr>
      <w:r>
        <w:t>6.1 The Directed Acyclic Graph (DAG) Document Flow:</w:t>
      </w:r>
    </w:p>
    <w:p>
      <w:r>
        <w:t>Enterprise ERPs treat business transactions as nodes in an immutable Directed Acyclic Graph (DAG). Every quotation, sales order, delivery, invoice, and payment maintains foreign key predecessor/successor lineage links, guaranteeing complete traceability from cradle to grave.</w:t>
      </w:r>
    </w:p>
    <w:p>
      <w:pPr>
        <w:pStyle w:val="ListBullet"/>
      </w:pPr>
      <w:r>
        <w:t>6.2 The No-Delete Principle &amp; Storno Negative Reversals:</w:t>
      </w:r>
    </w:p>
    <w:p>
      <w:r>
        <w:t>Under corporate compliance laws (MCA Audit Trail, SOX 404), posted financial records can NEVER be deleted. Erroneous entries are corrected via SAP-style 'Storno Reversals' (negative debit/credit postings) which negate the financial impact without artificially doubling account turnover volumes.</w:t>
      </w:r>
    </w:p>
    <w:p>
      <w:pPr>
        <w:pStyle w:val="Heading1"/>
        <w:spacing w:before="280"/>
      </w:pPr>
      <w:r>
        <w:t>7. High-Concurrency Core &amp; Database Scaling Tactics</w:t>
      </w:r>
    </w:p>
    <w:p>
      <w:r>
        <w:t>To handle enterprise transaction throughput with sub-50ms response times, our database architecture implements 5 high-speed engineering pillars:</w:t>
      </w:r>
    </w:p>
    <w:tbl>
      <w:tblPr>
        <w:tblW w:type="auto" w:w="0"/>
        <w:jc w:val="center"/>
        <w:tblLayout w:type="fixed"/>
        <w:tblLook w:firstColumn="1" w:firstRow="1" w:lastColumn="0" w:lastRow="0" w:noHBand="0" w:noVBand="1" w:val="04A0"/>
      </w:tblPr>
      <w:tblGrid>
        <w:gridCol w:w="9792"/>
      </w:tblGrid>
      <w:tr>
        <w:tc>
          <w:tcPr>
            <w:tcW w:type="dxa" w:w="10080"/>
            <w:shd w:fill="F0FDF4"/>
            <w:tcMar>
              <w:top w:w="140" w:type="dxa"/>
              <w:bottom w:w="140" w:type="dxa"/>
              <w:left w:w="180" w:type="dxa"/>
              <w:right w:w="180" w:type="dxa"/>
            </w:tcMar>
            <w:tcBorders>
              <w:top w:val="none"/>
              <w:left w:val="single" w:sz="24" w:space="0" w:color="16A34A"/>
              <w:bottom w:val="none"/>
              <w:right w:val="none"/>
            </w:tcBorders>
          </w:tcPr>
          <w:p>
            <w:pPr>
              <w:spacing w:before="40" w:after="80"/>
            </w:pPr>
            <w:r>
              <w:rPr>
                <w:b/>
                <w:color w:val="0F172A"/>
                <w:sz w:val="21"/>
              </w:rPr>
              <w:t>📌 THE 5 HIGH-THROUGHPUT ENGINEERING PILLARS</w:t>
              <w:br/>
            </w:r>
          </w:p>
          <w:p>
            <w:pPr>
              <w:spacing w:before="0" w:after="40"/>
            </w:pPr>
            <w:r>
              <w:rPr>
                <w:color w:val="334155"/>
                <w:sz w:val="19"/>
              </w:rPr>
              <w:t>1. CQRS &amp; Append-Only Log: Writes perform fast sequential INSERTs into `vouchers` and `voucher_entries`. No locks are placed on parent `ledgers` rows.</w:t>
            </w:r>
          </w:p>
          <w:p>
            <w:pPr>
              <w:spacing w:before="0" w:after="40"/>
            </w:pPr>
            <w:r>
              <w:rPr>
                <w:color w:val="334155"/>
                <w:sz w:val="19"/>
              </w:rPr>
              <w:t>2. Deterministic Lexicographical Lock Sorting: Multi-leg voucher transactions sort target Ledger UUIDs alphabetically before acquiring DB locks, guaranteeing ZERO deadlocks.</w:t>
            </w:r>
          </w:p>
          <w:p>
            <w:pPr>
              <w:spacing w:before="0" w:after="40"/>
            </w:pPr>
            <w:r>
              <w:rPr>
                <w:color w:val="334155"/>
                <w:sz w:val="19"/>
              </w:rPr>
              <w:t>3. Delta Rollup Checkpoint Algorithm: Trial balances fetch pre-aggregated monthly snapshots and only sum transactions occurring in the current delta window.</w:t>
            </w:r>
          </w:p>
          <w:p>
            <w:pPr>
              <w:spacing w:before="0" w:after="40"/>
            </w:pPr>
            <w:r>
              <w:rPr>
                <w:color w:val="334155"/>
                <w:sz w:val="19"/>
              </w:rPr>
              <w:t>4. PostgreSQL Declarative Range Partitioning: `voucher_entries` table is partitioned by Fiscal Year and Date Ranges for instant B-Tree index traversal.</w:t>
            </w:r>
          </w:p>
          <w:p>
            <w:pPr>
              <w:spacing w:before="0" w:after="40"/>
            </w:pPr>
            <w:r>
              <w:rPr>
                <w:color w:val="334155"/>
                <w:sz w:val="19"/>
              </w:rPr>
              <w:t>5. In-Memory Redis Financial Cache: Dashboard balances (Cash, Bank, Debtors, Creditors) update asynchronously in Redis for sub-5ms UI responses.</w:t>
            </w:r>
          </w:p>
        </w:tc>
      </w:tr>
    </w:tbl>
    <w:p/>
    <w:p>
      <w:pPr>
        <w:pStyle w:val="Heading1"/>
        <w:spacing w:before="280"/>
      </w:pPr>
      <w:r>
        <w:t>8. Statutory Tax Settlement &amp; Period Closing Architecture</w:t>
      </w:r>
    </w:p>
    <w:p>
      <w:pPr>
        <w:pStyle w:val="ListBullet"/>
      </w:pPr>
      <w:r>
        <w:t>8.1 GST / VAT Settlement Run Engine:</w:t>
      </w:r>
    </w:p>
    <w:p>
      <w:r>
        <w:t>At month-end, the automated tax engine offsets all Input Tax Credit (ITC - Asset) against Output Tax Liability, generating an atomic settlement voucher that books the net payable balance to the Electronic Liability Ledger for payment to statutory authorities.</w:t>
      </w:r>
    </w:p>
    <w:p>
      <w:pPr>
        <w:pStyle w:val="ListBullet"/>
      </w:pPr>
      <w:r>
        <w:t>8.2 Period Locking &amp; Fiscal Year Carry Forward:</w:t>
      </w:r>
    </w:p>
    <w:p>
      <w:r>
        <w:t>• Period Hard Locks: Database-level immutability prevents back-dated entry creation, modification, or cancellation in closed historical fiscal periods.</w:t>
        <w:br/>
        <w:t>• P&amp;L Sweeping &amp; Balance Roll: At fiscal year-end (31st March), nominal P&amp;L accounts (Sales, Purchases, Expenses) reset to ₹ 0.00 and their net profit/loss is swept into 'Reserves &amp; Surplus / Retained Earnings' (Equity); real/personal asset &amp; liability closing balances roll forward as new FY opening balances.</w:t>
      </w:r>
    </w:p>
    <w:p>
      <w:pPr>
        <w:pStyle w:val="Heading1"/>
        <w:spacing w:before="280"/>
      </w:pPr>
      <w:r>
        <w:t>9. Exhaustive List of Supported ERP Finance &amp; Billing Modules</w:t>
      </w:r>
    </w:p>
    <w:p>
      <w:pPr>
        <w:pStyle w:val="ListBullet"/>
      </w:pPr>
      <w:r>
        <w:t>General Ledger (GL): Universal double-entry journal, multi-dimensional COA trees, trial balances, and audit logs.</w:t>
      </w:r>
    </w:p>
    <w:p>
      <w:pPr>
        <w:pStyle w:val="ListBullet"/>
      </w:pPr>
      <w:r>
        <w:t>Accounts Receivable (AR): Customer master, credit limit enforcement, bill-by-bill outstanding tracking, aging buckets, and dunning letters.</w:t>
      </w:r>
    </w:p>
    <w:p>
      <w:pPr>
        <w:pStyle w:val="ListBullet"/>
      </w:pPr>
      <w:r>
        <w:t>Accounts Payable (AP): Vendor subledgers, 3-way invoice verification, purchase price variance tracking, and payment run batches.</w:t>
      </w:r>
    </w:p>
    <w:p>
      <w:pPr>
        <w:pStyle w:val="ListBullet"/>
      </w:pPr>
      <w:r>
        <w:t>Delivery Challans &amp; Series Engine: Marg-style dispatch challans, multi-challan bill consolidation, and parallel billing series (Series A/B/EXP).</w:t>
      </w:r>
    </w:p>
    <w:p>
      <w:pPr>
        <w:pStyle w:val="ListBullet"/>
      </w:pPr>
      <w:r>
        <w:t>Dynamic Billing &amp; Pricing: SAP-style Condition Technique, tiered quantity brackets, customer trade discounts, and dynamic Account Key determination.</w:t>
      </w:r>
    </w:p>
    <w:p>
      <w:pPr>
        <w:pStyle w:val="ListBullet"/>
      </w:pPr>
      <w:r>
        <w:t>Bank Reconciliation Statement (BRS): Auto-matching MT940 / CSV bank feeds with cash books based on UTR/cheque references.</w:t>
      </w:r>
    </w:p>
    <w:p>
      <w:pPr>
        <w:pStyle w:val="ListBullet"/>
      </w:pPr>
      <w:r>
        <w:t>Fixed Asset Management: Capitalization, asset registry, disposal journals, and automated scheduled depreciation (SLM/WDV methods).</w:t>
      </w:r>
    </w:p>
    <w:p>
      <w:pPr>
        <w:pStyle w:val="ListBullet"/>
      </w:pPr>
      <w:r>
        <w:t>Costing &amp; Management Accounting: Cost Centers, Profit Centers, and departmental overhead expense allocation.</w:t>
      </w:r>
    </w:p>
    <w:p>
      <w:pPr>
        <w:pStyle w:val="ListBullet"/>
      </w:pPr>
      <w:r>
        <w:t>Budgeting &amp; Variance Tracking: Budget encumbrance at PO creation and real-time Budget vs. Actual variance analytics.</w:t>
      </w:r>
    </w:p>
    <w:p>
      <w:pPr>
        <w:pStyle w:val="ListBullet"/>
      </w:pPr>
      <w:r>
        <w:t>Multi-Currency &amp; Forex Engine: Real-time multi-currency transaction tagging with month-end unrealized/realized forex gain/loss revaluations.</w:t>
      </w:r>
    </w:p>
    <w:p>
      <w:pPr>
        <w:pStyle w:val="ListBullet"/>
      </w:pPr>
      <w:r>
        <w:t>Statutory Tax Engine: Automated CGST/SGST/IGST tax invoices, Input Tax Credit (ITC) tracking, TDS/TCS deduction, and settlement runs.</w:t>
      </w:r>
    </w:p>
    <w:p>
      <w:pPr>
        <w:pStyle w:val="ListBullet"/>
      </w:pPr>
      <w:r>
        <w:t>Financial Reporting Suite: 0ms real-time generation of Balance Sheet, Profit &amp; Loss (Income Statement), Day Book, and Cash Flow Statements.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