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F172A"/>
          <w:sz w:val="36"/>
        </w:rPr>
        <w:t>ENTERPRISE ERP FINANCE, SALES &amp; BILLING ARCHITECTURE</w:t>
      </w:r>
    </w:p>
    <w:p>
      <w:pPr>
        <w:spacing w:before="0" w:after="240"/>
        <w:jc w:val="center"/>
      </w:pPr>
      <w:r>
        <w:rPr>
          <w:i/>
          <w:color w:val="475569"/>
          <w:sz w:val="21"/>
        </w:rPr>
        <w:t>The Definitive Master Blueprint: Comparative Analysis, Hierarchical Lifecycles, Suspense Accounting, Challan-to-Bill Conversions, Pricing Condition Pipelines &amp; Ultra-High-Throughput CQRS Core</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5040"/>
        <w:gridCol w:w="5040"/>
      </w:tblGrid>
      <w:tr>
        <w:trPr>
          <w:cantSplit/>
          <w:tblHeader/>
        </w:trPr>
        <w:tc>
          <w:tcPr>
            <w:tcW w:type="dxa" w:w="4896"/>
            <w:vAlign w:val="center"/>
            <w:tcMar>
              <w:top w:w="100" w:type="dxa"/>
              <w:bottom w:w="100" w:type="dxa"/>
              <w:left w:w="120" w:type="dxa"/>
              <w:right w:w="120" w:type="dxa"/>
            </w:tcMar>
            <w:shd w:fill="334155"/>
          </w:tcPr>
          <w:p>
            <w:pPr>
              <w:spacing w:before="40" w:after="40"/>
            </w:pPr>
            <w:r>
              <w:rPr>
                <w:b/>
                <w:color w:val="FFFFFF"/>
                <w:sz w:val="18"/>
              </w:rPr>
              <w:t>Domain: Enterprise Double-Entry &amp; Billing Architecture</w:t>
            </w:r>
          </w:p>
        </w:tc>
        <w:tc>
          <w:tcPr>
            <w:tcW w:type="dxa" w:w="4896"/>
            <w:vAlign w:val="center"/>
            <w:tcMar>
              <w:top w:w="100" w:type="dxa"/>
              <w:bottom w:w="100" w:type="dxa"/>
              <w:left w:w="120" w:type="dxa"/>
              <w:right w:w="120" w:type="dxa"/>
            </w:tcMar>
            <w:shd w:fill="334155"/>
          </w:tcPr>
          <w:p>
            <w:pPr>
              <w:spacing w:before="40" w:after="40"/>
            </w:pPr>
            <w:r>
              <w:rPr>
                <w:b/>
                <w:color w:val="FFFFFF"/>
                <w:sz w:val="18"/>
              </w:rPr>
              <w:t>Comparative Scope: SAP S/4HANA, NetSuite, Dynamics 365, Tally, Marg ERP</w:t>
            </w:r>
          </w:p>
        </w:tc>
      </w:tr>
      <w:tr>
        <w:trPr>
          <w:cantSplit/>
        </w:trPr>
        <w:tc>
          <w:tcPr>
            <w:tcW w:type="dxa" w:w="4896"/>
            <w:vAlign w:val="center"/>
            <w:tcMar>
              <w:top w:w="100" w:type="dxa"/>
              <w:bottom w:w="100" w:type="dxa"/>
              <w:left w:w="120" w:type="dxa"/>
              <w:right w:w="120" w:type="dxa"/>
            </w:tcMar>
            <w:shd w:fill="F8FAFC"/>
          </w:tcPr>
          <w:p>
            <w:pPr>
              <w:spacing w:before="40" w:after="40"/>
            </w:pPr>
            <w:r>
              <w:rPr>
                <w:b/>
                <w:color w:val="1E293B"/>
                <w:sz w:val="17"/>
              </w:rPr>
              <w:t>Compliance: GAAP, IFRS 15, Ind AS, GST/TDS, Statutory Audit Logs</w:t>
            </w:r>
          </w:p>
        </w:tc>
        <w:tc>
          <w:tcPr>
            <w:tcW w:type="dxa" w:w="4896"/>
            <w:vAlign w:val="center"/>
            <w:tcMar>
              <w:top w:w="100" w:type="dxa"/>
              <w:bottom w:w="100" w:type="dxa"/>
              <w:left w:w="120" w:type="dxa"/>
              <w:right w:w="120" w:type="dxa"/>
            </w:tcMar>
            <w:shd w:fill="F8FAFC"/>
          </w:tcPr>
          <w:p>
            <w:pPr>
              <w:spacing w:before="40" w:after="40"/>
            </w:pPr>
            <w:r>
              <w:rPr>
                <w:b/>
                <w:color w:val="1E293B"/>
                <w:sz w:val="17"/>
              </w:rPr>
              <w:t>Target Stack: FastAPI, PostgreSQL, Redis, React 19</w:t>
            </w:r>
          </w:p>
        </w:tc>
      </w:tr>
    </w:tbl>
    <w:p/>
    <w:p>
      <w:pPr>
        <w:pStyle w:val="Heading1"/>
        <w:spacing w:before="280"/>
      </w:pPr>
      <w:r>
        <w:t>1. Executive Philosophy &amp; Mathematical Invariants</w:t>
      </w:r>
    </w:p>
    <w:p>
      <w:r>
        <w:t>At the heart of every enterprise-grade ERP system lies a non-negotiable principle: the strict architectural decoupling of Commercial Intent, Physical Logistics, and Financial Accounting. In naive systems, a sale is treated as a single monolithic database write. In top-tier architectures, transactions pass through distinct, independently auditable stages that maintain mathematical equilibrium across the General Ledger (GL) and Sub-ledgers.</w:t>
      </w:r>
    </w:p>
    <w:tbl>
      <w:tblPr>
        <w:tblW w:type="auto" w:w="0"/>
        <w:jc w:val="center"/>
        <w:tblLayout w:type="fixed"/>
        <w:tblLook w:firstColumn="1" w:firstRow="1" w:lastColumn="0" w:lastRow="0" w:noHBand="0" w:noVBand="1" w:val="04A0"/>
      </w:tblPr>
      <w:tblGrid>
        <w:gridCol w:w="9792"/>
      </w:tblGrid>
      <w:tr>
        <w:tc>
          <w:tcPr>
            <w:tcW w:type="dxa" w:w="10080"/>
            <w:shd w:fill="EFF6FF"/>
            <w:tcMar>
              <w:top w:w="140" w:type="dxa"/>
              <w:bottom w:w="140" w:type="dxa"/>
              <w:left w:w="180" w:type="dxa"/>
              <w:right w:w="180" w:type="dxa"/>
            </w:tcMar>
            <w:tcBorders>
              <w:top w:val="none"/>
              <w:left w:val="single" w:sz="24" w:space="0" w:color="2563EB"/>
              <w:bottom w:val="none"/>
              <w:right w:val="none"/>
            </w:tcBorders>
          </w:tcPr>
          <w:p>
            <w:pPr>
              <w:spacing w:before="40" w:after="80"/>
            </w:pPr>
            <w:r>
              <w:rPr>
                <w:b/>
                <w:color w:val="0F172A"/>
                <w:sz w:val="21"/>
              </w:rPr>
              <w:t>📌 THE MATHEMATICAL INVARIANTS OF ENTERPRISE DOUBLE-ENTRY</w:t>
              <w:br/>
            </w:r>
          </w:p>
          <w:p>
            <w:pPr>
              <w:spacing w:before="0" w:after="40"/>
            </w:pPr>
            <w:r>
              <w:rPr>
                <w:color w:val="334155"/>
                <w:sz w:val="19"/>
              </w:rPr>
              <w:t>1. Zero-Sum Balance Equilibrium: Σ (Debit Amounts) - Σ (Credit Amounts) = 0.00 at all times across all multi-leg transactions.</w:t>
            </w:r>
          </w:p>
          <w:p>
            <w:pPr>
              <w:spacing w:before="0" w:after="40"/>
            </w:pPr>
            <w:r>
              <w:rPr>
                <w:color w:val="334155"/>
                <w:sz w:val="19"/>
              </w:rPr>
              <w:t>2. Fundamental Accounting Equation: Assets = Liabilities + Owner's Equity + (Income - Expenses).</w:t>
            </w:r>
          </w:p>
          <w:p>
            <w:pPr>
              <w:spacing w:before="0" w:after="40"/>
            </w:pPr>
            <w:r>
              <w:rPr>
                <w:color w:val="334155"/>
                <w:sz w:val="19"/>
              </w:rPr>
              <w:t>3. Separation of Concerns: Commercial Orders (Non-posting) ≠ Physical Deliveries (COGS &amp; Asset Shift) ≠ Billing Documents (Revenue &amp; Tax Liability).</w:t>
            </w:r>
          </w:p>
          <w:p>
            <w:pPr>
              <w:spacing w:before="0" w:after="40"/>
            </w:pPr>
            <w:r>
              <w:rPr>
                <w:color w:val="334155"/>
                <w:sz w:val="19"/>
              </w:rPr>
              <w:t>4. Append-Only Immutability: Posted records are NEVER deleted or overwritten via SQL UPDATE/DELETE. Corrections occur solely via Reversing Journals (Storno Negative Postings).</w:t>
            </w:r>
          </w:p>
        </w:tc>
      </w:tr>
    </w:tbl>
    <w:p/>
    <w:p>
      <w:pPr>
        <w:pStyle w:val="Heading2"/>
      </w:pPr>
      <w:r>
        <w:t>1.1 The Classical Golden Rules Encoded as State Machines</w:t>
      </w:r>
    </w:p>
    <w:p>
      <w:pPr>
        <w:pStyle w:val="ListBullet"/>
      </w:pPr>
      <w:r>
        <w:t>• Real Accounts (Tangible/Intangible Assets, Inventory, Cash, Bank): Debit what comes in (Asset Inflow); Credit what goes out (Asset Outflow).</w:t>
      </w:r>
    </w:p>
    <w:p>
      <w:pPr>
        <w:pStyle w:val="ListBullet"/>
      </w:pPr>
      <w:r>
        <w:t>• Personal Accounts (Customers AR, Vendors AP, Capital, Banks): Debit the Receiver (Customer receives goods / Vendor receives payment); Credit the Giver (Vendor provides goods / Customer makes payment).</w:t>
      </w:r>
    </w:p>
    <w:p>
      <w:pPr>
        <w:pStyle w:val="ListBullet"/>
      </w:pPr>
      <w:r>
        <w:t>• Nominal Accounts (Revenue, Direct/Indirect Expenses, Gains, Losses): Debit all Expenses &amp; Losses (COGS, Rent, Discount Allowed); Credit all Incomes &amp; Gains (Sales Revenue, Interest Received).</w:t>
      </w:r>
    </w:p>
    <w:p>
      <w:pPr>
        <w:pStyle w:val="Heading2"/>
      </w:pPr>
      <w:r>
        <w:t>1.2 The Standard 5-Class Categorization Matrix</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016"/>
        <w:gridCol w:w="2016"/>
        <w:gridCol w:w="2016"/>
        <w:gridCol w:w="2016"/>
        <w:gridCol w:w="2016"/>
      </w:tblGrid>
      <w:tr>
        <w:trPr>
          <w:cantSplit/>
          <w:tblHeader/>
        </w:trPr>
        <w:tc>
          <w:tcPr>
            <w:tcW w:type="dxa" w:w="1152"/>
            <w:vAlign w:val="center"/>
            <w:tcMar>
              <w:top w:w="100" w:type="dxa"/>
              <w:bottom w:w="100" w:type="dxa"/>
              <w:left w:w="120" w:type="dxa"/>
              <w:right w:w="120" w:type="dxa"/>
            </w:tcMar>
            <w:shd w:fill="1E293B"/>
          </w:tcPr>
          <w:p>
            <w:pPr>
              <w:spacing w:before="40" w:after="40"/>
            </w:pPr>
            <w:r>
              <w:rPr>
                <w:b/>
                <w:color w:val="FFFFFF"/>
                <w:sz w:val="18"/>
              </w:rPr>
              <w:t>Class ID</w:t>
            </w:r>
          </w:p>
        </w:tc>
        <w:tc>
          <w:tcPr>
            <w:tcW w:type="dxa" w:w="1728"/>
            <w:vAlign w:val="center"/>
            <w:tcMar>
              <w:top w:w="100" w:type="dxa"/>
              <w:bottom w:w="100" w:type="dxa"/>
              <w:left w:w="120" w:type="dxa"/>
              <w:right w:w="120" w:type="dxa"/>
            </w:tcMar>
            <w:shd w:fill="1E293B"/>
          </w:tcPr>
          <w:p>
            <w:pPr>
              <w:spacing w:before="40" w:after="40"/>
            </w:pPr>
            <w:r>
              <w:rPr>
                <w:b/>
                <w:color w:val="FFFFFF"/>
                <w:sz w:val="18"/>
              </w:rPr>
              <w:t>Primary Group</w:t>
            </w:r>
          </w:p>
        </w:tc>
        <w:tc>
          <w:tcPr>
            <w:tcW w:type="dxa" w:w="1872"/>
            <w:vAlign w:val="center"/>
            <w:tcMar>
              <w:top w:w="100" w:type="dxa"/>
              <w:bottom w:w="100" w:type="dxa"/>
              <w:left w:w="120" w:type="dxa"/>
              <w:right w:w="120" w:type="dxa"/>
            </w:tcMar>
            <w:shd w:fill="1E293B"/>
          </w:tcPr>
          <w:p>
            <w:pPr>
              <w:spacing w:before="40" w:after="40"/>
            </w:pPr>
            <w:r>
              <w:rPr>
                <w:b/>
                <w:color w:val="FFFFFF"/>
                <w:sz w:val="18"/>
              </w:rPr>
              <w:t>Financial Statement</w:t>
            </w:r>
          </w:p>
        </w:tc>
        <w:tc>
          <w:tcPr>
            <w:tcW w:type="dxa" w:w="1584"/>
            <w:vAlign w:val="center"/>
            <w:tcMar>
              <w:top w:w="100" w:type="dxa"/>
              <w:bottom w:w="100" w:type="dxa"/>
              <w:left w:w="120" w:type="dxa"/>
              <w:right w:w="120" w:type="dxa"/>
            </w:tcMar>
            <w:shd w:fill="1E293B"/>
          </w:tcPr>
          <w:p>
            <w:pPr>
              <w:spacing w:before="40" w:after="40"/>
            </w:pPr>
            <w:r>
              <w:rPr>
                <w:b/>
                <w:color w:val="FFFFFF"/>
                <w:sz w:val="18"/>
              </w:rPr>
              <w:t>Normal Balance</w:t>
            </w:r>
          </w:p>
        </w:tc>
        <w:tc>
          <w:tcPr>
            <w:tcW w:type="dxa" w:w="3456"/>
            <w:vAlign w:val="center"/>
            <w:tcMar>
              <w:top w:w="100" w:type="dxa"/>
              <w:bottom w:w="100" w:type="dxa"/>
              <w:left w:w="120" w:type="dxa"/>
              <w:right w:w="120" w:type="dxa"/>
            </w:tcMar>
            <w:shd w:fill="1E293B"/>
          </w:tcPr>
          <w:p>
            <w:pPr>
              <w:spacing w:before="40" w:after="40"/>
            </w:pPr>
            <w:r>
              <w:rPr>
                <w:b/>
                <w:color w:val="FFFFFF"/>
                <w:sz w:val="18"/>
              </w:rPr>
              <w:t>Typical Sub-Groups &amp; Atomic Ledgers</w:t>
            </w:r>
          </w:p>
        </w:tc>
      </w:tr>
      <w:tr>
        <w:trPr>
          <w:cantSplit/>
        </w:trPr>
        <w:tc>
          <w:tcPr>
            <w:tcW w:type="dxa" w:w="1152"/>
            <w:vAlign w:val="center"/>
            <w:tcMar>
              <w:top w:w="100" w:type="dxa"/>
              <w:bottom w:w="100" w:type="dxa"/>
              <w:left w:w="120" w:type="dxa"/>
              <w:right w:w="120" w:type="dxa"/>
            </w:tcMar>
            <w:shd w:fill="F8FAFC"/>
          </w:tcPr>
          <w:p>
            <w:pPr>
              <w:spacing w:before="40" w:after="40"/>
            </w:pPr>
            <w:r>
              <w:rPr>
                <w:color w:val="1E293B"/>
                <w:sz w:val="17"/>
              </w:rPr>
              <w:t>1000</w:t>
            </w:r>
          </w:p>
        </w:tc>
        <w:tc>
          <w:tcPr>
            <w:tcW w:type="dxa" w:w="1728"/>
            <w:vAlign w:val="center"/>
            <w:tcMar>
              <w:top w:w="100" w:type="dxa"/>
              <w:bottom w:w="100" w:type="dxa"/>
              <w:left w:w="120" w:type="dxa"/>
              <w:right w:w="120" w:type="dxa"/>
            </w:tcMar>
            <w:shd w:fill="F8FAFC"/>
          </w:tcPr>
          <w:p>
            <w:pPr>
              <w:spacing w:before="40" w:after="40"/>
            </w:pPr>
            <w:r>
              <w:rPr>
                <w:color w:val="1E293B"/>
                <w:sz w:val="17"/>
              </w:rPr>
              <w:t>Assets</w:t>
            </w:r>
          </w:p>
        </w:tc>
        <w:tc>
          <w:tcPr>
            <w:tcW w:type="dxa" w:w="1872"/>
            <w:vAlign w:val="center"/>
            <w:tcMar>
              <w:top w:w="100" w:type="dxa"/>
              <w:bottom w:w="100" w:type="dxa"/>
              <w:left w:w="120" w:type="dxa"/>
              <w:right w:w="120" w:type="dxa"/>
            </w:tcMar>
            <w:shd w:fill="F8FAFC"/>
          </w:tcPr>
          <w:p>
            <w:pPr>
              <w:spacing w:before="40" w:after="40"/>
            </w:pPr>
            <w:r>
              <w:rPr>
                <w:color w:val="1E293B"/>
                <w:sz w:val="17"/>
              </w:rPr>
              <w:t>Balance Sheet</w:t>
            </w:r>
          </w:p>
        </w:tc>
        <w:tc>
          <w:tcPr>
            <w:tcW w:type="dxa" w:w="1584"/>
            <w:vAlign w:val="center"/>
            <w:tcMar>
              <w:top w:w="100" w:type="dxa"/>
              <w:bottom w:w="100" w:type="dxa"/>
              <w:left w:w="120" w:type="dxa"/>
              <w:right w:w="120" w:type="dxa"/>
            </w:tcMar>
            <w:shd w:fill="F8FAFC"/>
          </w:tcPr>
          <w:p>
            <w:pPr>
              <w:spacing w:before="40" w:after="40"/>
            </w:pPr>
            <w:r>
              <w:rPr>
                <w:color w:val="1E293B"/>
                <w:sz w:val="17"/>
              </w:rPr>
              <w:t>Debit (Dr)</w:t>
            </w:r>
          </w:p>
        </w:tc>
        <w:tc>
          <w:tcPr>
            <w:tcW w:type="dxa" w:w="3456"/>
            <w:vAlign w:val="center"/>
            <w:tcMar>
              <w:top w:w="100" w:type="dxa"/>
              <w:bottom w:w="100" w:type="dxa"/>
              <w:left w:w="120" w:type="dxa"/>
              <w:right w:w="120" w:type="dxa"/>
            </w:tcMar>
            <w:shd w:fill="F8FAFC"/>
          </w:tcPr>
          <w:p>
            <w:pPr>
              <w:spacing w:before="40" w:after="40"/>
            </w:pPr>
            <w:r>
              <w:rPr>
                <w:color w:val="1E293B"/>
                <w:sz w:val="17"/>
              </w:rPr>
              <w:t>Cash, Bank Accounts, Sundry Debtors, Stock-in-Hand, Fixed Assets, GST Input Credit</w:t>
            </w:r>
          </w:p>
        </w:tc>
      </w:tr>
      <w:tr>
        <w:trPr>
          <w:cantSplit/>
        </w:trPr>
        <w:tc>
          <w:tcPr>
            <w:tcW w:type="dxa" w:w="1152"/>
            <w:vAlign w:val="center"/>
            <w:tcMar>
              <w:top w:w="100" w:type="dxa"/>
              <w:bottom w:w="100" w:type="dxa"/>
              <w:left w:w="120" w:type="dxa"/>
              <w:right w:w="120" w:type="dxa"/>
            </w:tcMar>
            <w:shd w:fill="FFFFFF"/>
          </w:tcPr>
          <w:p>
            <w:pPr>
              <w:spacing w:before="40" w:after="40"/>
            </w:pPr>
            <w:r>
              <w:rPr>
                <w:color w:val="1E293B"/>
                <w:sz w:val="17"/>
              </w:rPr>
              <w:t>2000</w:t>
            </w:r>
          </w:p>
        </w:tc>
        <w:tc>
          <w:tcPr>
            <w:tcW w:type="dxa" w:w="1728"/>
            <w:vAlign w:val="center"/>
            <w:tcMar>
              <w:top w:w="100" w:type="dxa"/>
              <w:bottom w:w="100" w:type="dxa"/>
              <w:left w:w="120" w:type="dxa"/>
              <w:right w:w="120" w:type="dxa"/>
            </w:tcMar>
            <w:shd w:fill="FFFFFF"/>
          </w:tcPr>
          <w:p>
            <w:pPr>
              <w:spacing w:before="40" w:after="40"/>
            </w:pPr>
            <w:r>
              <w:rPr>
                <w:color w:val="1E293B"/>
                <w:sz w:val="17"/>
              </w:rPr>
              <w:t>Liabilities</w:t>
            </w:r>
          </w:p>
        </w:tc>
        <w:tc>
          <w:tcPr>
            <w:tcW w:type="dxa" w:w="1872"/>
            <w:vAlign w:val="center"/>
            <w:tcMar>
              <w:top w:w="100" w:type="dxa"/>
              <w:bottom w:w="100" w:type="dxa"/>
              <w:left w:w="120" w:type="dxa"/>
              <w:right w:w="120" w:type="dxa"/>
            </w:tcMar>
            <w:shd w:fill="FFFFFF"/>
          </w:tcPr>
          <w:p>
            <w:pPr>
              <w:spacing w:before="40" w:after="40"/>
            </w:pPr>
            <w:r>
              <w:rPr>
                <w:color w:val="1E293B"/>
                <w:sz w:val="17"/>
              </w:rPr>
              <w:t>Balance Sheet</w:t>
            </w:r>
          </w:p>
        </w:tc>
        <w:tc>
          <w:tcPr>
            <w:tcW w:type="dxa" w:w="1584"/>
            <w:vAlign w:val="center"/>
            <w:tcMar>
              <w:top w:w="100" w:type="dxa"/>
              <w:bottom w:w="100" w:type="dxa"/>
              <w:left w:w="120" w:type="dxa"/>
              <w:right w:w="120" w:type="dxa"/>
            </w:tcMar>
            <w:shd w:fill="FFFFFF"/>
          </w:tcPr>
          <w:p>
            <w:pPr>
              <w:spacing w:before="40" w:after="40"/>
            </w:pPr>
            <w:r>
              <w:rPr>
                <w:color w:val="1E293B"/>
                <w:sz w:val="17"/>
              </w:rPr>
              <w:t>Credit (Cr)</w:t>
            </w:r>
          </w:p>
        </w:tc>
        <w:tc>
          <w:tcPr>
            <w:tcW w:type="dxa" w:w="3456"/>
            <w:vAlign w:val="center"/>
            <w:tcMar>
              <w:top w:w="100" w:type="dxa"/>
              <w:bottom w:w="100" w:type="dxa"/>
              <w:left w:w="120" w:type="dxa"/>
              <w:right w:w="120" w:type="dxa"/>
            </w:tcMar>
            <w:shd w:fill="FFFFFF"/>
          </w:tcPr>
          <w:p>
            <w:pPr>
              <w:spacing w:before="40" w:after="40"/>
            </w:pPr>
            <w:r>
              <w:rPr>
                <w:color w:val="1E293B"/>
                <w:sz w:val="17"/>
              </w:rPr>
              <w:t>Sundry Creditors (AP), Duties &amp; Taxes (GST Output), Loans Payable, Provisions</w:t>
            </w:r>
          </w:p>
        </w:tc>
      </w:tr>
      <w:tr>
        <w:trPr>
          <w:cantSplit/>
        </w:trPr>
        <w:tc>
          <w:tcPr>
            <w:tcW w:type="dxa" w:w="1152"/>
            <w:vAlign w:val="center"/>
            <w:tcMar>
              <w:top w:w="100" w:type="dxa"/>
              <w:bottom w:w="100" w:type="dxa"/>
              <w:left w:w="120" w:type="dxa"/>
              <w:right w:w="120" w:type="dxa"/>
            </w:tcMar>
            <w:shd w:fill="F8FAFC"/>
          </w:tcPr>
          <w:p>
            <w:pPr>
              <w:spacing w:before="40" w:after="40"/>
            </w:pPr>
            <w:r>
              <w:rPr>
                <w:color w:val="1E293B"/>
                <w:sz w:val="17"/>
              </w:rPr>
              <w:t>3000</w:t>
            </w:r>
          </w:p>
        </w:tc>
        <w:tc>
          <w:tcPr>
            <w:tcW w:type="dxa" w:w="1728"/>
            <w:vAlign w:val="center"/>
            <w:tcMar>
              <w:top w:w="100" w:type="dxa"/>
              <w:bottom w:w="100" w:type="dxa"/>
              <w:left w:w="120" w:type="dxa"/>
              <w:right w:w="120" w:type="dxa"/>
            </w:tcMar>
            <w:shd w:fill="F8FAFC"/>
          </w:tcPr>
          <w:p>
            <w:pPr>
              <w:spacing w:before="40" w:after="40"/>
            </w:pPr>
            <w:r>
              <w:rPr>
                <w:color w:val="1E293B"/>
                <w:sz w:val="17"/>
              </w:rPr>
              <w:t>Equity</w:t>
            </w:r>
          </w:p>
        </w:tc>
        <w:tc>
          <w:tcPr>
            <w:tcW w:type="dxa" w:w="1872"/>
            <w:vAlign w:val="center"/>
            <w:tcMar>
              <w:top w:w="100" w:type="dxa"/>
              <w:bottom w:w="100" w:type="dxa"/>
              <w:left w:w="120" w:type="dxa"/>
              <w:right w:w="120" w:type="dxa"/>
            </w:tcMar>
            <w:shd w:fill="F8FAFC"/>
          </w:tcPr>
          <w:p>
            <w:pPr>
              <w:spacing w:before="40" w:after="40"/>
            </w:pPr>
            <w:r>
              <w:rPr>
                <w:color w:val="1E293B"/>
                <w:sz w:val="17"/>
              </w:rPr>
              <w:t>Balance Sheet</w:t>
            </w:r>
          </w:p>
        </w:tc>
        <w:tc>
          <w:tcPr>
            <w:tcW w:type="dxa" w:w="1584"/>
            <w:vAlign w:val="center"/>
            <w:tcMar>
              <w:top w:w="100" w:type="dxa"/>
              <w:bottom w:w="100" w:type="dxa"/>
              <w:left w:w="120" w:type="dxa"/>
              <w:right w:w="120" w:type="dxa"/>
            </w:tcMar>
            <w:shd w:fill="F8FAFC"/>
          </w:tcPr>
          <w:p>
            <w:pPr>
              <w:spacing w:before="40" w:after="40"/>
            </w:pPr>
            <w:r>
              <w:rPr>
                <w:color w:val="1E293B"/>
                <w:sz w:val="17"/>
              </w:rPr>
              <w:t>Credit (Cr)</w:t>
            </w:r>
          </w:p>
        </w:tc>
        <w:tc>
          <w:tcPr>
            <w:tcW w:type="dxa" w:w="3456"/>
            <w:vAlign w:val="center"/>
            <w:tcMar>
              <w:top w:w="100" w:type="dxa"/>
              <w:bottom w:w="100" w:type="dxa"/>
              <w:left w:w="120" w:type="dxa"/>
              <w:right w:w="120" w:type="dxa"/>
            </w:tcMar>
            <w:shd w:fill="F8FAFC"/>
          </w:tcPr>
          <w:p>
            <w:pPr>
              <w:spacing w:before="40" w:after="40"/>
            </w:pPr>
            <w:r>
              <w:rPr>
                <w:color w:val="1E293B"/>
                <w:sz w:val="17"/>
              </w:rPr>
              <w:t>Share Capital, Partners Capital, Reserves &amp; Surplus, Retained Earnings</w:t>
            </w:r>
          </w:p>
        </w:tc>
      </w:tr>
      <w:tr>
        <w:trPr>
          <w:cantSplit/>
        </w:trPr>
        <w:tc>
          <w:tcPr>
            <w:tcW w:type="dxa" w:w="1152"/>
            <w:vAlign w:val="center"/>
            <w:tcMar>
              <w:top w:w="100" w:type="dxa"/>
              <w:bottom w:w="100" w:type="dxa"/>
              <w:left w:w="120" w:type="dxa"/>
              <w:right w:w="120" w:type="dxa"/>
            </w:tcMar>
            <w:shd w:fill="FFFFFF"/>
          </w:tcPr>
          <w:p>
            <w:pPr>
              <w:spacing w:before="40" w:after="40"/>
            </w:pPr>
            <w:r>
              <w:rPr>
                <w:color w:val="1E293B"/>
                <w:sz w:val="17"/>
              </w:rPr>
              <w:t>4000</w:t>
            </w:r>
          </w:p>
        </w:tc>
        <w:tc>
          <w:tcPr>
            <w:tcW w:type="dxa" w:w="1728"/>
            <w:vAlign w:val="center"/>
            <w:tcMar>
              <w:top w:w="100" w:type="dxa"/>
              <w:bottom w:w="100" w:type="dxa"/>
              <w:left w:w="120" w:type="dxa"/>
              <w:right w:w="120" w:type="dxa"/>
            </w:tcMar>
            <w:shd w:fill="FFFFFF"/>
          </w:tcPr>
          <w:p>
            <w:pPr>
              <w:spacing w:before="40" w:after="40"/>
            </w:pPr>
            <w:r>
              <w:rPr>
                <w:color w:val="1E293B"/>
                <w:sz w:val="17"/>
              </w:rPr>
              <w:t>Revenue</w:t>
            </w:r>
          </w:p>
        </w:tc>
        <w:tc>
          <w:tcPr>
            <w:tcW w:type="dxa" w:w="1872"/>
            <w:vAlign w:val="center"/>
            <w:tcMar>
              <w:top w:w="100" w:type="dxa"/>
              <w:bottom w:w="100" w:type="dxa"/>
              <w:left w:w="120" w:type="dxa"/>
              <w:right w:w="120" w:type="dxa"/>
            </w:tcMar>
            <w:shd w:fill="FFFFFF"/>
          </w:tcPr>
          <w:p>
            <w:pPr>
              <w:spacing w:before="40" w:after="40"/>
            </w:pPr>
            <w:r>
              <w:rPr>
                <w:color w:val="1E293B"/>
                <w:sz w:val="17"/>
              </w:rPr>
              <w:t>Profit &amp; Loss</w:t>
            </w:r>
          </w:p>
        </w:tc>
        <w:tc>
          <w:tcPr>
            <w:tcW w:type="dxa" w:w="1584"/>
            <w:vAlign w:val="center"/>
            <w:tcMar>
              <w:top w:w="100" w:type="dxa"/>
              <w:bottom w:w="100" w:type="dxa"/>
              <w:left w:w="120" w:type="dxa"/>
              <w:right w:w="120" w:type="dxa"/>
            </w:tcMar>
            <w:shd w:fill="FFFFFF"/>
          </w:tcPr>
          <w:p>
            <w:pPr>
              <w:spacing w:before="40" w:after="40"/>
            </w:pPr>
            <w:r>
              <w:rPr>
                <w:color w:val="1E293B"/>
                <w:sz w:val="17"/>
              </w:rPr>
              <w:t>Credit (Cr)</w:t>
            </w:r>
          </w:p>
        </w:tc>
        <w:tc>
          <w:tcPr>
            <w:tcW w:type="dxa" w:w="3456"/>
            <w:vAlign w:val="center"/>
            <w:tcMar>
              <w:top w:w="100" w:type="dxa"/>
              <w:bottom w:w="100" w:type="dxa"/>
              <w:left w:w="120" w:type="dxa"/>
              <w:right w:w="120" w:type="dxa"/>
            </w:tcMar>
            <w:shd w:fill="FFFFFF"/>
          </w:tcPr>
          <w:p>
            <w:pPr>
              <w:spacing w:before="40" w:after="40"/>
            </w:pPr>
            <w:r>
              <w:rPr>
                <w:color w:val="1E293B"/>
                <w:sz w:val="17"/>
              </w:rPr>
              <w:t>Domestic Sales, Export Sales, Scrap Sales, Interest Received, Commission Income</w:t>
            </w:r>
          </w:p>
        </w:tc>
      </w:tr>
      <w:tr>
        <w:trPr>
          <w:cantSplit/>
        </w:trPr>
        <w:tc>
          <w:tcPr>
            <w:tcW w:type="dxa" w:w="1152"/>
            <w:vAlign w:val="center"/>
            <w:tcMar>
              <w:top w:w="100" w:type="dxa"/>
              <w:bottom w:w="100" w:type="dxa"/>
              <w:left w:w="120" w:type="dxa"/>
              <w:right w:w="120" w:type="dxa"/>
            </w:tcMar>
            <w:shd w:fill="F8FAFC"/>
          </w:tcPr>
          <w:p>
            <w:pPr>
              <w:spacing w:before="40" w:after="40"/>
            </w:pPr>
            <w:r>
              <w:rPr>
                <w:color w:val="1E293B"/>
                <w:sz w:val="17"/>
              </w:rPr>
              <w:t>5000</w:t>
            </w:r>
          </w:p>
        </w:tc>
        <w:tc>
          <w:tcPr>
            <w:tcW w:type="dxa" w:w="1728"/>
            <w:vAlign w:val="center"/>
            <w:tcMar>
              <w:top w:w="100" w:type="dxa"/>
              <w:bottom w:w="100" w:type="dxa"/>
              <w:left w:w="120" w:type="dxa"/>
              <w:right w:w="120" w:type="dxa"/>
            </w:tcMar>
            <w:shd w:fill="F8FAFC"/>
          </w:tcPr>
          <w:p>
            <w:pPr>
              <w:spacing w:before="40" w:after="40"/>
            </w:pPr>
            <w:r>
              <w:rPr>
                <w:color w:val="1E293B"/>
                <w:sz w:val="17"/>
              </w:rPr>
              <w:t>Expenses</w:t>
            </w:r>
          </w:p>
        </w:tc>
        <w:tc>
          <w:tcPr>
            <w:tcW w:type="dxa" w:w="1872"/>
            <w:vAlign w:val="center"/>
            <w:tcMar>
              <w:top w:w="100" w:type="dxa"/>
              <w:bottom w:w="100" w:type="dxa"/>
              <w:left w:w="120" w:type="dxa"/>
              <w:right w:w="120" w:type="dxa"/>
            </w:tcMar>
            <w:shd w:fill="F8FAFC"/>
          </w:tcPr>
          <w:p>
            <w:pPr>
              <w:spacing w:before="40" w:after="40"/>
            </w:pPr>
            <w:r>
              <w:rPr>
                <w:color w:val="1E293B"/>
                <w:sz w:val="17"/>
              </w:rPr>
              <w:t>Profit &amp; Loss</w:t>
            </w:r>
          </w:p>
        </w:tc>
        <w:tc>
          <w:tcPr>
            <w:tcW w:type="dxa" w:w="1584"/>
            <w:vAlign w:val="center"/>
            <w:tcMar>
              <w:top w:w="100" w:type="dxa"/>
              <w:bottom w:w="100" w:type="dxa"/>
              <w:left w:w="120" w:type="dxa"/>
              <w:right w:w="120" w:type="dxa"/>
            </w:tcMar>
            <w:shd w:fill="F8FAFC"/>
          </w:tcPr>
          <w:p>
            <w:pPr>
              <w:spacing w:before="40" w:after="40"/>
            </w:pPr>
            <w:r>
              <w:rPr>
                <w:color w:val="1E293B"/>
                <w:sz w:val="17"/>
              </w:rPr>
              <w:t>Debit (Dr)</w:t>
            </w:r>
          </w:p>
        </w:tc>
        <w:tc>
          <w:tcPr>
            <w:tcW w:type="dxa" w:w="3456"/>
            <w:vAlign w:val="center"/>
            <w:tcMar>
              <w:top w:w="100" w:type="dxa"/>
              <w:bottom w:w="100" w:type="dxa"/>
              <w:left w:w="120" w:type="dxa"/>
              <w:right w:w="120" w:type="dxa"/>
            </w:tcMar>
            <w:shd w:fill="F8FAFC"/>
          </w:tcPr>
          <w:p>
            <w:pPr>
              <w:spacing w:before="40" w:after="40"/>
            </w:pPr>
            <w:r>
              <w:rPr>
                <w:color w:val="1E293B"/>
                <w:sz w:val="17"/>
              </w:rPr>
              <w:t>Cost of Goods Sold (COGS), Purchase Accounts, Salaries, Freight, Depreciation</w:t>
            </w:r>
          </w:p>
        </w:tc>
      </w:tr>
    </w:tbl>
    <w:p/>
    <w:p>
      <w:pPr>
        <w:pStyle w:val="Heading1"/>
        <w:spacing w:before="280"/>
      </w:pPr>
      <w:r>
        <w:t>2. Master Global Comparison: Architectural Paradigms</w:t>
      </w:r>
    </w:p>
    <w:p>
      <w:r>
        <w:t>To build the ultimate ERP architecture, we must analyze the structural strengths and trade-offs of leading systems—from enterprise titans (SAP S/4HANA, NetSuite, Dynamics 365) to high-speed SME distribution powerhouses (TallyPrime, Marg ERP).</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1680"/>
        <w:gridCol w:w="1680"/>
        <w:gridCol w:w="1680"/>
        <w:gridCol w:w="1680"/>
        <w:gridCol w:w="1680"/>
        <w:gridCol w:w="1680"/>
      </w:tblGrid>
      <w:tr>
        <w:trPr>
          <w:cantSplit/>
          <w:tblHeader/>
        </w:trPr>
        <w:tc>
          <w:tcPr>
            <w:tcW w:type="dxa" w:w="1728"/>
            <w:vAlign w:val="center"/>
            <w:tcMar>
              <w:top w:w="100" w:type="dxa"/>
              <w:bottom w:w="100" w:type="dxa"/>
              <w:left w:w="120" w:type="dxa"/>
              <w:right w:w="120" w:type="dxa"/>
            </w:tcMar>
            <w:shd w:fill="1E293B"/>
          </w:tcPr>
          <w:p>
            <w:pPr>
              <w:spacing w:before="40" w:after="40"/>
            </w:pPr>
            <w:r>
              <w:rPr>
                <w:b/>
                <w:color w:val="FFFFFF"/>
                <w:sz w:val="18"/>
              </w:rPr>
              <w:t>Architectural Dimension</w:t>
            </w:r>
          </w:p>
        </w:tc>
        <w:tc>
          <w:tcPr>
            <w:tcW w:type="dxa" w:w="1584"/>
            <w:vAlign w:val="center"/>
            <w:tcMar>
              <w:top w:w="100" w:type="dxa"/>
              <w:bottom w:w="100" w:type="dxa"/>
              <w:left w:w="120" w:type="dxa"/>
              <w:right w:w="120" w:type="dxa"/>
            </w:tcMar>
            <w:shd w:fill="1E293B"/>
          </w:tcPr>
          <w:p>
            <w:pPr>
              <w:spacing w:before="40" w:after="40"/>
            </w:pPr>
            <w:r>
              <w:rPr>
                <w:b/>
                <w:color w:val="FFFFFF"/>
                <w:sz w:val="18"/>
              </w:rPr>
              <w:t>SAP S/4HANA</w:t>
            </w:r>
          </w:p>
        </w:tc>
        <w:tc>
          <w:tcPr>
            <w:tcW w:type="dxa" w:w="1584"/>
            <w:vAlign w:val="center"/>
            <w:tcMar>
              <w:top w:w="100" w:type="dxa"/>
              <w:bottom w:w="100" w:type="dxa"/>
              <w:left w:w="120" w:type="dxa"/>
              <w:right w:w="120" w:type="dxa"/>
            </w:tcMar>
            <w:shd w:fill="1E293B"/>
          </w:tcPr>
          <w:p>
            <w:pPr>
              <w:spacing w:before="40" w:after="40"/>
            </w:pPr>
            <w:r>
              <w:rPr>
                <w:b/>
                <w:color w:val="FFFFFF"/>
                <w:sz w:val="18"/>
              </w:rPr>
              <w:t>Oracle NetSuite</w:t>
            </w:r>
          </w:p>
        </w:tc>
        <w:tc>
          <w:tcPr>
            <w:tcW w:type="dxa" w:w="1584"/>
            <w:vAlign w:val="center"/>
            <w:tcMar>
              <w:top w:w="100" w:type="dxa"/>
              <w:bottom w:w="100" w:type="dxa"/>
              <w:left w:w="120" w:type="dxa"/>
              <w:right w:w="120" w:type="dxa"/>
            </w:tcMar>
            <w:shd w:fill="1E293B"/>
          </w:tcPr>
          <w:p>
            <w:pPr>
              <w:spacing w:before="40" w:after="40"/>
            </w:pPr>
            <w:r>
              <w:rPr>
                <w:b/>
                <w:color w:val="FFFFFF"/>
                <w:sz w:val="18"/>
              </w:rPr>
              <w:t>MS Dynamics 365</w:t>
            </w:r>
          </w:p>
        </w:tc>
        <w:tc>
          <w:tcPr>
            <w:tcW w:type="dxa" w:w="1584"/>
            <w:vAlign w:val="center"/>
            <w:tcMar>
              <w:top w:w="100" w:type="dxa"/>
              <w:bottom w:w="100" w:type="dxa"/>
              <w:left w:w="120" w:type="dxa"/>
              <w:right w:w="120" w:type="dxa"/>
            </w:tcMar>
            <w:shd w:fill="1E293B"/>
          </w:tcPr>
          <w:p>
            <w:pPr>
              <w:spacing w:before="40" w:after="40"/>
            </w:pPr>
            <w:r>
              <w:rPr>
                <w:b/>
                <w:color w:val="FFFFFF"/>
                <w:sz w:val="18"/>
              </w:rPr>
              <w:t>TallyPrime / Marg ERP</w:t>
            </w:r>
          </w:p>
        </w:tc>
        <w:tc>
          <w:tcPr>
            <w:tcW w:type="dxa" w:w="1728"/>
            <w:vAlign w:val="center"/>
            <w:tcMar>
              <w:top w:w="100" w:type="dxa"/>
              <w:bottom w:w="100" w:type="dxa"/>
              <w:left w:w="120" w:type="dxa"/>
              <w:right w:w="120" w:type="dxa"/>
            </w:tcMar>
            <w:shd w:fill="1E293B"/>
          </w:tcPr>
          <w:p>
            <w:pPr>
              <w:spacing w:before="40" w:after="40"/>
            </w:pPr>
            <w:r>
              <w:rPr>
                <w:b/>
                <w:color w:val="FFFFFF"/>
                <w:sz w:val="18"/>
              </w:rPr>
              <w:t>Our Modern Custom ERP</w:t>
            </w:r>
          </w:p>
        </w:tc>
      </w:tr>
      <w:tr>
        <w:trPr>
          <w:cantSplit/>
        </w:trPr>
        <w:tc>
          <w:tcPr>
            <w:tcW w:type="dxa" w:w="1728"/>
            <w:vAlign w:val="center"/>
            <w:tcMar>
              <w:top w:w="100" w:type="dxa"/>
              <w:bottom w:w="100" w:type="dxa"/>
              <w:left w:w="120" w:type="dxa"/>
              <w:right w:w="120" w:type="dxa"/>
            </w:tcMar>
            <w:shd w:fill="F8FAFC"/>
          </w:tcPr>
          <w:p>
            <w:pPr>
              <w:spacing w:before="40" w:after="40"/>
            </w:pPr>
            <w:r>
              <w:rPr>
                <w:color w:val="1E293B"/>
                <w:sz w:val="17"/>
              </w:rPr>
              <w:t>Data Model &amp; Core Engine</w:t>
            </w:r>
          </w:p>
        </w:tc>
        <w:tc>
          <w:tcPr>
            <w:tcW w:type="dxa" w:w="1584"/>
            <w:vAlign w:val="center"/>
            <w:tcMar>
              <w:top w:w="100" w:type="dxa"/>
              <w:bottom w:w="100" w:type="dxa"/>
              <w:left w:w="120" w:type="dxa"/>
              <w:right w:w="120" w:type="dxa"/>
            </w:tcMar>
            <w:shd w:fill="F8FAFC"/>
          </w:tcPr>
          <w:p>
            <w:pPr>
              <w:spacing w:before="40" w:after="40"/>
            </w:pPr>
            <w:r>
              <w:rPr>
                <w:color w:val="1E293B"/>
                <w:sz w:val="17"/>
              </w:rPr>
              <w:t>Universal Journal (ACDOCA table). Hyper-converged GL, CO, AA, ML into one table.</w:t>
            </w:r>
          </w:p>
        </w:tc>
        <w:tc>
          <w:tcPr>
            <w:tcW w:type="dxa" w:w="1584"/>
            <w:vAlign w:val="center"/>
            <w:tcMar>
              <w:top w:w="100" w:type="dxa"/>
              <w:bottom w:w="100" w:type="dxa"/>
              <w:left w:w="120" w:type="dxa"/>
              <w:right w:w="120" w:type="dxa"/>
            </w:tcMar>
            <w:shd w:fill="F8FAFC"/>
          </w:tcPr>
          <w:p>
            <w:pPr>
              <w:spacing w:before="40" w:after="40"/>
            </w:pPr>
            <w:r>
              <w:rPr>
                <w:color w:val="1E293B"/>
                <w:sz w:val="17"/>
              </w:rPr>
              <w:t>Single TransactionLine table with polymorphic type discrimination.</w:t>
            </w:r>
          </w:p>
        </w:tc>
        <w:tc>
          <w:tcPr>
            <w:tcW w:type="dxa" w:w="1584"/>
            <w:vAlign w:val="center"/>
            <w:tcMar>
              <w:top w:w="100" w:type="dxa"/>
              <w:bottom w:w="100" w:type="dxa"/>
              <w:left w:w="120" w:type="dxa"/>
              <w:right w:w="120" w:type="dxa"/>
            </w:tcMar>
            <w:shd w:fill="F8FAFC"/>
          </w:tcPr>
          <w:p>
            <w:pPr>
              <w:spacing w:before="40" w:after="40"/>
            </w:pPr>
            <w:r>
              <w:rPr>
                <w:color w:val="1E293B"/>
                <w:sz w:val="17"/>
              </w:rPr>
              <w:t>GeneralJournalEntry &amp; SubledgerJournal tables with dimension sets.</w:t>
            </w:r>
          </w:p>
        </w:tc>
        <w:tc>
          <w:tcPr>
            <w:tcW w:type="dxa" w:w="1584"/>
            <w:vAlign w:val="center"/>
            <w:tcMar>
              <w:top w:w="100" w:type="dxa"/>
              <w:bottom w:w="100" w:type="dxa"/>
              <w:left w:w="120" w:type="dxa"/>
              <w:right w:w="120" w:type="dxa"/>
            </w:tcMar>
            <w:shd w:fill="F8FAFC"/>
          </w:tcPr>
          <w:p>
            <w:pPr>
              <w:spacing w:before="40" w:after="40"/>
            </w:pPr>
            <w:r>
              <w:rPr>
                <w:color w:val="1E293B"/>
                <w:sz w:val="17"/>
              </w:rPr>
              <w:t>Proprietary hierarchical flat-file / C-ISAM XML data store.</w:t>
            </w:r>
          </w:p>
        </w:tc>
        <w:tc>
          <w:tcPr>
            <w:tcW w:type="dxa" w:w="1728"/>
            <w:vAlign w:val="center"/>
            <w:tcMar>
              <w:top w:w="100" w:type="dxa"/>
              <w:bottom w:w="100" w:type="dxa"/>
              <w:left w:w="120" w:type="dxa"/>
              <w:right w:w="120" w:type="dxa"/>
            </w:tcMar>
            <w:shd w:fill="F8FAFC"/>
          </w:tcPr>
          <w:p>
            <w:pPr>
              <w:spacing w:before="40" w:after="40"/>
            </w:pPr>
            <w:r>
              <w:rPr>
                <w:color w:val="1E293B"/>
                <w:sz w:val="17"/>
              </w:rPr>
              <w:t>CQRS Append-Only Double-Entry Journal on PostgreSQL with Redis Cache.</w:t>
            </w:r>
          </w:p>
        </w:tc>
      </w:tr>
      <w:tr>
        <w:trPr>
          <w:cantSplit/>
        </w:trPr>
        <w:tc>
          <w:tcPr>
            <w:tcW w:type="dxa" w:w="1728"/>
            <w:vAlign w:val="center"/>
            <w:tcMar>
              <w:top w:w="100" w:type="dxa"/>
              <w:bottom w:w="100" w:type="dxa"/>
              <w:left w:w="120" w:type="dxa"/>
              <w:right w:w="120" w:type="dxa"/>
            </w:tcMar>
            <w:shd w:fill="FFFFFF"/>
          </w:tcPr>
          <w:p>
            <w:pPr>
              <w:spacing w:before="40" w:after="40"/>
            </w:pPr>
            <w:r>
              <w:rPr>
                <w:color w:val="1E293B"/>
                <w:sz w:val="17"/>
              </w:rPr>
              <w:t>Concurrency &amp; Scale</w:t>
            </w:r>
          </w:p>
        </w:tc>
        <w:tc>
          <w:tcPr>
            <w:tcW w:type="dxa" w:w="1584"/>
            <w:vAlign w:val="center"/>
            <w:tcMar>
              <w:top w:w="100" w:type="dxa"/>
              <w:bottom w:w="100" w:type="dxa"/>
              <w:left w:w="120" w:type="dxa"/>
              <w:right w:w="120" w:type="dxa"/>
            </w:tcMar>
            <w:shd w:fill="FFFFFF"/>
          </w:tcPr>
          <w:p>
            <w:pPr>
              <w:spacing w:before="40" w:after="40"/>
            </w:pPr>
            <w:r>
              <w:rPr>
                <w:color w:val="1E293B"/>
                <w:sz w:val="17"/>
              </w:rPr>
              <w:t>In-Memory SAP HANA. Row/Column store with high concurrency.</w:t>
            </w:r>
          </w:p>
        </w:tc>
        <w:tc>
          <w:tcPr>
            <w:tcW w:type="dxa" w:w="1584"/>
            <w:vAlign w:val="center"/>
            <w:tcMar>
              <w:top w:w="100" w:type="dxa"/>
              <w:bottom w:w="100" w:type="dxa"/>
              <w:left w:w="120" w:type="dxa"/>
              <w:right w:w="120" w:type="dxa"/>
            </w:tcMar>
            <w:shd w:fill="FFFFFF"/>
          </w:tcPr>
          <w:p>
            <w:pPr>
              <w:spacing w:before="40" w:after="40"/>
            </w:pPr>
            <w:r>
              <w:rPr>
                <w:color w:val="1E293B"/>
                <w:sz w:val="17"/>
              </w:rPr>
              <w:t>Oracle DB Multi-tenant. Heavy queue-based background processing.</w:t>
            </w:r>
          </w:p>
        </w:tc>
        <w:tc>
          <w:tcPr>
            <w:tcW w:type="dxa" w:w="1584"/>
            <w:vAlign w:val="center"/>
            <w:tcMar>
              <w:top w:w="100" w:type="dxa"/>
              <w:bottom w:w="100" w:type="dxa"/>
              <w:left w:w="120" w:type="dxa"/>
              <w:right w:w="120" w:type="dxa"/>
            </w:tcMar>
            <w:shd w:fill="FFFFFF"/>
          </w:tcPr>
          <w:p>
            <w:pPr>
              <w:spacing w:before="40" w:after="40"/>
            </w:pPr>
            <w:r>
              <w:rPr>
                <w:color w:val="1E293B"/>
                <w:sz w:val="17"/>
              </w:rPr>
              <w:t>Azure SQL Elastic Pools. Moderate to high concurrency.</w:t>
            </w:r>
          </w:p>
        </w:tc>
        <w:tc>
          <w:tcPr>
            <w:tcW w:type="dxa" w:w="1584"/>
            <w:vAlign w:val="center"/>
            <w:tcMar>
              <w:top w:w="100" w:type="dxa"/>
              <w:bottom w:w="100" w:type="dxa"/>
              <w:left w:w="120" w:type="dxa"/>
              <w:right w:w="120" w:type="dxa"/>
            </w:tcMar>
            <w:shd w:fill="FFFFFF"/>
          </w:tcPr>
          <w:p>
            <w:pPr>
              <w:spacing w:before="40" w:after="40"/>
            </w:pPr>
            <w:r>
              <w:rPr>
                <w:color w:val="1E293B"/>
                <w:sz w:val="17"/>
              </w:rPr>
              <w:t>Single-writer bottleneck. Row/table lock contention on concurrent sales.</w:t>
            </w:r>
          </w:p>
        </w:tc>
        <w:tc>
          <w:tcPr>
            <w:tcW w:type="dxa" w:w="1728"/>
            <w:vAlign w:val="center"/>
            <w:tcMar>
              <w:top w:w="100" w:type="dxa"/>
              <w:bottom w:w="100" w:type="dxa"/>
              <w:left w:w="120" w:type="dxa"/>
              <w:right w:w="120" w:type="dxa"/>
            </w:tcMar>
            <w:shd w:fill="FFFFFF"/>
          </w:tcPr>
          <w:p>
            <w:pPr>
              <w:spacing w:before="40" w:after="40"/>
            </w:pPr>
            <w:r>
              <w:rPr>
                <w:color w:val="1E293B"/>
                <w:sz w:val="17"/>
              </w:rPr>
              <w:t>Zero-lock sequential append ingestion with lexicographical lock sorting.</w:t>
            </w:r>
          </w:p>
        </w:tc>
      </w:tr>
      <w:tr>
        <w:trPr>
          <w:cantSplit/>
        </w:trPr>
        <w:tc>
          <w:tcPr>
            <w:tcW w:type="dxa" w:w="1728"/>
            <w:vAlign w:val="center"/>
            <w:tcMar>
              <w:top w:w="100" w:type="dxa"/>
              <w:bottom w:w="100" w:type="dxa"/>
              <w:left w:w="120" w:type="dxa"/>
              <w:right w:w="120" w:type="dxa"/>
            </w:tcMar>
            <w:shd w:fill="F8FAFC"/>
          </w:tcPr>
          <w:p>
            <w:pPr>
              <w:spacing w:before="40" w:after="40"/>
            </w:pPr>
            <w:r>
              <w:rPr>
                <w:color w:val="1E293B"/>
                <w:sz w:val="17"/>
              </w:rPr>
              <w:t>Shipping &amp; Logistics Bridge</w:t>
            </w:r>
          </w:p>
        </w:tc>
        <w:tc>
          <w:tcPr>
            <w:tcW w:type="dxa" w:w="1584"/>
            <w:vAlign w:val="center"/>
            <w:tcMar>
              <w:top w:w="100" w:type="dxa"/>
              <w:bottom w:w="100" w:type="dxa"/>
              <w:left w:w="120" w:type="dxa"/>
              <w:right w:w="120" w:type="dxa"/>
            </w:tcMar>
            <w:shd w:fill="F8FAFC"/>
          </w:tcPr>
          <w:p>
            <w:pPr>
              <w:spacing w:before="40" w:after="40"/>
            </w:pPr>
            <w:r>
              <w:rPr>
                <w:color w:val="1E293B"/>
                <w:sz w:val="17"/>
              </w:rPr>
              <w:t>Outbound Delivery -&gt; Post Goods Issue (PGI) auto-posts [Dr COGS / Cr Stock].</w:t>
            </w:r>
          </w:p>
        </w:tc>
        <w:tc>
          <w:tcPr>
            <w:tcW w:type="dxa" w:w="1584"/>
            <w:vAlign w:val="center"/>
            <w:tcMar>
              <w:top w:w="100" w:type="dxa"/>
              <w:bottom w:w="100" w:type="dxa"/>
              <w:left w:w="120" w:type="dxa"/>
              <w:right w:w="120" w:type="dxa"/>
            </w:tcMar>
            <w:shd w:fill="F8FAFC"/>
          </w:tcPr>
          <w:p>
            <w:pPr>
              <w:spacing w:before="40" w:after="40"/>
            </w:pPr>
            <w:r>
              <w:rPr>
                <w:color w:val="1E293B"/>
                <w:sz w:val="17"/>
              </w:rPr>
              <w:t>Item Fulfillment (Shipped status) generates synchronous COGS journal.</w:t>
            </w:r>
          </w:p>
        </w:tc>
        <w:tc>
          <w:tcPr>
            <w:tcW w:type="dxa" w:w="1584"/>
            <w:vAlign w:val="center"/>
            <w:tcMar>
              <w:top w:w="100" w:type="dxa"/>
              <w:bottom w:w="100" w:type="dxa"/>
              <w:left w:w="120" w:type="dxa"/>
              <w:right w:w="120" w:type="dxa"/>
            </w:tcMar>
            <w:shd w:fill="F8FAFC"/>
          </w:tcPr>
          <w:p>
            <w:pPr>
              <w:spacing w:before="40" w:after="40"/>
            </w:pPr>
            <w:r>
              <w:rPr>
                <w:color w:val="1E293B"/>
                <w:sz w:val="17"/>
              </w:rPr>
              <w:t>Packing Slip / Shipment posting triggers inventory valuation ledger.</w:t>
            </w:r>
          </w:p>
        </w:tc>
        <w:tc>
          <w:tcPr>
            <w:tcW w:type="dxa" w:w="1584"/>
            <w:vAlign w:val="center"/>
            <w:tcMar>
              <w:top w:w="100" w:type="dxa"/>
              <w:bottom w:w="100" w:type="dxa"/>
              <w:left w:w="120" w:type="dxa"/>
              <w:right w:w="120" w:type="dxa"/>
            </w:tcMar>
            <w:shd w:fill="F8FAFC"/>
          </w:tcPr>
          <w:p>
            <w:pPr>
              <w:spacing w:before="40" w:after="40"/>
            </w:pPr>
            <w:r>
              <w:rPr>
                <w:color w:val="1E293B"/>
                <w:sz w:val="17"/>
              </w:rPr>
              <w:t>Marg Delivery Challan drops stock immediately, suspending financial posting.</w:t>
            </w:r>
          </w:p>
        </w:tc>
        <w:tc>
          <w:tcPr>
            <w:tcW w:type="dxa" w:w="1728"/>
            <w:vAlign w:val="center"/>
            <w:tcMar>
              <w:top w:w="100" w:type="dxa"/>
              <w:bottom w:w="100" w:type="dxa"/>
              <w:left w:w="120" w:type="dxa"/>
              <w:right w:w="120" w:type="dxa"/>
            </w:tcMar>
            <w:shd w:fill="F8FAFC"/>
          </w:tcPr>
          <w:p>
            <w:pPr>
              <w:spacing w:before="40" w:after="40"/>
            </w:pPr>
            <w:r>
              <w:rPr>
                <w:color w:val="1E293B"/>
                <w:sz w:val="17"/>
              </w:rPr>
              <w:t>Dual Mode: Enterprise PGI auto-posting OR Marg Challan consolidation to bill.</w:t>
            </w:r>
          </w:p>
        </w:tc>
      </w:tr>
      <w:tr>
        <w:trPr>
          <w:cantSplit/>
        </w:trPr>
        <w:tc>
          <w:tcPr>
            <w:tcW w:type="dxa" w:w="1728"/>
            <w:vAlign w:val="center"/>
            <w:tcMar>
              <w:top w:w="100" w:type="dxa"/>
              <w:bottom w:w="100" w:type="dxa"/>
              <w:left w:w="120" w:type="dxa"/>
              <w:right w:w="120" w:type="dxa"/>
            </w:tcMar>
            <w:shd w:fill="FFFFFF"/>
          </w:tcPr>
          <w:p>
            <w:pPr>
              <w:spacing w:before="40" w:after="40"/>
            </w:pPr>
            <w:r>
              <w:rPr>
                <w:color w:val="1E293B"/>
                <w:sz w:val="17"/>
              </w:rPr>
              <w:t>Billing Series &amp; Numbering</w:t>
            </w:r>
          </w:p>
        </w:tc>
        <w:tc>
          <w:tcPr>
            <w:tcW w:type="dxa" w:w="1584"/>
            <w:vAlign w:val="center"/>
            <w:tcMar>
              <w:top w:w="100" w:type="dxa"/>
              <w:bottom w:w="100" w:type="dxa"/>
              <w:left w:w="120" w:type="dxa"/>
              <w:right w:w="120" w:type="dxa"/>
            </w:tcMar>
            <w:shd w:fill="FFFFFF"/>
          </w:tcPr>
          <w:p>
            <w:pPr>
              <w:spacing w:before="40" w:after="40"/>
            </w:pPr>
            <w:r>
              <w:rPr>
                <w:color w:val="1E293B"/>
                <w:sz w:val="17"/>
              </w:rPr>
              <w:t>Document Types (RV, RE) + Number Range Objects per Company Code.</w:t>
            </w:r>
          </w:p>
        </w:tc>
        <w:tc>
          <w:tcPr>
            <w:tcW w:type="dxa" w:w="1584"/>
            <w:vAlign w:val="center"/>
            <w:tcMar>
              <w:top w:w="100" w:type="dxa"/>
              <w:bottom w:w="100" w:type="dxa"/>
              <w:left w:w="120" w:type="dxa"/>
              <w:right w:w="120" w:type="dxa"/>
            </w:tcMar>
            <w:shd w:fill="FFFFFF"/>
          </w:tcPr>
          <w:p>
            <w:pPr>
              <w:spacing w:before="40" w:after="40"/>
            </w:pPr>
            <w:r>
              <w:rPr>
                <w:color w:val="1E293B"/>
                <w:sz w:val="17"/>
              </w:rPr>
              <w:t>Transaction Auto-numbering sequences per subsidiary/entity.</w:t>
            </w:r>
          </w:p>
        </w:tc>
        <w:tc>
          <w:tcPr>
            <w:tcW w:type="dxa" w:w="1584"/>
            <w:vAlign w:val="center"/>
            <w:tcMar>
              <w:top w:w="100" w:type="dxa"/>
              <w:bottom w:w="100" w:type="dxa"/>
              <w:left w:w="120" w:type="dxa"/>
              <w:right w:w="120" w:type="dxa"/>
            </w:tcMar>
            <w:shd w:fill="FFFFFF"/>
          </w:tcPr>
          <w:p>
            <w:pPr>
              <w:spacing w:before="40" w:after="40"/>
            </w:pPr>
            <w:r>
              <w:rPr>
                <w:color w:val="1E293B"/>
                <w:sz w:val="17"/>
              </w:rPr>
              <w:t>Number Sequences assigned dynamically by legal entity and module.</w:t>
            </w:r>
          </w:p>
        </w:tc>
        <w:tc>
          <w:tcPr>
            <w:tcW w:type="dxa" w:w="1584"/>
            <w:vAlign w:val="center"/>
            <w:tcMar>
              <w:top w:w="100" w:type="dxa"/>
              <w:bottom w:w="100" w:type="dxa"/>
              <w:left w:w="120" w:type="dxa"/>
              <w:right w:w="120" w:type="dxa"/>
            </w:tcMar>
            <w:shd w:fill="FFFFFF"/>
          </w:tcPr>
          <w:p>
            <w:pPr>
              <w:spacing w:before="40" w:after="40"/>
            </w:pPr>
            <w:r>
              <w:rPr>
                <w:color w:val="1E293B"/>
                <w:sz w:val="17"/>
              </w:rPr>
              <w:t>Marg Billing Series (Series A for B2B GST, Series B for Cash/Retail).</w:t>
            </w:r>
          </w:p>
        </w:tc>
        <w:tc>
          <w:tcPr>
            <w:tcW w:type="dxa" w:w="1728"/>
            <w:vAlign w:val="center"/>
            <w:tcMar>
              <w:top w:w="100" w:type="dxa"/>
              <w:bottom w:w="100" w:type="dxa"/>
              <w:left w:w="120" w:type="dxa"/>
              <w:right w:w="120" w:type="dxa"/>
            </w:tcMar>
            <w:shd w:fill="FFFFFF"/>
          </w:tcPr>
          <w:p>
            <w:pPr>
              <w:spacing w:before="40" w:after="40"/>
            </w:pPr>
            <w:r>
              <w:rPr>
                <w:color w:val="1E293B"/>
                <w:sz w:val="17"/>
              </w:rPr>
              <w:t>Configurable Prefix Engine (e.g. SLS/26-27/0001) supporting multi-series.</w:t>
            </w:r>
          </w:p>
        </w:tc>
      </w:tr>
      <w:tr>
        <w:trPr>
          <w:cantSplit/>
        </w:trPr>
        <w:tc>
          <w:tcPr>
            <w:tcW w:type="dxa" w:w="1728"/>
            <w:vAlign w:val="center"/>
            <w:tcMar>
              <w:top w:w="100" w:type="dxa"/>
              <w:bottom w:w="100" w:type="dxa"/>
              <w:left w:w="120" w:type="dxa"/>
              <w:right w:w="120" w:type="dxa"/>
            </w:tcMar>
            <w:shd w:fill="F8FAFC"/>
          </w:tcPr>
          <w:p>
            <w:pPr>
              <w:spacing w:before="40" w:after="40"/>
            </w:pPr>
            <w:r>
              <w:rPr>
                <w:color w:val="1E293B"/>
                <w:sz w:val="17"/>
              </w:rPr>
              <w:t>Pricing &amp; Tax Engine</w:t>
            </w:r>
          </w:p>
        </w:tc>
        <w:tc>
          <w:tcPr>
            <w:tcW w:type="dxa" w:w="1584"/>
            <w:vAlign w:val="center"/>
            <w:tcMar>
              <w:top w:w="100" w:type="dxa"/>
              <w:bottom w:w="100" w:type="dxa"/>
              <w:left w:w="120" w:type="dxa"/>
              <w:right w:w="120" w:type="dxa"/>
            </w:tcMar>
            <w:shd w:fill="F8FAFC"/>
          </w:tcPr>
          <w:p>
            <w:pPr>
              <w:spacing w:before="40" w:after="40"/>
            </w:pPr>
            <w:r>
              <w:rPr>
                <w:color w:val="1E293B"/>
                <w:sz w:val="17"/>
              </w:rPr>
              <w:t>Condition Technique: Field Catalogs -&gt; Access Sequences -&gt; Account Keys.</w:t>
            </w:r>
          </w:p>
        </w:tc>
        <w:tc>
          <w:tcPr>
            <w:tcW w:type="dxa" w:w="1584"/>
            <w:vAlign w:val="center"/>
            <w:tcMar>
              <w:top w:w="100" w:type="dxa"/>
              <w:bottom w:w="100" w:type="dxa"/>
              <w:left w:w="120" w:type="dxa"/>
              <w:right w:w="120" w:type="dxa"/>
            </w:tcMar>
            <w:shd w:fill="F8FAFC"/>
          </w:tcPr>
          <w:p>
            <w:pPr>
              <w:spacing w:before="40" w:after="40"/>
            </w:pPr>
            <w:r>
              <w:rPr>
                <w:color w:val="1E293B"/>
                <w:sz w:val="17"/>
              </w:rPr>
              <w:t>Matrix Pricing Schedules + SuiteTax Engine with nexus calculation.</w:t>
            </w:r>
          </w:p>
        </w:tc>
        <w:tc>
          <w:tcPr>
            <w:tcW w:type="dxa" w:w="1584"/>
            <w:vAlign w:val="center"/>
            <w:tcMar>
              <w:top w:w="100" w:type="dxa"/>
              <w:bottom w:w="100" w:type="dxa"/>
              <w:left w:w="120" w:type="dxa"/>
              <w:right w:w="120" w:type="dxa"/>
            </w:tcMar>
            <w:shd w:fill="F8FAFC"/>
          </w:tcPr>
          <w:p>
            <w:pPr>
              <w:spacing w:before="40" w:after="40"/>
            </w:pPr>
            <w:r>
              <w:rPr>
                <w:color w:val="1E293B"/>
                <w:sz w:val="17"/>
              </w:rPr>
              <w:t>Trade Agreements + Sales Price Trees + Standard Tax Engine.</w:t>
            </w:r>
          </w:p>
        </w:tc>
        <w:tc>
          <w:tcPr>
            <w:tcW w:type="dxa" w:w="1584"/>
            <w:vAlign w:val="center"/>
            <w:tcMar>
              <w:top w:w="100" w:type="dxa"/>
              <w:bottom w:w="100" w:type="dxa"/>
              <w:left w:w="120" w:type="dxa"/>
              <w:right w:w="120" w:type="dxa"/>
            </w:tcMar>
            <w:shd w:fill="F8FAFC"/>
          </w:tcPr>
          <w:p>
            <w:pPr>
              <w:spacing w:before="40" w:after="40"/>
            </w:pPr>
            <w:r>
              <w:rPr>
                <w:color w:val="1E293B"/>
                <w:sz w:val="17"/>
              </w:rPr>
              <w:t>Item Master Rates + Batch-wise MRP/Rates + Fixed Tax slabs.</w:t>
            </w:r>
          </w:p>
        </w:tc>
        <w:tc>
          <w:tcPr>
            <w:tcW w:type="dxa" w:w="1728"/>
            <w:vAlign w:val="center"/>
            <w:tcMar>
              <w:top w:w="100" w:type="dxa"/>
              <w:bottom w:w="100" w:type="dxa"/>
              <w:left w:w="120" w:type="dxa"/>
              <w:right w:w="120" w:type="dxa"/>
            </w:tcMar>
            <w:shd w:fill="F8FAFC"/>
          </w:tcPr>
          <w:p>
            <w:pPr>
              <w:spacing w:before="40" w:after="40"/>
            </w:pPr>
            <w:r>
              <w:rPr>
                <w:color w:val="1E293B"/>
                <w:sz w:val="17"/>
              </w:rPr>
              <w:t>Condition Waterfall Pipeline with Account Keys routing to GL without hardcoding.</w:t>
            </w:r>
          </w:p>
        </w:tc>
      </w:tr>
      <w:tr>
        <w:trPr>
          <w:cantSplit/>
        </w:trPr>
        <w:tc>
          <w:tcPr>
            <w:tcW w:type="dxa" w:w="1728"/>
            <w:vAlign w:val="center"/>
            <w:tcMar>
              <w:top w:w="100" w:type="dxa"/>
              <w:bottom w:w="100" w:type="dxa"/>
              <w:left w:w="120" w:type="dxa"/>
              <w:right w:w="120" w:type="dxa"/>
            </w:tcMar>
            <w:shd w:fill="FFFFFF"/>
          </w:tcPr>
          <w:p>
            <w:pPr>
              <w:spacing w:before="40" w:after="40"/>
            </w:pPr>
            <w:r>
              <w:rPr>
                <w:color w:val="1E293B"/>
                <w:sz w:val="17"/>
              </w:rPr>
              <w:t>Outstanding &amp; Adjustments</w:t>
            </w:r>
          </w:p>
        </w:tc>
        <w:tc>
          <w:tcPr>
            <w:tcW w:type="dxa" w:w="1584"/>
            <w:vAlign w:val="center"/>
            <w:tcMar>
              <w:top w:w="100" w:type="dxa"/>
              <w:bottom w:w="100" w:type="dxa"/>
              <w:left w:w="120" w:type="dxa"/>
              <w:right w:w="120" w:type="dxa"/>
            </w:tcMar>
            <w:shd w:fill="FFFFFF"/>
          </w:tcPr>
          <w:p>
            <w:pPr>
              <w:spacing w:before="40" w:after="40"/>
            </w:pPr>
            <w:r>
              <w:rPr>
                <w:color w:val="1E293B"/>
                <w:sz w:val="17"/>
              </w:rPr>
              <w:t>Open Item Management (F-32 clearing). Line-by-line invoice matching.</w:t>
            </w:r>
          </w:p>
        </w:tc>
        <w:tc>
          <w:tcPr>
            <w:tcW w:type="dxa" w:w="1584"/>
            <w:vAlign w:val="center"/>
            <w:tcMar>
              <w:top w:w="100" w:type="dxa"/>
              <w:bottom w:w="100" w:type="dxa"/>
              <w:left w:w="120" w:type="dxa"/>
              <w:right w:w="120" w:type="dxa"/>
            </w:tcMar>
            <w:shd w:fill="FFFFFF"/>
          </w:tcPr>
          <w:p>
            <w:pPr>
              <w:spacing w:before="40" w:after="40"/>
            </w:pPr>
            <w:r>
              <w:rPr>
                <w:color w:val="1E293B"/>
                <w:sz w:val="17"/>
              </w:rPr>
              <w:t>Payment Application matrix against open transaction lines.</w:t>
            </w:r>
          </w:p>
        </w:tc>
        <w:tc>
          <w:tcPr>
            <w:tcW w:type="dxa" w:w="1584"/>
            <w:vAlign w:val="center"/>
            <w:tcMar>
              <w:top w:w="100" w:type="dxa"/>
              <w:bottom w:w="100" w:type="dxa"/>
              <w:left w:w="120" w:type="dxa"/>
              <w:right w:w="120" w:type="dxa"/>
            </w:tcMar>
            <w:shd w:fill="FFFFFF"/>
          </w:tcPr>
          <w:p>
            <w:pPr>
              <w:spacing w:before="40" w:after="40"/>
            </w:pPr>
            <w:r>
              <w:rPr>
                <w:color w:val="1E293B"/>
                <w:sz w:val="17"/>
              </w:rPr>
              <w:t>Settlement management with customer open transactions.</w:t>
            </w:r>
          </w:p>
        </w:tc>
        <w:tc>
          <w:tcPr>
            <w:tcW w:type="dxa" w:w="1584"/>
            <w:vAlign w:val="center"/>
            <w:tcMar>
              <w:top w:w="100" w:type="dxa"/>
              <w:bottom w:w="100" w:type="dxa"/>
              <w:left w:w="120" w:type="dxa"/>
              <w:right w:w="120" w:type="dxa"/>
            </w:tcMar>
            <w:shd w:fill="FFFFFF"/>
          </w:tcPr>
          <w:p>
            <w:pPr>
              <w:spacing w:before="40" w:after="40"/>
            </w:pPr>
            <w:r>
              <w:rPr>
                <w:color w:val="1E293B"/>
                <w:sz w:val="17"/>
              </w:rPr>
              <w:t>Bill-by-Bill Allocation: New Ref, Agst Ref, Advance, On Account.</w:t>
            </w:r>
          </w:p>
        </w:tc>
        <w:tc>
          <w:tcPr>
            <w:tcW w:type="dxa" w:w="1728"/>
            <w:vAlign w:val="center"/>
            <w:tcMar>
              <w:top w:w="100" w:type="dxa"/>
              <w:bottom w:w="100" w:type="dxa"/>
              <w:left w:w="120" w:type="dxa"/>
              <w:right w:w="120" w:type="dxa"/>
            </w:tcMar>
            <w:shd w:fill="FFFFFF"/>
          </w:tcPr>
          <w:p>
            <w:pPr>
              <w:spacing w:before="40" w:after="40"/>
            </w:pPr>
            <w:r>
              <w:rPr>
                <w:color w:val="1E293B"/>
                <w:sz w:val="17"/>
              </w:rPr>
              <w:t>Tally/Marg-style Bill-by-Bill engine via relational invoice_allocations table.</w:t>
            </w:r>
          </w:p>
        </w:tc>
      </w:tr>
      <w:tr>
        <w:trPr>
          <w:cantSplit/>
        </w:trPr>
        <w:tc>
          <w:tcPr>
            <w:tcW w:type="dxa" w:w="1728"/>
            <w:vAlign w:val="center"/>
            <w:tcMar>
              <w:top w:w="100" w:type="dxa"/>
              <w:bottom w:w="100" w:type="dxa"/>
              <w:left w:w="120" w:type="dxa"/>
              <w:right w:w="120" w:type="dxa"/>
            </w:tcMar>
            <w:shd w:fill="F8FAFC"/>
          </w:tcPr>
          <w:p>
            <w:pPr>
              <w:spacing w:before="40" w:after="40"/>
            </w:pPr>
            <w:r>
              <w:rPr>
                <w:color w:val="1E293B"/>
                <w:sz w:val="17"/>
              </w:rPr>
              <w:t>Immutability &amp; Auditing</w:t>
            </w:r>
          </w:p>
        </w:tc>
        <w:tc>
          <w:tcPr>
            <w:tcW w:type="dxa" w:w="1584"/>
            <w:vAlign w:val="center"/>
            <w:tcMar>
              <w:top w:w="100" w:type="dxa"/>
              <w:bottom w:w="100" w:type="dxa"/>
              <w:left w:w="120" w:type="dxa"/>
              <w:right w:w="120" w:type="dxa"/>
            </w:tcMar>
            <w:shd w:fill="F8FAFC"/>
          </w:tcPr>
          <w:p>
            <w:pPr>
              <w:spacing w:before="40" w:after="40"/>
            </w:pPr>
            <w:r>
              <w:rPr>
                <w:color w:val="1E293B"/>
                <w:sz w:val="17"/>
              </w:rPr>
              <w:t>Strict No-Delete. Reversal via Storno (negative debit/credit posting).</w:t>
            </w:r>
          </w:p>
        </w:tc>
        <w:tc>
          <w:tcPr>
            <w:tcW w:type="dxa" w:w="1584"/>
            <w:vAlign w:val="center"/>
            <w:tcMar>
              <w:top w:w="100" w:type="dxa"/>
              <w:bottom w:w="100" w:type="dxa"/>
              <w:left w:w="120" w:type="dxa"/>
              <w:right w:w="120" w:type="dxa"/>
            </w:tcMar>
            <w:shd w:fill="F8FAFC"/>
          </w:tcPr>
          <w:p>
            <w:pPr>
              <w:spacing w:before="40" w:after="40"/>
            </w:pPr>
            <w:r>
              <w:rPr>
                <w:color w:val="1E293B"/>
                <w:sz w:val="17"/>
              </w:rPr>
              <w:t>Disallowed hard deletes on posted items. Voiding &amp; Reversing journals.</w:t>
            </w:r>
          </w:p>
        </w:tc>
        <w:tc>
          <w:tcPr>
            <w:tcW w:type="dxa" w:w="1584"/>
            <w:vAlign w:val="center"/>
            <w:tcMar>
              <w:top w:w="100" w:type="dxa"/>
              <w:bottom w:w="100" w:type="dxa"/>
              <w:left w:w="120" w:type="dxa"/>
              <w:right w:w="120" w:type="dxa"/>
            </w:tcMar>
            <w:shd w:fill="F8FAFC"/>
          </w:tcPr>
          <w:p>
            <w:pPr>
              <w:spacing w:before="40" w:after="40"/>
            </w:pPr>
            <w:r>
              <w:rPr>
                <w:color w:val="1E293B"/>
                <w:sz w:val="17"/>
              </w:rPr>
              <w:t>Strict audit logging. Corrections via General Journal adjustment vouchers.</w:t>
            </w:r>
          </w:p>
        </w:tc>
        <w:tc>
          <w:tcPr>
            <w:tcW w:type="dxa" w:w="1584"/>
            <w:vAlign w:val="center"/>
            <w:tcMar>
              <w:top w:w="100" w:type="dxa"/>
              <w:bottom w:w="100" w:type="dxa"/>
              <w:left w:w="120" w:type="dxa"/>
              <w:right w:w="120" w:type="dxa"/>
            </w:tcMar>
            <w:shd w:fill="F8FAFC"/>
          </w:tcPr>
          <w:p>
            <w:pPr>
              <w:spacing w:before="40" w:after="40"/>
            </w:pPr>
            <w:r>
              <w:rPr>
                <w:color w:val="1E293B"/>
                <w:sz w:val="17"/>
              </w:rPr>
              <w:t>Historically allowed silent voucher overwriting; modern edit logs slow down DB.</w:t>
            </w:r>
          </w:p>
        </w:tc>
        <w:tc>
          <w:tcPr>
            <w:tcW w:type="dxa" w:w="1728"/>
            <w:vAlign w:val="center"/>
            <w:tcMar>
              <w:top w:w="100" w:type="dxa"/>
              <w:bottom w:w="100" w:type="dxa"/>
              <w:left w:w="120" w:type="dxa"/>
              <w:right w:w="120" w:type="dxa"/>
            </w:tcMar>
            <w:shd w:fill="F8FAFC"/>
          </w:tcPr>
          <w:p>
            <w:pPr>
              <w:spacing w:before="40" w:after="40"/>
            </w:pPr>
            <w:r>
              <w:rPr>
                <w:color w:val="1E293B"/>
                <w:sz w:val="17"/>
              </w:rPr>
              <w:t>100% Immutable Append-Only Ledger. Storno reversal vouchers only.</w:t>
            </w:r>
          </w:p>
        </w:tc>
      </w:tr>
    </w:tbl>
    <w:p/>
    <w:p>
      <w:pPr>
        <w:pStyle w:val="Heading1"/>
        <w:spacing w:before="280"/>
      </w:pPr>
      <w:r>
        <w:t>3. Complete Sales Lifecycle: Order-to-Cash (O2C) &amp; Challan System</w:t>
      </w:r>
    </w:p>
    <w:p>
      <w:r>
        <w:t>The Sales / Order-to-Cash (O2C) lifecycle governs how customer demand is converted into dispatched goods, recognized revenue, and collected cash. Our architecture natively supports both the rigorous multi-stage Enterprise Flow and the high-speed SME Delivery Challan consolidation flow.</w:t>
      </w:r>
    </w:p>
    <w:p>
      <w:pPr>
        <w:pStyle w:val="Heading2"/>
      </w:pPr>
      <w:r>
        <w:t>3.1 The Enterprise O2C Flow (Strict Decoupling)</w:t>
      </w:r>
    </w:p>
    <w:tbl>
      <w:tblPr>
        <w:tblW w:type="auto" w:w="0"/>
        <w:jc w:val="center"/>
        <w:tblLayout w:type="fixed"/>
        <w:tblLook w:firstColumn="1" w:firstRow="1" w:lastColumn="0" w:lastRow="0" w:noHBand="0" w:noVBand="1" w:val="04A0"/>
      </w:tblPr>
      <w:tblGrid>
        <w:gridCol w:w="9792"/>
      </w:tblGrid>
      <w:tr>
        <w:tc>
          <w:tcPr>
            <w:tcW w:type="dxa" w:w="10080"/>
            <w:shd w:fill="F8FAFC"/>
            <w:tcMar>
              <w:top w:w="140" w:type="dxa"/>
              <w:bottom w:w="140" w:type="dxa"/>
              <w:left w:w="180" w:type="dxa"/>
              <w:right w:w="180" w:type="dxa"/>
            </w:tcMar>
            <w:tcBorders>
              <w:top w:val="none"/>
              <w:left w:val="single" w:sz="24" w:space="0" w:color="0EA5E9"/>
              <w:bottom w:val="none"/>
              <w:right w:val="none"/>
            </w:tcBorders>
          </w:tcPr>
          <w:p>
            <w:pPr>
              <w:spacing w:before="40" w:after="80"/>
            </w:pPr>
            <w:r>
              <w:rPr>
                <w:b/>
                <w:color w:val="0F172A"/>
                <w:sz w:val="21"/>
              </w:rPr>
              <w:t>📌 ENTERPRISE O2C FLOWCHART &amp; POSTING TIMELINE</w:t>
              <w:br/>
            </w:r>
          </w:p>
          <w:p>
            <w:pPr>
              <w:spacing w:before="0" w:after="40"/>
            </w:pPr>
            <w:r>
              <w:rPr>
                <w:color w:val="334155"/>
                <w:sz w:val="19"/>
              </w:rPr>
              <w:t>[ Quotation ]  ──&gt; Non-posting prospective quote with validity dates.</w:t>
            </w:r>
          </w:p>
          <w:p>
            <w:pPr>
              <w:spacing w:before="0" w:after="40"/>
            </w:pPr>
            <w:r>
              <w:rPr>
                <w:color w:val="334155"/>
                <w:sz w:val="19"/>
              </w:rPr>
              <w:t xml:space="preserve">      │</w:t>
            </w:r>
          </w:p>
          <w:p>
            <w:pPr>
              <w:spacing w:before="0" w:after="40"/>
            </w:pPr>
            <w:r>
              <w:rPr>
                <w:color w:val="334155"/>
                <w:sz w:val="19"/>
              </w:rPr>
              <w:t>[ Sales Order ] ──&gt; Pricing confirmed, ATP stock allocated, Credit Limit checked. [NO GL IMPACT]</w:t>
            </w:r>
          </w:p>
          <w:p>
            <w:pPr>
              <w:spacing w:before="0" w:after="40"/>
            </w:pPr>
            <w:r>
              <w:rPr>
                <w:color w:val="334155"/>
                <w:sz w:val="19"/>
              </w:rPr>
              <w:t xml:space="preserve">      │</w:t>
            </w:r>
          </w:p>
          <w:p>
            <w:pPr>
              <w:spacing w:before="0" w:after="40"/>
            </w:pPr>
            <w:r>
              <w:rPr>
                <w:color w:val="334155"/>
                <w:sz w:val="19"/>
              </w:rPr>
              <w:t>[ Outbound Delivery / Pick &amp; Pack ] ──&gt; Handling units created, warehouse staging. [NO GL IMPACT]</w:t>
            </w:r>
          </w:p>
          <w:p>
            <w:pPr>
              <w:spacing w:before="0" w:after="40"/>
            </w:pPr>
            <w:r>
              <w:rPr>
                <w:color w:val="334155"/>
                <w:sz w:val="19"/>
              </w:rPr>
              <w:t xml:space="preserve">      │</w:t>
            </w:r>
          </w:p>
          <w:p>
            <w:pPr>
              <w:spacing w:before="0" w:after="40"/>
            </w:pPr>
            <w:r>
              <w:rPr>
                <w:color w:val="334155"/>
                <w:sz w:val="19"/>
              </w:rPr>
              <w:t>[ Post Goods Issue (PGI) ] ──&gt; Physical stock leaves premises. [GL POSTING: Dr COGS / Cr Stock]</w:t>
            </w:r>
          </w:p>
          <w:p>
            <w:pPr>
              <w:spacing w:before="0" w:after="40"/>
            </w:pPr>
            <w:r>
              <w:rPr>
                <w:color w:val="334155"/>
                <w:sz w:val="19"/>
              </w:rPr>
              <w:t xml:space="preserve">      │</w:t>
            </w:r>
          </w:p>
          <w:p>
            <w:pPr>
              <w:spacing w:before="0" w:after="40"/>
            </w:pPr>
            <w:r>
              <w:rPr>
                <w:color w:val="334155"/>
                <w:sz w:val="19"/>
              </w:rPr>
              <w:t>[ Billing Document / Invoice ] ──&gt; Tax invoice generated. [GL POSTING: Dr Customer AR / Cr Revenue / Cr GST]</w:t>
            </w:r>
          </w:p>
          <w:p>
            <w:pPr>
              <w:spacing w:before="0" w:after="40"/>
            </w:pPr>
            <w:r>
              <w:rPr>
                <w:color w:val="334155"/>
                <w:sz w:val="19"/>
              </w:rPr>
              <w:t xml:space="preserve">      │</w:t>
            </w:r>
          </w:p>
          <w:p>
            <w:pPr>
              <w:spacing w:before="0" w:after="40"/>
            </w:pPr>
            <w:r>
              <w:rPr>
                <w:color w:val="334155"/>
                <w:sz w:val="19"/>
              </w:rPr>
              <w:t>[ Payment Receipt ] ──&gt; Bank transfer matched against invoice. [GL POSTING: Dr Bank / Cr Customer AR]</w:t>
            </w:r>
          </w:p>
        </w:tc>
      </w:tr>
    </w:tbl>
    <w:p/>
    <w:p>
      <w:r>
        <w:t>Step-by-Step Ledger Mechanics:</w:t>
      </w:r>
    </w:p>
    <w:p>
      <w:pPr>
        <w:pStyle w:val="ListBullet"/>
      </w:pPr>
      <w:r>
        <w:t>1. Sales Order &amp; ATP Check: Evaluates Available-to-Promise (ATP = OnHand + Inflows - Demand). Performs real-time credit check: Exposure = Open Orders + Open Deliveries + Open Invoices - Payments. If exposure exceeds limit, an automated delivery block is set. No accounting entries are generated.</w:t>
      </w:r>
    </w:p>
    <w:p>
      <w:pPr>
        <w:pStyle w:val="ListBullet"/>
      </w:pPr>
      <w:r>
        <w:t>2. Post Goods Issue (PGI): The warehouse dispatches the cargo. Inventory valuation is instantly updated at Moving Average Cost (MAC) or Standard Cost. Crucially, PGI recognizes Cost of Goods Sold, NEVER Revenue:</w:t>
      </w:r>
    </w:p>
    <w:p>
      <w:pPr/>
      <w:r>
        <w:t xml:space="preserve">     • Debit: Cost of Goods Sold (COGS) Expense Account (5000) - ₹ 60,000</w:t>
        <w:br/>
        <w:t xml:space="preserve">     • Credit: Inventory Asset Account (1000) - ₹ 60,000</w:t>
      </w:r>
    </w:p>
    <w:p>
      <w:pPr>
        <w:pStyle w:val="ListBullet"/>
      </w:pPr>
      <w:r>
        <w:t>3. Billing Document: Finance generates the legal invoice. Revenue and tax liabilities are recognized:</w:t>
      </w:r>
    </w:p>
    <w:p>
      <w:pPr/>
      <w:r>
        <w:t xml:space="preserve">     • Debit: Customer Accounts Receivable Subledger (1000) - ₹ 1,18,000</w:t>
        <w:br/>
        <w:t xml:space="preserve">     • Credit: Domestic Sales Revenue Account (4000) - ₹ 1,00,000</w:t>
        <w:br/>
        <w:t xml:space="preserve">     • Credit: Output CGST Payable Liability (2000) - ₹ 9,000</w:t>
        <w:br/>
        <w:t xml:space="preserve">     • Credit: Output SGST Payable Liability (2000) - ₹ 9,000</w:t>
      </w:r>
    </w:p>
    <w:p>
      <w:pPr>
        <w:pStyle w:val="Heading2"/>
      </w:pPr>
      <w:r>
        <w:t>3.2 The Marg-Style Delivery Challan &amp; Series System (Targeted SME Feature)</w:t>
      </w:r>
    </w:p>
    <w:p>
      <w:r>
        <w:t>In pharmaceutical distribution, FMCG, and heavy wholesale trade, delivery vehicles frequently leave the warehouse before final invoice prices, batch discounts, or delivery confirmations are settled. For this, we incorporate the Marg ERP Challan Workflow:</w:t>
      </w:r>
    </w:p>
    <w:tbl>
      <w:tblPr>
        <w:tblW w:type="auto" w:w="0"/>
        <w:jc w:val="center"/>
        <w:tblLayout w:type="fixed"/>
        <w:tblLook w:firstColumn="1" w:firstRow="1" w:lastColumn="0" w:lastRow="0" w:noHBand="0" w:noVBand="1" w:val="04A0"/>
      </w:tblPr>
      <w:tblGrid>
        <w:gridCol w:w="9792"/>
      </w:tblGrid>
      <w:tr>
        <w:tc>
          <w:tcPr>
            <w:tcW w:type="dxa" w:w="10080"/>
            <w:shd w:fill="FEF3C7"/>
            <w:tcMar>
              <w:top w:w="140" w:type="dxa"/>
              <w:bottom w:w="140" w:type="dxa"/>
              <w:left w:w="180" w:type="dxa"/>
              <w:right w:w="180" w:type="dxa"/>
            </w:tcMar>
            <w:tcBorders>
              <w:top w:val="none"/>
              <w:left w:val="single" w:sz="24" w:space="0" w:color="D97706"/>
              <w:bottom w:val="none"/>
              <w:right w:val="none"/>
            </w:tcBorders>
          </w:tcPr>
          <w:p>
            <w:pPr>
              <w:spacing w:before="40" w:after="80"/>
            </w:pPr>
            <w:r>
              <w:rPr>
                <w:b/>
                <w:color w:val="0F172A"/>
                <w:sz w:val="21"/>
              </w:rPr>
              <w:t>📌 MARG CHALLAN CONSOLIDATION &amp; SERIES WORKFLOW</w:t>
              <w:br/>
            </w:r>
          </w:p>
          <w:p>
            <w:pPr>
              <w:spacing w:before="0" w:after="40"/>
            </w:pPr>
            <w:r>
              <w:rPr>
                <w:color w:val="334155"/>
                <w:sz w:val="19"/>
              </w:rPr>
              <w:t>1. Delivery Challan Generation: Driver takes physical stock. The system decrements physical inventory counts immediately, but suspends the financial Accounts Receivable posting.</w:t>
            </w:r>
          </w:p>
          <w:p>
            <w:pPr>
              <w:spacing w:before="0" w:after="40"/>
            </w:pPr>
            <w:r>
              <w:rPr>
                <w:color w:val="334155"/>
                <w:sz w:val="19"/>
              </w:rPr>
              <w:t>2. Multi-Challan Consolidation: When billing cycle ends (e.g. weekly), the billing clerk opens 'New Sale Bill', presses hotkey / button to 'Load Pending Challans', and selects Challans #CH-101, #CH-102, #CH-105.</w:t>
            </w:r>
          </w:p>
          <w:p>
            <w:pPr>
              <w:spacing w:before="0" w:after="40"/>
            </w:pPr>
            <w:r>
              <w:rPr>
                <w:color w:val="334155"/>
                <w:sz w:val="19"/>
              </w:rPr>
              <w:t>3. Atomic Bill Generation: The system merges line items from all selected challans into a single consolidated Tax Invoice (INV/26-27/0450). The challans transition from 'Pending' to 'Billed', and the single consolidated GL invoice entry is posted atomically.</w:t>
            </w:r>
          </w:p>
          <w:p>
            <w:pPr>
              <w:spacing w:before="0" w:after="40"/>
            </w:pPr>
            <w:r>
              <w:rPr>
                <w:color w:val="334155"/>
                <w:sz w:val="19"/>
              </w:rPr>
              <w:t>4. Parallel Billing Series: Users can define isolated series sequences:</w:t>
            </w:r>
          </w:p>
          <w:p>
            <w:pPr>
              <w:spacing w:before="0" w:after="40"/>
            </w:pPr>
            <w:r>
              <w:rPr>
                <w:color w:val="334155"/>
                <w:sz w:val="19"/>
              </w:rPr>
              <w:t xml:space="preserve">   • Series A (GST B2B Wholesale): Prefix 'A/26-27/' -&gt; Strict E-Invoice &amp; E-Way Bill generation.</w:t>
            </w:r>
          </w:p>
          <w:p>
            <w:pPr>
              <w:spacing w:before="0" w:after="40"/>
            </w:pPr>
            <w:r>
              <w:rPr>
                <w:color w:val="334155"/>
                <w:sz w:val="19"/>
              </w:rPr>
              <w:t xml:space="preserve">   • Series B (Local Retail Cash): Prefix 'B/26-27/' -&gt; Simplified POS thermal print.</w:t>
            </w:r>
          </w:p>
          <w:p>
            <w:pPr>
              <w:spacing w:before="0" w:after="40"/>
            </w:pPr>
            <w:r>
              <w:rPr>
                <w:color w:val="334155"/>
                <w:sz w:val="19"/>
              </w:rPr>
              <w:t xml:space="preserve">   • Series EXP (Export / SEZ): Prefix 'EXP/26-27/' -&gt; Zero-rated / LUT export reporting.</w:t>
            </w:r>
          </w:p>
        </w:tc>
      </w:tr>
    </w:tbl>
    <w:p/>
    <w:p>
      <w:pPr>
        <w:pStyle w:val="Heading1"/>
        <w:spacing w:before="280"/>
      </w:pPr>
      <w:r>
        <w:t>4. Complete Procurement Lifecycle: Procure-to-Pay (P2P)</w:t>
      </w:r>
    </w:p>
    <w:p>
      <w:r>
        <w:t>The Procure-to-Pay (P2P) lifecycle manages the acquisition of direct inventory, raw materials, and operating expenses. The core challenge in procurement is the asynchronous timing difference between physical dock arrivals and vendor invoice emails.</w:t>
      </w:r>
    </w:p>
    <w:p>
      <w:pPr>
        <w:pStyle w:val="Heading2"/>
      </w:pPr>
      <w:r>
        <w:t>4.1 The GR/IR Suspense Clearing Architecture</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520"/>
        <w:gridCol w:w="2520"/>
        <w:gridCol w:w="2520"/>
        <w:gridCol w:w="2520"/>
      </w:tblGrid>
      <w:tr>
        <w:trPr>
          <w:cantSplit/>
          <w:tblHeader/>
        </w:trPr>
        <w:tc>
          <w:tcPr>
            <w:tcW w:type="dxa" w:w="2160"/>
            <w:vAlign w:val="center"/>
            <w:tcMar>
              <w:top w:w="100" w:type="dxa"/>
              <w:bottom w:w="100" w:type="dxa"/>
              <w:left w:w="120" w:type="dxa"/>
              <w:right w:w="120" w:type="dxa"/>
            </w:tcMar>
            <w:shd w:fill="1E293B"/>
          </w:tcPr>
          <w:p>
            <w:pPr>
              <w:spacing w:before="40" w:after="40"/>
            </w:pPr>
            <w:r>
              <w:rPr>
                <w:b/>
                <w:color w:val="FFFFFF"/>
                <w:sz w:val="18"/>
              </w:rPr>
              <w:t>Procurement Milestone</w:t>
            </w:r>
          </w:p>
        </w:tc>
        <w:tc>
          <w:tcPr>
            <w:tcW w:type="dxa" w:w="2880"/>
            <w:vAlign w:val="center"/>
            <w:tcMar>
              <w:top w:w="100" w:type="dxa"/>
              <w:bottom w:w="100" w:type="dxa"/>
              <w:left w:w="120" w:type="dxa"/>
              <w:right w:w="120" w:type="dxa"/>
            </w:tcMar>
            <w:shd w:fill="1E293B"/>
          </w:tcPr>
          <w:p>
            <w:pPr>
              <w:spacing w:before="40" w:after="40"/>
            </w:pPr>
            <w:r>
              <w:rPr>
                <w:b/>
                <w:color w:val="FFFFFF"/>
                <w:sz w:val="18"/>
              </w:rPr>
              <w:t>Operational Event &amp; System Action</w:t>
            </w:r>
          </w:p>
        </w:tc>
        <w:tc>
          <w:tcPr>
            <w:tcW w:type="dxa" w:w="2592"/>
            <w:vAlign w:val="center"/>
            <w:tcMar>
              <w:top w:w="100" w:type="dxa"/>
              <w:bottom w:w="100" w:type="dxa"/>
              <w:left w:w="120" w:type="dxa"/>
              <w:right w:w="120" w:type="dxa"/>
            </w:tcMar>
            <w:shd w:fill="1E293B"/>
          </w:tcPr>
          <w:p>
            <w:pPr>
              <w:spacing w:before="40" w:after="40"/>
            </w:pPr>
            <w:r>
              <w:rPr>
                <w:b/>
                <w:color w:val="FFFFFF"/>
                <w:sz w:val="18"/>
              </w:rPr>
              <w:t>General Ledger Accounting Entry</w:t>
            </w:r>
          </w:p>
        </w:tc>
        <w:tc>
          <w:tcPr>
            <w:tcW w:type="dxa" w:w="2160"/>
            <w:vAlign w:val="center"/>
            <w:tcMar>
              <w:top w:w="100" w:type="dxa"/>
              <w:bottom w:w="100" w:type="dxa"/>
              <w:left w:w="120" w:type="dxa"/>
              <w:right w:w="120" w:type="dxa"/>
            </w:tcMar>
            <w:shd w:fill="1E293B"/>
          </w:tcPr>
          <w:p>
            <w:pPr>
              <w:spacing w:before="40" w:after="40"/>
            </w:pPr>
            <w:r>
              <w:rPr>
                <w:b/>
                <w:color w:val="FFFFFF"/>
                <w:sz w:val="18"/>
              </w:rPr>
              <w:t>Suspense Account Status</w:t>
            </w:r>
          </w:p>
        </w:tc>
      </w:tr>
      <w:tr>
        <w:trPr>
          <w:cantSplit/>
        </w:trPr>
        <w:tc>
          <w:tcPr>
            <w:tcW w:type="dxa" w:w="2160"/>
            <w:vAlign w:val="center"/>
            <w:tcMar>
              <w:top w:w="100" w:type="dxa"/>
              <w:bottom w:w="100" w:type="dxa"/>
              <w:left w:w="120" w:type="dxa"/>
              <w:right w:w="120" w:type="dxa"/>
            </w:tcMar>
            <w:shd w:fill="F8FAFC"/>
          </w:tcPr>
          <w:p>
            <w:pPr>
              <w:spacing w:before="40" w:after="40"/>
            </w:pPr>
            <w:r>
              <w:rPr>
                <w:color w:val="1E293B"/>
                <w:sz w:val="17"/>
              </w:rPr>
              <w:t>1. Purchase Order (PO)</w:t>
            </w:r>
          </w:p>
        </w:tc>
        <w:tc>
          <w:tcPr>
            <w:tcW w:type="dxa" w:w="2880"/>
            <w:vAlign w:val="center"/>
            <w:tcMar>
              <w:top w:w="100" w:type="dxa"/>
              <w:bottom w:w="100" w:type="dxa"/>
              <w:left w:w="120" w:type="dxa"/>
              <w:right w:w="120" w:type="dxa"/>
            </w:tcMar>
            <w:shd w:fill="F8FAFC"/>
          </w:tcPr>
          <w:p>
            <w:pPr>
              <w:spacing w:before="40" w:after="40"/>
            </w:pPr>
            <w:r>
              <w:rPr>
                <w:color w:val="1E293B"/>
                <w:sz w:val="17"/>
              </w:rPr>
              <w:t>Contractual agreement sent to supplier. Sets budget encumbrance.</w:t>
            </w:r>
          </w:p>
        </w:tc>
        <w:tc>
          <w:tcPr>
            <w:tcW w:type="dxa" w:w="2592"/>
            <w:vAlign w:val="center"/>
            <w:tcMar>
              <w:top w:w="100" w:type="dxa"/>
              <w:bottom w:w="100" w:type="dxa"/>
              <w:left w:w="120" w:type="dxa"/>
              <w:right w:w="120" w:type="dxa"/>
            </w:tcMar>
            <w:shd w:fill="F8FAFC"/>
          </w:tcPr>
          <w:p>
            <w:pPr>
              <w:spacing w:before="40" w:after="40"/>
            </w:pPr>
            <w:r>
              <w:rPr>
                <w:color w:val="1E293B"/>
                <w:sz w:val="17"/>
              </w:rPr>
              <w:t>NO GL ENTRY POSTED</w:t>
              <w:br/>
              <w:t>(Encumbers Cost Center Budget)</w:t>
            </w:r>
          </w:p>
        </w:tc>
        <w:tc>
          <w:tcPr>
            <w:tcW w:type="dxa" w:w="2160"/>
            <w:vAlign w:val="center"/>
            <w:tcMar>
              <w:top w:w="100" w:type="dxa"/>
              <w:bottom w:w="100" w:type="dxa"/>
              <w:left w:w="120" w:type="dxa"/>
              <w:right w:w="120" w:type="dxa"/>
            </w:tcMar>
            <w:shd w:fill="F8FAFC"/>
          </w:tcPr>
          <w:p>
            <w:pPr>
              <w:spacing w:before="40" w:after="40"/>
            </w:pPr>
            <w:r>
              <w:rPr>
                <w:color w:val="1E293B"/>
                <w:sz w:val="17"/>
              </w:rPr>
              <w:t>None</w:t>
            </w:r>
          </w:p>
        </w:tc>
      </w:tr>
      <w:tr>
        <w:trPr>
          <w:cantSplit/>
        </w:trPr>
        <w:tc>
          <w:tcPr>
            <w:tcW w:type="dxa" w:w="2160"/>
            <w:vAlign w:val="center"/>
            <w:tcMar>
              <w:top w:w="100" w:type="dxa"/>
              <w:bottom w:w="100" w:type="dxa"/>
              <w:left w:w="120" w:type="dxa"/>
              <w:right w:w="120" w:type="dxa"/>
            </w:tcMar>
            <w:shd w:fill="FFFFFF"/>
          </w:tcPr>
          <w:p>
            <w:pPr>
              <w:spacing w:before="40" w:after="40"/>
            </w:pPr>
            <w:r>
              <w:rPr>
                <w:color w:val="1E293B"/>
                <w:sz w:val="17"/>
              </w:rPr>
              <w:t>2. Goods Receipt (GR / MIGO)</w:t>
            </w:r>
          </w:p>
        </w:tc>
        <w:tc>
          <w:tcPr>
            <w:tcW w:type="dxa" w:w="2880"/>
            <w:vAlign w:val="center"/>
            <w:tcMar>
              <w:top w:w="100" w:type="dxa"/>
              <w:bottom w:w="100" w:type="dxa"/>
              <w:left w:w="120" w:type="dxa"/>
              <w:right w:w="120" w:type="dxa"/>
            </w:tcMar>
            <w:shd w:fill="FFFFFF"/>
          </w:tcPr>
          <w:p>
            <w:pPr>
              <w:spacing w:before="40" w:after="40"/>
            </w:pPr>
            <w:r>
              <w:rPr>
                <w:color w:val="1E293B"/>
                <w:sz w:val="17"/>
              </w:rPr>
              <w:t>Warehouse accepts physical goods at dock. Stock is added to inventory.</w:t>
            </w:r>
          </w:p>
        </w:tc>
        <w:tc>
          <w:tcPr>
            <w:tcW w:type="dxa" w:w="2592"/>
            <w:vAlign w:val="center"/>
            <w:tcMar>
              <w:top w:w="100" w:type="dxa"/>
              <w:bottom w:w="100" w:type="dxa"/>
              <w:left w:w="120" w:type="dxa"/>
              <w:right w:w="120" w:type="dxa"/>
            </w:tcMar>
            <w:shd w:fill="FFFFFF"/>
          </w:tcPr>
          <w:p>
            <w:pPr>
              <w:spacing w:before="40" w:after="40"/>
            </w:pPr>
            <w:r>
              <w:rPr>
                <w:color w:val="1E293B"/>
                <w:sz w:val="17"/>
              </w:rPr>
              <w:t>[Dr] Inventory Asset A/c: ₹ 1,00,000</w:t>
              <w:br/>
              <w:t>[Cr] GR/IR Clearing A/c: ₹ 1,00,000</w:t>
            </w:r>
          </w:p>
        </w:tc>
        <w:tc>
          <w:tcPr>
            <w:tcW w:type="dxa" w:w="2160"/>
            <w:vAlign w:val="center"/>
            <w:tcMar>
              <w:top w:w="100" w:type="dxa"/>
              <w:bottom w:w="100" w:type="dxa"/>
              <w:left w:w="120" w:type="dxa"/>
              <w:right w:w="120" w:type="dxa"/>
            </w:tcMar>
            <w:shd w:fill="FFFFFF"/>
          </w:tcPr>
          <w:p>
            <w:pPr>
              <w:spacing w:before="40" w:after="40"/>
            </w:pPr>
            <w:r>
              <w:rPr>
                <w:color w:val="1E293B"/>
                <w:sz w:val="17"/>
              </w:rPr>
              <w:t>GR/IR Credit Balance Created (Provisional Liability)</w:t>
            </w:r>
          </w:p>
        </w:tc>
      </w:tr>
      <w:tr>
        <w:trPr>
          <w:cantSplit/>
        </w:trPr>
        <w:tc>
          <w:tcPr>
            <w:tcW w:type="dxa" w:w="2160"/>
            <w:vAlign w:val="center"/>
            <w:tcMar>
              <w:top w:w="100" w:type="dxa"/>
              <w:bottom w:w="100" w:type="dxa"/>
              <w:left w:w="120" w:type="dxa"/>
              <w:right w:w="120" w:type="dxa"/>
            </w:tcMar>
            <w:shd w:fill="F8FAFC"/>
          </w:tcPr>
          <w:p>
            <w:pPr>
              <w:spacing w:before="40" w:after="40"/>
            </w:pPr>
            <w:r>
              <w:rPr>
                <w:color w:val="1E293B"/>
                <w:sz w:val="17"/>
              </w:rPr>
              <w:t>3. 3-Way Match Invoice (MIRO)</w:t>
            </w:r>
          </w:p>
        </w:tc>
        <w:tc>
          <w:tcPr>
            <w:tcW w:type="dxa" w:w="2880"/>
            <w:vAlign w:val="center"/>
            <w:tcMar>
              <w:top w:w="100" w:type="dxa"/>
              <w:bottom w:w="100" w:type="dxa"/>
              <w:left w:w="120" w:type="dxa"/>
              <w:right w:w="120" w:type="dxa"/>
            </w:tcMar>
            <w:shd w:fill="F8FAFC"/>
          </w:tcPr>
          <w:p>
            <w:pPr>
              <w:spacing w:before="40" w:after="40"/>
            </w:pPr>
            <w:r>
              <w:rPr>
                <w:color w:val="1E293B"/>
                <w:sz w:val="17"/>
              </w:rPr>
              <w:t>Vendor invoice received. System validates: PO Price == GR Qty == Bill Qty.</w:t>
            </w:r>
          </w:p>
        </w:tc>
        <w:tc>
          <w:tcPr>
            <w:tcW w:type="dxa" w:w="2592"/>
            <w:vAlign w:val="center"/>
            <w:tcMar>
              <w:top w:w="100" w:type="dxa"/>
              <w:bottom w:w="100" w:type="dxa"/>
              <w:left w:w="120" w:type="dxa"/>
              <w:right w:w="120" w:type="dxa"/>
            </w:tcMar>
            <w:shd w:fill="F8FAFC"/>
          </w:tcPr>
          <w:p>
            <w:pPr>
              <w:spacing w:before="40" w:after="40"/>
            </w:pPr>
            <w:r>
              <w:rPr>
                <w:color w:val="1E293B"/>
                <w:sz w:val="17"/>
              </w:rPr>
              <w:t>[Dr] GR/IR Clearing A/c: ₹ 1,00,000</w:t>
              <w:br/>
              <w:t>[Dr] Input CGST (9%): ₹ 9,000</w:t>
              <w:br/>
              <w:t>[Dr] Input SGST (9%): ₹ 9,000</w:t>
              <w:br/>
              <w:t>[Cr] Vendor AP Subledger: ₹ 1,18,000</w:t>
            </w:r>
          </w:p>
        </w:tc>
        <w:tc>
          <w:tcPr>
            <w:tcW w:type="dxa" w:w="2160"/>
            <w:vAlign w:val="center"/>
            <w:tcMar>
              <w:top w:w="100" w:type="dxa"/>
              <w:bottom w:w="100" w:type="dxa"/>
              <w:left w:w="120" w:type="dxa"/>
              <w:right w:w="120" w:type="dxa"/>
            </w:tcMar>
            <w:shd w:fill="F8FAFC"/>
          </w:tcPr>
          <w:p>
            <w:pPr>
              <w:spacing w:before="40" w:after="40"/>
            </w:pPr>
            <w:r>
              <w:rPr>
                <w:color w:val="1E293B"/>
                <w:sz w:val="17"/>
              </w:rPr>
              <w:t>GR/IR Balance Cleared to ₹ 0.00 (Liquidated)</w:t>
            </w:r>
          </w:p>
        </w:tc>
      </w:tr>
      <w:tr>
        <w:trPr>
          <w:cantSplit/>
        </w:trPr>
        <w:tc>
          <w:tcPr>
            <w:tcW w:type="dxa" w:w="2160"/>
            <w:vAlign w:val="center"/>
            <w:tcMar>
              <w:top w:w="100" w:type="dxa"/>
              <w:bottom w:w="100" w:type="dxa"/>
              <w:left w:w="120" w:type="dxa"/>
              <w:right w:w="120" w:type="dxa"/>
            </w:tcMar>
            <w:shd w:fill="FFFFFF"/>
          </w:tcPr>
          <w:p>
            <w:pPr>
              <w:spacing w:before="40" w:after="40"/>
            </w:pPr>
            <w:r>
              <w:rPr>
                <w:color w:val="1E293B"/>
                <w:sz w:val="17"/>
              </w:rPr>
              <w:t>4. Vendor Payment &amp; TDS</w:t>
            </w:r>
          </w:p>
        </w:tc>
        <w:tc>
          <w:tcPr>
            <w:tcW w:type="dxa" w:w="2880"/>
            <w:vAlign w:val="center"/>
            <w:tcMar>
              <w:top w:w="100" w:type="dxa"/>
              <w:bottom w:w="100" w:type="dxa"/>
              <w:left w:w="120" w:type="dxa"/>
              <w:right w:w="120" w:type="dxa"/>
            </w:tcMar>
            <w:shd w:fill="FFFFFF"/>
          </w:tcPr>
          <w:p>
            <w:pPr>
              <w:spacing w:before="40" w:after="40"/>
            </w:pPr>
            <w:r>
              <w:rPr>
                <w:color w:val="1E293B"/>
                <w:sz w:val="17"/>
              </w:rPr>
              <w:t>Weekly payment run executes bank transfer with statutory TDS deduction.</w:t>
            </w:r>
          </w:p>
        </w:tc>
        <w:tc>
          <w:tcPr>
            <w:tcW w:type="dxa" w:w="2592"/>
            <w:vAlign w:val="center"/>
            <w:tcMar>
              <w:top w:w="100" w:type="dxa"/>
              <w:bottom w:w="100" w:type="dxa"/>
              <w:left w:w="120" w:type="dxa"/>
              <w:right w:w="120" w:type="dxa"/>
            </w:tcMar>
            <w:shd w:fill="FFFFFF"/>
          </w:tcPr>
          <w:p>
            <w:pPr>
              <w:spacing w:before="40" w:after="40"/>
            </w:pPr>
            <w:r>
              <w:rPr>
                <w:color w:val="1E293B"/>
                <w:sz w:val="17"/>
              </w:rPr>
              <w:t>[Dr] Vendor AP Subledger: ₹ 1,18,000</w:t>
              <w:br/>
              <w:t>[Cr] Bank Operating A/c: ₹ 1,16,000</w:t>
              <w:br/>
              <w:t>[Cr] TDS Payable (194Q): ₹ 2,000</w:t>
            </w:r>
          </w:p>
        </w:tc>
        <w:tc>
          <w:tcPr>
            <w:tcW w:type="dxa" w:w="2160"/>
            <w:vAlign w:val="center"/>
            <w:tcMar>
              <w:top w:w="100" w:type="dxa"/>
              <w:bottom w:w="100" w:type="dxa"/>
              <w:left w:w="120" w:type="dxa"/>
              <w:right w:w="120" w:type="dxa"/>
            </w:tcMar>
            <w:shd w:fill="FFFFFF"/>
          </w:tcPr>
          <w:p>
            <w:pPr>
              <w:spacing w:before="40" w:after="40"/>
            </w:pPr>
            <w:r>
              <w:rPr>
                <w:color w:val="1E293B"/>
                <w:sz w:val="17"/>
              </w:rPr>
              <w:t>Vendor Liability Fully Settled</w:t>
            </w:r>
          </w:p>
        </w:tc>
      </w:tr>
    </w:tbl>
    <w:p/>
    <w:p>
      <w:pPr>
        <w:pStyle w:val="Heading2"/>
      </w:pPr>
      <w:r>
        <w:t>4.2 Purchase Price Variance (PPV) &amp; Tolerance Handling</w:t>
      </w:r>
    </w:p>
    <w:p>
      <w:pPr>
        <w:pStyle w:val="ListBullet"/>
      </w:pPr>
      <w:r>
        <w:t>• Under Standard Costing: [Dr] GR/IR Clearing ₹ 10,000 | [Dr] Purchase Price Variance (PPV Expense) ₹ 500 | [Cr] Vendor AP ₹ 10,500.</w:t>
      </w:r>
    </w:p>
    <w:p>
      <w:pPr>
        <w:pStyle w:val="ListBullet"/>
      </w:pPr>
      <w:r>
        <w:t>• If tolerance is exceeded, the invoice is posted with an automated 'Payment Block (Reason R - Price Variance)' requiring managerial override.</w:t>
      </w:r>
    </w:p>
    <w:p>
      <w:pPr>
        <w:pStyle w:val="Heading1"/>
        <w:spacing w:before="280"/>
      </w:pPr>
      <w:r>
        <w:t>5. Dynamic Billing &amp; Pricing Engine: The Condition Technique</w:t>
      </w:r>
    </w:p>
    <w:p>
      <w:r>
        <w:t>Enterprise ERPs never hardcode pricing or General Ledger accounts onto product master records. Instead, they use SAP's renowned 'Condition Technique'—an algorithmic waterfall pipeline that calculates net invoice values and routes line amounts to the correct GL accounts via Account Keys.</w:t>
      </w:r>
    </w:p>
    <w:tbl>
      <w:tblPr>
        <w:tblW w:type="auto" w:w="0"/>
        <w:jc w:val="center"/>
        <w:tblLayout w:type="fixed"/>
        <w:tblLook w:firstColumn="1" w:firstRow="1" w:lastColumn="0" w:lastRow="0" w:noHBand="0" w:noVBand="1" w:val="04A0"/>
      </w:tblPr>
      <w:tblGrid>
        <w:gridCol w:w="9792"/>
      </w:tblGrid>
      <w:tr>
        <w:tc>
          <w:tcPr>
            <w:tcW w:type="dxa" w:w="10080"/>
            <w:shd w:fill="F1F5F9"/>
            <w:tcMar>
              <w:top w:w="140" w:type="dxa"/>
              <w:bottom w:w="140" w:type="dxa"/>
              <w:left w:w="180" w:type="dxa"/>
              <w:right w:w="180" w:type="dxa"/>
            </w:tcMar>
            <w:tcBorders>
              <w:top w:val="none"/>
              <w:left w:val="single" w:sz="24" w:space="0" w:color="475569"/>
              <w:bottom w:val="none"/>
              <w:right w:val="none"/>
            </w:tcBorders>
          </w:tcPr>
          <w:p>
            <w:pPr>
              <w:spacing w:before="40" w:after="80"/>
            </w:pPr>
            <w:r>
              <w:rPr>
                <w:b/>
                <w:color w:val="0F172A"/>
                <w:sz w:val="21"/>
              </w:rPr>
              <w:t>📌 THE 5 ELEMENTS OF THE CONDITION TECHNIQUE PIPELINE</w:t>
              <w:br/>
            </w:r>
          </w:p>
          <w:p>
            <w:pPr>
              <w:spacing w:before="0" w:after="40"/>
            </w:pPr>
            <w:r>
              <w:rPr>
                <w:color w:val="334155"/>
                <w:sz w:val="19"/>
              </w:rPr>
              <w:t>1. Field Catalog: The universe of runtime business parameters (Customer ID, Customer Group, Item SKU, Material Group, Shipping State, Date).</w:t>
            </w:r>
          </w:p>
          <w:p>
            <w:pPr>
              <w:spacing w:before="0" w:after="40"/>
            </w:pPr>
            <w:r>
              <w:rPr>
                <w:color w:val="334155"/>
                <w:sz w:val="19"/>
              </w:rPr>
              <w:t>2. Condition Table: Database records mapping specific combinations (e.g., Table 001: Customer + SKU; Table 002: Customer Group + Material Group; Table 003: Base SKU).</w:t>
            </w:r>
          </w:p>
          <w:p>
            <w:pPr>
              <w:spacing w:before="0" w:after="40"/>
            </w:pPr>
            <w:r>
              <w:rPr>
                <w:color w:val="334155"/>
                <w:sz w:val="19"/>
              </w:rPr>
              <w:t>3. Access Sequence (Waterfall Search): Prioritized search order. Queries Table 001 (Specific Deal) -&gt; Miss -&gt; Table 002 (Tier Discount) -&gt; Hit! -&gt; Stop search.</w:t>
            </w:r>
          </w:p>
          <w:p>
            <w:pPr>
              <w:spacing w:before="0" w:after="40"/>
            </w:pPr>
            <w:r>
              <w:rPr>
                <w:color w:val="334155"/>
                <w:sz w:val="19"/>
              </w:rPr>
              <w:t>4. Calculation Schema (Pricing Procedure): Sequential pipeline executing base price, customer trade discount %, quantity volume rebate, freight surcharges, and GST tax slabs.</w:t>
            </w:r>
          </w:p>
          <w:p>
            <w:pPr>
              <w:spacing w:before="0" w:after="40"/>
            </w:pPr>
            <w:r>
              <w:rPr>
                <w:color w:val="334155"/>
                <w:sz w:val="19"/>
              </w:rPr>
              <w:t>5. Account Determination Bridge: Account Keys (ERL, ERS, ERF, MWS) dynamically map pricing lines to target GL accounts based on Sales Org and Customer Account Group.</w:t>
            </w:r>
          </w:p>
        </w:tc>
      </w:tr>
    </w:tbl>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1680"/>
        <w:gridCol w:w="1680"/>
        <w:gridCol w:w="1680"/>
        <w:gridCol w:w="1680"/>
        <w:gridCol w:w="1680"/>
        <w:gridCol w:w="1680"/>
      </w:tblGrid>
      <w:tr>
        <w:trPr>
          <w:cantSplit/>
          <w:tblHeader/>
        </w:trPr>
        <w:tc>
          <w:tcPr>
            <w:tcW w:type="dxa" w:w="1152"/>
            <w:vAlign w:val="center"/>
            <w:tcMar>
              <w:top w:w="100" w:type="dxa"/>
              <w:bottom w:w="100" w:type="dxa"/>
              <w:left w:w="120" w:type="dxa"/>
              <w:right w:w="120" w:type="dxa"/>
            </w:tcMar>
            <w:shd w:fill="1E293B"/>
          </w:tcPr>
          <w:p>
            <w:pPr>
              <w:spacing w:before="40" w:after="40"/>
            </w:pPr>
            <w:r>
              <w:rPr>
                <w:b/>
                <w:color w:val="FFFFFF"/>
                <w:sz w:val="18"/>
              </w:rPr>
              <w:t>Step</w:t>
            </w:r>
          </w:p>
        </w:tc>
        <w:tc>
          <w:tcPr>
            <w:tcW w:type="dxa" w:w="1728"/>
            <w:vAlign w:val="center"/>
            <w:tcMar>
              <w:top w:w="100" w:type="dxa"/>
              <w:bottom w:w="100" w:type="dxa"/>
              <w:left w:w="120" w:type="dxa"/>
              <w:right w:w="120" w:type="dxa"/>
            </w:tcMar>
            <w:shd w:fill="1E293B"/>
          </w:tcPr>
          <w:p>
            <w:pPr>
              <w:spacing w:before="40" w:after="40"/>
            </w:pPr>
            <w:r>
              <w:rPr>
                <w:b/>
                <w:color w:val="FFFFFF"/>
                <w:sz w:val="18"/>
              </w:rPr>
              <w:t>Condition Type</w:t>
            </w:r>
          </w:p>
        </w:tc>
        <w:tc>
          <w:tcPr>
            <w:tcW w:type="dxa" w:w="2160"/>
            <w:vAlign w:val="center"/>
            <w:tcMar>
              <w:top w:w="100" w:type="dxa"/>
              <w:bottom w:w="100" w:type="dxa"/>
              <w:left w:w="120" w:type="dxa"/>
              <w:right w:w="120" w:type="dxa"/>
            </w:tcMar>
            <w:shd w:fill="1E293B"/>
          </w:tcPr>
          <w:p>
            <w:pPr>
              <w:spacing w:before="40" w:after="40"/>
            </w:pPr>
            <w:r>
              <w:rPr>
                <w:b/>
                <w:color w:val="FFFFFF"/>
                <w:sz w:val="18"/>
              </w:rPr>
              <w:t>Description &amp; Logic</w:t>
            </w:r>
          </w:p>
        </w:tc>
        <w:tc>
          <w:tcPr>
            <w:tcW w:type="dxa" w:w="1584"/>
            <w:vAlign w:val="center"/>
            <w:tcMar>
              <w:top w:w="100" w:type="dxa"/>
              <w:bottom w:w="100" w:type="dxa"/>
              <w:left w:w="120" w:type="dxa"/>
              <w:right w:w="120" w:type="dxa"/>
            </w:tcMar>
            <w:shd w:fill="1E293B"/>
          </w:tcPr>
          <w:p>
            <w:pPr>
              <w:spacing w:before="40" w:after="40"/>
            </w:pPr>
            <w:r>
              <w:rPr>
                <w:b/>
                <w:color w:val="FFFFFF"/>
                <w:sz w:val="18"/>
              </w:rPr>
              <w:t>Amount</w:t>
            </w:r>
          </w:p>
        </w:tc>
        <w:tc>
          <w:tcPr>
            <w:tcW w:type="dxa" w:w="1440"/>
            <w:vAlign w:val="center"/>
            <w:tcMar>
              <w:top w:w="100" w:type="dxa"/>
              <w:bottom w:w="100" w:type="dxa"/>
              <w:left w:w="120" w:type="dxa"/>
              <w:right w:w="120" w:type="dxa"/>
            </w:tcMar>
            <w:shd w:fill="1E293B"/>
          </w:tcPr>
          <w:p>
            <w:pPr>
              <w:spacing w:before="40" w:after="40"/>
            </w:pPr>
            <w:r>
              <w:rPr>
                <w:b/>
                <w:color w:val="FFFFFF"/>
                <w:sz w:val="18"/>
              </w:rPr>
              <w:t>Account Key</w:t>
            </w:r>
          </w:p>
        </w:tc>
        <w:tc>
          <w:tcPr>
            <w:tcW w:type="dxa" w:w="1728"/>
            <w:vAlign w:val="center"/>
            <w:tcMar>
              <w:top w:w="100" w:type="dxa"/>
              <w:bottom w:w="100" w:type="dxa"/>
              <w:left w:w="120" w:type="dxa"/>
              <w:right w:w="120" w:type="dxa"/>
            </w:tcMar>
            <w:shd w:fill="1E293B"/>
          </w:tcPr>
          <w:p>
            <w:pPr>
              <w:spacing w:before="40" w:after="40"/>
            </w:pPr>
            <w:r>
              <w:rPr>
                <w:b/>
                <w:color w:val="FFFFFF"/>
                <w:sz w:val="18"/>
              </w:rPr>
              <w:t>Target GL Account</w:t>
            </w:r>
          </w:p>
        </w:tc>
      </w:tr>
      <w:tr>
        <w:trPr>
          <w:cantSplit/>
        </w:trPr>
        <w:tc>
          <w:tcPr>
            <w:tcW w:type="dxa" w:w="1152"/>
            <w:vAlign w:val="center"/>
            <w:tcMar>
              <w:top w:w="100" w:type="dxa"/>
              <w:bottom w:w="100" w:type="dxa"/>
              <w:left w:w="120" w:type="dxa"/>
              <w:right w:w="120" w:type="dxa"/>
            </w:tcMar>
            <w:shd w:fill="F8FAFC"/>
          </w:tcPr>
          <w:p>
            <w:pPr>
              <w:spacing w:before="40" w:after="40"/>
            </w:pPr>
            <w:r>
              <w:rPr>
                <w:color w:val="1E293B"/>
                <w:sz w:val="17"/>
              </w:rPr>
              <w:t>10</w:t>
            </w:r>
          </w:p>
        </w:tc>
        <w:tc>
          <w:tcPr>
            <w:tcW w:type="dxa" w:w="1728"/>
            <w:vAlign w:val="center"/>
            <w:tcMar>
              <w:top w:w="100" w:type="dxa"/>
              <w:bottom w:w="100" w:type="dxa"/>
              <w:left w:w="120" w:type="dxa"/>
              <w:right w:w="120" w:type="dxa"/>
            </w:tcMar>
            <w:shd w:fill="F8FAFC"/>
          </w:tcPr>
          <w:p>
            <w:pPr>
              <w:spacing w:before="40" w:after="40"/>
            </w:pPr>
            <w:r>
              <w:rPr>
                <w:color w:val="1E293B"/>
                <w:sz w:val="17"/>
              </w:rPr>
              <w:t>PR00 (Base Price)</w:t>
            </w:r>
          </w:p>
        </w:tc>
        <w:tc>
          <w:tcPr>
            <w:tcW w:type="dxa" w:w="2160"/>
            <w:vAlign w:val="center"/>
            <w:tcMar>
              <w:top w:w="100" w:type="dxa"/>
              <w:bottom w:w="100" w:type="dxa"/>
              <w:left w:w="120" w:type="dxa"/>
              <w:right w:w="120" w:type="dxa"/>
            </w:tcMar>
            <w:shd w:fill="F8FAFC"/>
          </w:tcPr>
          <w:p>
            <w:pPr>
              <w:spacing w:before="40" w:after="40"/>
            </w:pPr>
            <w:r>
              <w:rPr>
                <w:color w:val="1E293B"/>
                <w:sz w:val="17"/>
              </w:rPr>
              <w:t>Standard List Price (₹ 1,000 x 100)</w:t>
            </w:r>
          </w:p>
        </w:tc>
        <w:tc>
          <w:tcPr>
            <w:tcW w:type="dxa" w:w="1584"/>
            <w:vAlign w:val="center"/>
            <w:tcMar>
              <w:top w:w="100" w:type="dxa"/>
              <w:bottom w:w="100" w:type="dxa"/>
              <w:left w:w="120" w:type="dxa"/>
              <w:right w:w="120" w:type="dxa"/>
            </w:tcMar>
            <w:shd w:fill="F8FAFC"/>
          </w:tcPr>
          <w:p>
            <w:pPr>
              <w:spacing w:before="40" w:after="40"/>
            </w:pPr>
            <w:r>
              <w:rPr>
                <w:color w:val="1E293B"/>
                <w:sz w:val="17"/>
              </w:rPr>
              <w:t>₹ 1,00,000.00</w:t>
            </w:r>
          </w:p>
        </w:tc>
        <w:tc>
          <w:tcPr>
            <w:tcW w:type="dxa" w:w="1440"/>
            <w:vAlign w:val="center"/>
            <w:tcMar>
              <w:top w:w="100" w:type="dxa"/>
              <w:bottom w:w="100" w:type="dxa"/>
              <w:left w:w="120" w:type="dxa"/>
              <w:right w:w="120" w:type="dxa"/>
            </w:tcMar>
            <w:shd w:fill="F8FAFC"/>
          </w:tcPr>
          <w:p>
            <w:pPr>
              <w:spacing w:before="40" w:after="40"/>
            </w:pPr>
            <w:r>
              <w:rPr>
                <w:color w:val="1E293B"/>
                <w:sz w:val="17"/>
              </w:rPr>
              <w:t>ERL</w:t>
            </w:r>
          </w:p>
        </w:tc>
        <w:tc>
          <w:tcPr>
            <w:tcW w:type="dxa" w:w="1728"/>
            <w:vAlign w:val="center"/>
            <w:tcMar>
              <w:top w:w="100" w:type="dxa"/>
              <w:bottom w:w="100" w:type="dxa"/>
              <w:left w:w="120" w:type="dxa"/>
              <w:right w:w="120" w:type="dxa"/>
            </w:tcMar>
            <w:shd w:fill="F8FAFC"/>
          </w:tcPr>
          <w:p>
            <w:pPr>
              <w:spacing w:before="40" w:after="40"/>
            </w:pPr>
            <w:r>
              <w:rPr>
                <w:color w:val="1E293B"/>
                <w:sz w:val="17"/>
              </w:rPr>
              <w:t>GL 400000 (Gross Domestic Sales)</w:t>
            </w:r>
          </w:p>
        </w:tc>
      </w:tr>
      <w:tr>
        <w:trPr>
          <w:cantSplit/>
        </w:trPr>
        <w:tc>
          <w:tcPr>
            <w:tcW w:type="dxa" w:w="1152"/>
            <w:vAlign w:val="center"/>
            <w:tcMar>
              <w:top w:w="100" w:type="dxa"/>
              <w:bottom w:w="100" w:type="dxa"/>
              <w:left w:w="120" w:type="dxa"/>
              <w:right w:w="120" w:type="dxa"/>
            </w:tcMar>
            <w:shd w:fill="FFFFFF"/>
          </w:tcPr>
          <w:p>
            <w:pPr>
              <w:spacing w:before="40" w:after="40"/>
            </w:pPr>
            <w:r>
              <w:rPr>
                <w:color w:val="1E293B"/>
                <w:sz w:val="17"/>
              </w:rPr>
              <w:t>20</w:t>
            </w:r>
          </w:p>
        </w:tc>
        <w:tc>
          <w:tcPr>
            <w:tcW w:type="dxa" w:w="1728"/>
            <w:vAlign w:val="center"/>
            <w:tcMar>
              <w:top w:w="100" w:type="dxa"/>
              <w:bottom w:w="100" w:type="dxa"/>
              <w:left w:w="120" w:type="dxa"/>
              <w:right w:w="120" w:type="dxa"/>
            </w:tcMar>
            <w:shd w:fill="FFFFFF"/>
          </w:tcPr>
          <w:p>
            <w:pPr>
              <w:spacing w:before="40" w:after="40"/>
            </w:pPr>
            <w:r>
              <w:rPr>
                <w:color w:val="1E293B"/>
                <w:sz w:val="17"/>
              </w:rPr>
              <w:t>K007 (Cust Discount)</w:t>
            </w:r>
          </w:p>
        </w:tc>
        <w:tc>
          <w:tcPr>
            <w:tcW w:type="dxa" w:w="2160"/>
            <w:vAlign w:val="center"/>
            <w:tcMar>
              <w:top w:w="100" w:type="dxa"/>
              <w:bottom w:w="100" w:type="dxa"/>
              <w:left w:w="120" w:type="dxa"/>
              <w:right w:w="120" w:type="dxa"/>
            </w:tcMar>
            <w:shd w:fill="FFFFFF"/>
          </w:tcPr>
          <w:p>
            <w:pPr>
              <w:spacing w:before="40" w:after="40"/>
            </w:pPr>
            <w:r>
              <w:rPr>
                <w:color w:val="1E293B"/>
                <w:sz w:val="17"/>
              </w:rPr>
              <w:t>Contract Trade Discount (10% on Step 10)</w:t>
            </w:r>
          </w:p>
        </w:tc>
        <w:tc>
          <w:tcPr>
            <w:tcW w:type="dxa" w:w="1584"/>
            <w:vAlign w:val="center"/>
            <w:tcMar>
              <w:top w:w="100" w:type="dxa"/>
              <w:bottom w:w="100" w:type="dxa"/>
              <w:left w:w="120" w:type="dxa"/>
              <w:right w:w="120" w:type="dxa"/>
            </w:tcMar>
            <w:shd w:fill="FFFFFF"/>
          </w:tcPr>
          <w:p>
            <w:pPr>
              <w:spacing w:before="40" w:after="40"/>
            </w:pPr>
            <w:r>
              <w:rPr>
                <w:color w:val="1E293B"/>
                <w:sz w:val="17"/>
              </w:rPr>
              <w:t>- ₹ 10,000.00</w:t>
            </w:r>
          </w:p>
        </w:tc>
        <w:tc>
          <w:tcPr>
            <w:tcW w:type="dxa" w:w="1440"/>
            <w:vAlign w:val="center"/>
            <w:tcMar>
              <w:top w:w="100" w:type="dxa"/>
              <w:bottom w:w="100" w:type="dxa"/>
              <w:left w:w="120" w:type="dxa"/>
              <w:right w:w="120" w:type="dxa"/>
            </w:tcMar>
            <w:shd w:fill="FFFFFF"/>
          </w:tcPr>
          <w:p>
            <w:pPr>
              <w:spacing w:before="40" w:after="40"/>
            </w:pPr>
            <w:r>
              <w:rPr>
                <w:color w:val="1E293B"/>
                <w:sz w:val="17"/>
              </w:rPr>
              <w:t>ERS</w:t>
            </w:r>
          </w:p>
        </w:tc>
        <w:tc>
          <w:tcPr>
            <w:tcW w:type="dxa" w:w="1728"/>
            <w:vAlign w:val="center"/>
            <w:tcMar>
              <w:top w:w="100" w:type="dxa"/>
              <w:bottom w:w="100" w:type="dxa"/>
              <w:left w:w="120" w:type="dxa"/>
              <w:right w:w="120" w:type="dxa"/>
            </w:tcMar>
            <w:shd w:fill="FFFFFF"/>
          </w:tcPr>
          <w:p>
            <w:pPr>
              <w:spacing w:before="40" w:after="40"/>
            </w:pPr>
            <w:r>
              <w:rPr>
                <w:color w:val="1E293B"/>
                <w:sz w:val="17"/>
              </w:rPr>
              <w:t>GL 410000 (Sales Deductions &amp; Discounts)</w:t>
            </w:r>
          </w:p>
        </w:tc>
      </w:tr>
      <w:tr>
        <w:trPr>
          <w:cantSplit/>
        </w:trPr>
        <w:tc>
          <w:tcPr>
            <w:tcW w:type="dxa" w:w="1152"/>
            <w:vAlign w:val="center"/>
            <w:tcMar>
              <w:top w:w="100" w:type="dxa"/>
              <w:bottom w:w="100" w:type="dxa"/>
              <w:left w:w="120" w:type="dxa"/>
              <w:right w:w="120" w:type="dxa"/>
            </w:tcMar>
            <w:shd w:fill="F8FAFC"/>
          </w:tcPr>
          <w:p>
            <w:pPr>
              <w:spacing w:before="40" w:after="40"/>
            </w:pPr>
            <w:r>
              <w:rPr>
                <w:color w:val="1E293B"/>
                <w:sz w:val="17"/>
              </w:rPr>
              <w:t>30</w:t>
            </w:r>
          </w:p>
        </w:tc>
        <w:tc>
          <w:tcPr>
            <w:tcW w:type="dxa" w:w="1728"/>
            <w:vAlign w:val="center"/>
            <w:tcMar>
              <w:top w:w="100" w:type="dxa"/>
              <w:bottom w:w="100" w:type="dxa"/>
              <w:left w:w="120" w:type="dxa"/>
              <w:right w:w="120" w:type="dxa"/>
            </w:tcMar>
            <w:shd w:fill="F8FAFC"/>
          </w:tcPr>
          <w:p>
            <w:pPr>
              <w:spacing w:before="40" w:after="40"/>
            </w:pPr>
            <w:r>
              <w:rPr>
                <w:color w:val="1E293B"/>
                <w:sz w:val="17"/>
              </w:rPr>
              <w:t>KF00 (Freight Charge)</w:t>
            </w:r>
          </w:p>
        </w:tc>
        <w:tc>
          <w:tcPr>
            <w:tcW w:type="dxa" w:w="2160"/>
            <w:vAlign w:val="center"/>
            <w:tcMar>
              <w:top w:w="100" w:type="dxa"/>
              <w:bottom w:w="100" w:type="dxa"/>
              <w:left w:w="120" w:type="dxa"/>
              <w:right w:w="120" w:type="dxa"/>
            </w:tcMar>
            <w:shd w:fill="F8FAFC"/>
          </w:tcPr>
          <w:p>
            <w:pPr>
              <w:spacing w:before="40" w:after="40"/>
            </w:pPr>
            <w:r>
              <w:rPr>
                <w:color w:val="1E293B"/>
                <w:sz w:val="17"/>
              </w:rPr>
              <w:t>Weight-based Delivery Surcharge</w:t>
            </w:r>
          </w:p>
        </w:tc>
        <w:tc>
          <w:tcPr>
            <w:tcW w:type="dxa" w:w="1584"/>
            <w:vAlign w:val="center"/>
            <w:tcMar>
              <w:top w:w="100" w:type="dxa"/>
              <w:bottom w:w="100" w:type="dxa"/>
              <w:left w:w="120" w:type="dxa"/>
              <w:right w:w="120" w:type="dxa"/>
            </w:tcMar>
            <w:shd w:fill="F8FAFC"/>
          </w:tcPr>
          <w:p>
            <w:pPr>
              <w:spacing w:before="40" w:after="40"/>
            </w:pPr>
            <w:r>
              <w:rPr>
                <w:color w:val="1E293B"/>
                <w:sz w:val="17"/>
              </w:rPr>
              <w:t>+ ₹ 2,000.00</w:t>
            </w:r>
          </w:p>
        </w:tc>
        <w:tc>
          <w:tcPr>
            <w:tcW w:type="dxa" w:w="1440"/>
            <w:vAlign w:val="center"/>
            <w:tcMar>
              <w:top w:w="100" w:type="dxa"/>
              <w:bottom w:w="100" w:type="dxa"/>
              <w:left w:w="120" w:type="dxa"/>
              <w:right w:w="120" w:type="dxa"/>
            </w:tcMar>
            <w:shd w:fill="F8FAFC"/>
          </w:tcPr>
          <w:p>
            <w:pPr>
              <w:spacing w:before="40" w:after="40"/>
            </w:pPr>
            <w:r>
              <w:rPr>
                <w:color w:val="1E293B"/>
                <w:sz w:val="17"/>
              </w:rPr>
              <w:t>ERF</w:t>
            </w:r>
          </w:p>
        </w:tc>
        <w:tc>
          <w:tcPr>
            <w:tcW w:type="dxa" w:w="1728"/>
            <w:vAlign w:val="center"/>
            <w:tcMar>
              <w:top w:w="100" w:type="dxa"/>
              <w:bottom w:w="100" w:type="dxa"/>
              <w:left w:w="120" w:type="dxa"/>
              <w:right w:w="120" w:type="dxa"/>
            </w:tcMar>
            <w:shd w:fill="F8FAFC"/>
          </w:tcPr>
          <w:p>
            <w:pPr>
              <w:spacing w:before="40" w:after="40"/>
            </w:pPr>
            <w:r>
              <w:rPr>
                <w:color w:val="1E293B"/>
                <w:sz w:val="17"/>
              </w:rPr>
              <w:t>GL 420000 (Freight Recovery Income)</w:t>
            </w:r>
          </w:p>
        </w:tc>
      </w:tr>
      <w:tr>
        <w:trPr>
          <w:cantSplit/>
        </w:trPr>
        <w:tc>
          <w:tcPr>
            <w:tcW w:type="dxa" w:w="1152"/>
            <w:vAlign w:val="center"/>
            <w:tcMar>
              <w:top w:w="100" w:type="dxa"/>
              <w:bottom w:w="100" w:type="dxa"/>
              <w:left w:w="120" w:type="dxa"/>
              <w:right w:w="120" w:type="dxa"/>
            </w:tcMar>
            <w:shd w:fill="FFFFFF"/>
          </w:tcPr>
          <w:p>
            <w:pPr>
              <w:spacing w:before="40" w:after="40"/>
            </w:pPr>
            <w:r>
              <w:rPr>
                <w:color w:val="1E293B"/>
                <w:sz w:val="17"/>
              </w:rPr>
              <w:t>40</w:t>
            </w:r>
          </w:p>
        </w:tc>
        <w:tc>
          <w:tcPr>
            <w:tcW w:type="dxa" w:w="1728"/>
            <w:vAlign w:val="center"/>
            <w:tcMar>
              <w:top w:w="100" w:type="dxa"/>
              <w:bottom w:w="100" w:type="dxa"/>
              <w:left w:w="120" w:type="dxa"/>
              <w:right w:w="120" w:type="dxa"/>
            </w:tcMar>
            <w:shd w:fill="FFFFFF"/>
          </w:tcPr>
          <w:p>
            <w:pPr>
              <w:spacing w:before="40" w:after="40"/>
            </w:pPr>
            <w:r>
              <w:rPr>
                <w:color w:val="1E293B"/>
                <w:sz w:val="17"/>
              </w:rPr>
              <w:t>CGST (Tax Slab)</w:t>
            </w:r>
          </w:p>
        </w:tc>
        <w:tc>
          <w:tcPr>
            <w:tcW w:type="dxa" w:w="2160"/>
            <w:vAlign w:val="center"/>
            <w:tcMar>
              <w:top w:w="100" w:type="dxa"/>
              <w:bottom w:w="100" w:type="dxa"/>
              <w:left w:w="120" w:type="dxa"/>
              <w:right w:w="120" w:type="dxa"/>
            </w:tcMar>
            <w:shd w:fill="FFFFFF"/>
          </w:tcPr>
          <w:p>
            <w:pPr>
              <w:spacing w:before="40" w:after="40"/>
            </w:pPr>
            <w:r>
              <w:rPr>
                <w:color w:val="1E293B"/>
                <w:sz w:val="17"/>
              </w:rPr>
              <w:t>Central GST (9% on Subtotal ₹ 92,000)</w:t>
            </w:r>
          </w:p>
        </w:tc>
        <w:tc>
          <w:tcPr>
            <w:tcW w:type="dxa" w:w="1584"/>
            <w:vAlign w:val="center"/>
            <w:tcMar>
              <w:top w:w="100" w:type="dxa"/>
              <w:bottom w:w="100" w:type="dxa"/>
              <w:left w:w="120" w:type="dxa"/>
              <w:right w:w="120" w:type="dxa"/>
            </w:tcMar>
            <w:shd w:fill="FFFFFF"/>
          </w:tcPr>
          <w:p>
            <w:pPr>
              <w:spacing w:before="40" w:after="40"/>
            </w:pPr>
            <w:r>
              <w:rPr>
                <w:color w:val="1E293B"/>
                <w:sz w:val="17"/>
              </w:rPr>
              <w:t>+ ₹ 8,280.00</w:t>
            </w:r>
          </w:p>
        </w:tc>
        <w:tc>
          <w:tcPr>
            <w:tcW w:type="dxa" w:w="1440"/>
            <w:vAlign w:val="center"/>
            <w:tcMar>
              <w:top w:w="100" w:type="dxa"/>
              <w:bottom w:w="100" w:type="dxa"/>
              <w:left w:w="120" w:type="dxa"/>
              <w:right w:w="120" w:type="dxa"/>
            </w:tcMar>
            <w:shd w:fill="FFFFFF"/>
          </w:tcPr>
          <w:p>
            <w:pPr>
              <w:spacing w:before="40" w:after="40"/>
            </w:pPr>
            <w:r>
              <w:rPr>
                <w:color w:val="1E293B"/>
                <w:sz w:val="17"/>
              </w:rPr>
              <w:t>MWS</w:t>
            </w:r>
          </w:p>
        </w:tc>
        <w:tc>
          <w:tcPr>
            <w:tcW w:type="dxa" w:w="1728"/>
            <w:vAlign w:val="center"/>
            <w:tcMar>
              <w:top w:w="100" w:type="dxa"/>
              <w:bottom w:w="100" w:type="dxa"/>
              <w:left w:w="120" w:type="dxa"/>
              <w:right w:w="120" w:type="dxa"/>
            </w:tcMar>
            <w:shd w:fill="FFFFFF"/>
          </w:tcPr>
          <w:p>
            <w:pPr>
              <w:spacing w:before="40" w:after="40"/>
            </w:pPr>
            <w:r>
              <w:rPr>
                <w:color w:val="1E293B"/>
                <w:sz w:val="17"/>
              </w:rPr>
              <w:t>GL 220010 (Output CGST Payable)</w:t>
            </w:r>
          </w:p>
        </w:tc>
      </w:tr>
      <w:tr>
        <w:trPr>
          <w:cantSplit/>
        </w:trPr>
        <w:tc>
          <w:tcPr>
            <w:tcW w:type="dxa" w:w="1152"/>
            <w:vAlign w:val="center"/>
            <w:tcMar>
              <w:top w:w="100" w:type="dxa"/>
              <w:bottom w:w="100" w:type="dxa"/>
              <w:left w:w="120" w:type="dxa"/>
              <w:right w:w="120" w:type="dxa"/>
            </w:tcMar>
            <w:shd w:fill="F8FAFC"/>
          </w:tcPr>
          <w:p>
            <w:pPr>
              <w:spacing w:before="40" w:after="40"/>
            </w:pPr>
            <w:r>
              <w:rPr>
                <w:color w:val="1E293B"/>
                <w:sz w:val="17"/>
              </w:rPr>
              <w:t>50</w:t>
            </w:r>
          </w:p>
        </w:tc>
        <w:tc>
          <w:tcPr>
            <w:tcW w:type="dxa" w:w="1728"/>
            <w:vAlign w:val="center"/>
            <w:tcMar>
              <w:top w:w="100" w:type="dxa"/>
              <w:bottom w:w="100" w:type="dxa"/>
              <w:left w:w="120" w:type="dxa"/>
              <w:right w:w="120" w:type="dxa"/>
            </w:tcMar>
            <w:shd w:fill="F8FAFC"/>
          </w:tcPr>
          <w:p>
            <w:pPr>
              <w:spacing w:before="40" w:after="40"/>
            </w:pPr>
            <w:r>
              <w:rPr>
                <w:color w:val="1E293B"/>
                <w:sz w:val="17"/>
              </w:rPr>
              <w:t>SGST (Tax Slab)</w:t>
            </w:r>
          </w:p>
        </w:tc>
        <w:tc>
          <w:tcPr>
            <w:tcW w:type="dxa" w:w="2160"/>
            <w:vAlign w:val="center"/>
            <w:tcMar>
              <w:top w:w="100" w:type="dxa"/>
              <w:bottom w:w="100" w:type="dxa"/>
              <w:left w:w="120" w:type="dxa"/>
              <w:right w:w="120" w:type="dxa"/>
            </w:tcMar>
            <w:shd w:fill="F8FAFC"/>
          </w:tcPr>
          <w:p>
            <w:pPr>
              <w:spacing w:before="40" w:after="40"/>
            </w:pPr>
            <w:r>
              <w:rPr>
                <w:color w:val="1E293B"/>
                <w:sz w:val="17"/>
              </w:rPr>
              <w:t>State GST (9% on Subtotal ₹ 92,000)</w:t>
            </w:r>
          </w:p>
        </w:tc>
        <w:tc>
          <w:tcPr>
            <w:tcW w:type="dxa" w:w="1584"/>
            <w:vAlign w:val="center"/>
            <w:tcMar>
              <w:top w:w="100" w:type="dxa"/>
              <w:bottom w:w="100" w:type="dxa"/>
              <w:left w:w="120" w:type="dxa"/>
              <w:right w:w="120" w:type="dxa"/>
            </w:tcMar>
            <w:shd w:fill="F8FAFC"/>
          </w:tcPr>
          <w:p>
            <w:pPr>
              <w:spacing w:before="40" w:after="40"/>
            </w:pPr>
            <w:r>
              <w:rPr>
                <w:color w:val="1E293B"/>
                <w:sz w:val="17"/>
              </w:rPr>
              <w:t>+ ₹ 8,280.00</w:t>
            </w:r>
          </w:p>
        </w:tc>
        <w:tc>
          <w:tcPr>
            <w:tcW w:type="dxa" w:w="1440"/>
            <w:vAlign w:val="center"/>
            <w:tcMar>
              <w:top w:w="100" w:type="dxa"/>
              <w:bottom w:w="100" w:type="dxa"/>
              <w:left w:w="120" w:type="dxa"/>
              <w:right w:w="120" w:type="dxa"/>
            </w:tcMar>
            <w:shd w:fill="F8FAFC"/>
          </w:tcPr>
          <w:p>
            <w:pPr>
              <w:spacing w:before="40" w:after="40"/>
            </w:pPr>
            <w:r>
              <w:rPr>
                <w:color w:val="1E293B"/>
                <w:sz w:val="17"/>
              </w:rPr>
              <w:t>MWS</w:t>
            </w:r>
          </w:p>
        </w:tc>
        <w:tc>
          <w:tcPr>
            <w:tcW w:type="dxa" w:w="1728"/>
            <w:vAlign w:val="center"/>
            <w:tcMar>
              <w:top w:w="100" w:type="dxa"/>
              <w:bottom w:w="100" w:type="dxa"/>
              <w:left w:w="120" w:type="dxa"/>
              <w:right w:w="120" w:type="dxa"/>
            </w:tcMar>
            <w:shd w:fill="F8FAFC"/>
          </w:tcPr>
          <w:p>
            <w:pPr>
              <w:spacing w:before="40" w:after="40"/>
            </w:pPr>
            <w:r>
              <w:rPr>
                <w:color w:val="1E293B"/>
                <w:sz w:val="17"/>
              </w:rPr>
              <w:t>GL 220020 (Output SGST Payable)</w:t>
            </w:r>
          </w:p>
        </w:tc>
      </w:tr>
    </w:tbl>
    <w:p>
      <w:r>
        <w:t>Total Billed to Customer AR: ₹ 1,08,560.00 (Balanced across 5 General Ledger Accounts atomically).</w:t>
      </w:r>
    </w:p>
    <w:p>
      <w:pPr>
        <w:pStyle w:val="Heading1"/>
        <w:spacing w:before="280"/>
      </w:pPr>
      <w:r>
        <w:t>6. Advanced Outstanding Management: Bill-by-Bill Allocation Engine</w:t>
      </w:r>
    </w:p>
    <w:p>
      <w:r>
        <w:t>Standard accounting packages simply tell you that a customer owes ₹ 50,000 in total. In contrast, industry standards in India (TallyPrime and Marg ERP) require strict 'Bill-wise Details' to know exactly WHICH specific invoices are unpaid. This enables accurate 30/60/90-day aging, overdue interest calculation, and automated dunning notices.</w:t>
      </w:r>
    </w:p>
    <w:p>
      <w:pPr>
        <w:pStyle w:val="Heading2"/>
      </w:pPr>
      <w:r>
        <w:t>6.1 The 4 Core Bill Reference Types</w:t>
      </w:r>
    </w:p>
    <w:p>
      <w:pPr>
        <w:pStyle w:val="ListBullet"/>
      </w:pPr>
      <w:r>
        <w:t>1. New Ref (New Reference): Created whenever a Sales or Purchase Invoice is posted. Registers a distinct open item tracked by invoice number (e.g., INV/26-27/0101 for ₹ 25,000).</w:t>
      </w:r>
    </w:p>
    <w:p>
      <w:pPr>
        <w:pStyle w:val="ListBullet"/>
      </w:pPr>
      <w:r>
        <w:t>2. Agst Ref (Against Reference): Used during Receipt or Payment vouchers. Forces the user to allocate incoming funds against one or more specific pending 'New Ref' records.</w:t>
      </w:r>
    </w:p>
    <w:p>
      <w:pPr>
        <w:pStyle w:val="ListBullet"/>
      </w:pPr>
      <w:r>
        <w:t>3. Advance: Used when a customer deposits money before an invoice exists. Remains an unallocated credit open item until matched against future invoices.</w:t>
      </w:r>
    </w:p>
    <w:p>
      <w:pPr>
        <w:pStyle w:val="ListBullet"/>
      </w:pPr>
      <w:r>
        <w:t>4. On Account: Used for lump-sum ad-hoc collections where the specific invoice reference is unknown at the moment of payment receipt.</w:t>
      </w:r>
    </w:p>
    <w:p>
      <w:pPr>
        <w:pStyle w:val="Heading2"/>
      </w:pPr>
      <w:r>
        <w:t>6.2 The Relational Bridge Schema (`invoice_allocations`)</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3360"/>
        <w:gridCol w:w="3360"/>
        <w:gridCol w:w="3360"/>
      </w:tblGrid>
      <w:tr>
        <w:trPr>
          <w:cantSplit/>
          <w:tblHeader/>
        </w:trPr>
        <w:tc>
          <w:tcPr>
            <w:tcW w:type="dxa" w:w="2592"/>
            <w:vAlign w:val="center"/>
            <w:tcMar>
              <w:top w:w="100" w:type="dxa"/>
              <w:bottom w:w="100" w:type="dxa"/>
              <w:left w:w="120" w:type="dxa"/>
              <w:right w:w="120" w:type="dxa"/>
            </w:tcMar>
            <w:shd w:fill="1E293B"/>
          </w:tcPr>
          <w:p>
            <w:pPr>
              <w:spacing w:before="40" w:after="40"/>
            </w:pPr>
            <w:r>
              <w:rPr>
                <w:b/>
                <w:color w:val="FFFFFF"/>
                <w:sz w:val="18"/>
              </w:rPr>
              <w:t>Field Name</w:t>
            </w:r>
          </w:p>
        </w:tc>
        <w:tc>
          <w:tcPr>
            <w:tcW w:type="dxa" w:w="2592"/>
            <w:vAlign w:val="center"/>
            <w:tcMar>
              <w:top w:w="100" w:type="dxa"/>
              <w:bottom w:w="100" w:type="dxa"/>
              <w:left w:w="120" w:type="dxa"/>
              <w:right w:w="120" w:type="dxa"/>
            </w:tcMar>
            <w:shd w:fill="1E293B"/>
          </w:tcPr>
          <w:p>
            <w:pPr>
              <w:spacing w:before="40" w:after="40"/>
            </w:pPr>
            <w:r>
              <w:rPr>
                <w:b/>
                <w:color w:val="FFFFFF"/>
                <w:sz w:val="18"/>
              </w:rPr>
              <w:t>Data Type</w:t>
            </w:r>
          </w:p>
        </w:tc>
        <w:tc>
          <w:tcPr>
            <w:tcW w:type="dxa" w:w="4608"/>
            <w:vAlign w:val="center"/>
            <w:tcMar>
              <w:top w:w="100" w:type="dxa"/>
              <w:bottom w:w="100" w:type="dxa"/>
              <w:left w:w="120" w:type="dxa"/>
              <w:right w:w="120" w:type="dxa"/>
            </w:tcMar>
            <w:shd w:fill="1E293B"/>
          </w:tcPr>
          <w:p>
            <w:pPr>
              <w:spacing w:before="40" w:after="40"/>
            </w:pPr>
            <w:r>
              <w:rPr>
                <w:b/>
                <w:color w:val="FFFFFF"/>
                <w:sz w:val="18"/>
              </w:rPr>
              <w:t>Architectural Purpose &amp; Constraints</w:t>
            </w:r>
          </w:p>
        </w:tc>
      </w:tr>
      <w:tr>
        <w:trPr>
          <w:cantSplit/>
        </w:trPr>
        <w:tc>
          <w:tcPr>
            <w:tcW w:type="dxa" w:w="2592"/>
            <w:vAlign w:val="center"/>
            <w:tcMar>
              <w:top w:w="100" w:type="dxa"/>
              <w:bottom w:w="100" w:type="dxa"/>
              <w:left w:w="120" w:type="dxa"/>
              <w:right w:w="120" w:type="dxa"/>
            </w:tcMar>
            <w:shd w:fill="F8FAFC"/>
          </w:tcPr>
          <w:p>
            <w:pPr>
              <w:spacing w:before="40" w:after="40"/>
            </w:pPr>
            <w:r>
              <w:rPr>
                <w:color w:val="1E293B"/>
                <w:sz w:val="17"/>
              </w:rPr>
              <w:t>id</w:t>
            </w:r>
          </w:p>
        </w:tc>
        <w:tc>
          <w:tcPr>
            <w:tcW w:type="dxa" w:w="2592"/>
            <w:vAlign w:val="center"/>
            <w:tcMar>
              <w:top w:w="100" w:type="dxa"/>
              <w:bottom w:w="100" w:type="dxa"/>
              <w:left w:w="120" w:type="dxa"/>
              <w:right w:w="120" w:type="dxa"/>
            </w:tcMar>
            <w:shd w:fill="F8FAFC"/>
          </w:tcPr>
          <w:p>
            <w:pPr>
              <w:spacing w:before="40" w:after="40"/>
            </w:pPr>
            <w:r>
              <w:rPr>
                <w:color w:val="1E293B"/>
                <w:sz w:val="17"/>
              </w:rPr>
              <w:t>UUID (Primary Key)</w:t>
            </w:r>
          </w:p>
        </w:tc>
        <w:tc>
          <w:tcPr>
            <w:tcW w:type="dxa" w:w="4608"/>
            <w:vAlign w:val="center"/>
            <w:tcMar>
              <w:top w:w="100" w:type="dxa"/>
              <w:bottom w:w="100" w:type="dxa"/>
              <w:left w:w="120" w:type="dxa"/>
              <w:right w:w="120" w:type="dxa"/>
            </w:tcMar>
            <w:shd w:fill="F8FAFC"/>
          </w:tcPr>
          <w:p>
            <w:pPr>
              <w:spacing w:before="40" w:after="40"/>
            </w:pPr>
            <w:r>
              <w:rPr>
                <w:color w:val="1E293B"/>
                <w:sz w:val="17"/>
              </w:rPr>
              <w:t>Unique identifier for the allocation record.</w:t>
            </w:r>
          </w:p>
        </w:tc>
      </w:tr>
      <w:tr>
        <w:trPr>
          <w:cantSplit/>
        </w:trPr>
        <w:tc>
          <w:tcPr>
            <w:tcW w:type="dxa" w:w="2592"/>
            <w:vAlign w:val="center"/>
            <w:tcMar>
              <w:top w:w="100" w:type="dxa"/>
              <w:bottom w:w="100" w:type="dxa"/>
              <w:left w:w="120" w:type="dxa"/>
              <w:right w:w="120" w:type="dxa"/>
            </w:tcMar>
            <w:shd w:fill="FFFFFF"/>
          </w:tcPr>
          <w:p>
            <w:pPr>
              <w:spacing w:before="40" w:after="40"/>
            </w:pPr>
            <w:r>
              <w:rPr>
                <w:color w:val="1E293B"/>
                <w:sz w:val="17"/>
              </w:rPr>
              <w:t>receipt_voucher_id</w:t>
            </w:r>
          </w:p>
        </w:tc>
        <w:tc>
          <w:tcPr>
            <w:tcW w:type="dxa" w:w="2592"/>
            <w:vAlign w:val="center"/>
            <w:tcMar>
              <w:top w:w="100" w:type="dxa"/>
              <w:bottom w:w="100" w:type="dxa"/>
              <w:left w:w="120" w:type="dxa"/>
              <w:right w:w="120" w:type="dxa"/>
            </w:tcMar>
            <w:shd w:fill="FFFFFF"/>
          </w:tcPr>
          <w:p>
            <w:pPr>
              <w:spacing w:before="40" w:after="40"/>
            </w:pPr>
            <w:r>
              <w:rPr>
                <w:color w:val="1E293B"/>
                <w:sz w:val="17"/>
              </w:rPr>
              <w:t>UUID (Foreign Key)</w:t>
            </w:r>
          </w:p>
        </w:tc>
        <w:tc>
          <w:tcPr>
            <w:tcW w:type="dxa" w:w="4608"/>
            <w:vAlign w:val="center"/>
            <w:tcMar>
              <w:top w:w="100" w:type="dxa"/>
              <w:bottom w:w="100" w:type="dxa"/>
              <w:left w:w="120" w:type="dxa"/>
              <w:right w:w="120" w:type="dxa"/>
            </w:tcMar>
            <w:shd w:fill="FFFFFF"/>
          </w:tcPr>
          <w:p>
            <w:pPr>
              <w:spacing w:before="40" w:after="40"/>
            </w:pPr>
            <w:r>
              <w:rPr>
                <w:color w:val="1E293B"/>
                <w:sz w:val="17"/>
              </w:rPr>
              <w:t>Links to the Payment/Receipt Voucher record in `vouchers` table.</w:t>
            </w:r>
          </w:p>
        </w:tc>
      </w:tr>
      <w:tr>
        <w:trPr>
          <w:cantSplit/>
        </w:trPr>
        <w:tc>
          <w:tcPr>
            <w:tcW w:type="dxa" w:w="2592"/>
            <w:vAlign w:val="center"/>
            <w:tcMar>
              <w:top w:w="100" w:type="dxa"/>
              <w:bottom w:w="100" w:type="dxa"/>
              <w:left w:w="120" w:type="dxa"/>
              <w:right w:w="120" w:type="dxa"/>
            </w:tcMar>
            <w:shd w:fill="F8FAFC"/>
          </w:tcPr>
          <w:p>
            <w:pPr>
              <w:spacing w:before="40" w:after="40"/>
            </w:pPr>
            <w:r>
              <w:rPr>
                <w:color w:val="1E293B"/>
                <w:sz w:val="17"/>
              </w:rPr>
              <w:t>invoice_voucher_id</w:t>
            </w:r>
          </w:p>
        </w:tc>
        <w:tc>
          <w:tcPr>
            <w:tcW w:type="dxa" w:w="2592"/>
            <w:vAlign w:val="center"/>
            <w:tcMar>
              <w:top w:w="100" w:type="dxa"/>
              <w:bottom w:w="100" w:type="dxa"/>
              <w:left w:w="120" w:type="dxa"/>
              <w:right w:w="120" w:type="dxa"/>
            </w:tcMar>
            <w:shd w:fill="F8FAFC"/>
          </w:tcPr>
          <w:p>
            <w:pPr>
              <w:spacing w:before="40" w:after="40"/>
            </w:pPr>
            <w:r>
              <w:rPr>
                <w:color w:val="1E293B"/>
                <w:sz w:val="17"/>
              </w:rPr>
              <w:t>UUID (Foreign Key)</w:t>
            </w:r>
          </w:p>
        </w:tc>
        <w:tc>
          <w:tcPr>
            <w:tcW w:type="dxa" w:w="4608"/>
            <w:vAlign w:val="center"/>
            <w:tcMar>
              <w:top w:w="100" w:type="dxa"/>
              <w:bottom w:w="100" w:type="dxa"/>
              <w:left w:w="120" w:type="dxa"/>
              <w:right w:w="120" w:type="dxa"/>
            </w:tcMar>
            <w:shd w:fill="F8FAFC"/>
          </w:tcPr>
          <w:p>
            <w:pPr>
              <w:spacing w:before="40" w:after="40"/>
            </w:pPr>
            <w:r>
              <w:rPr>
                <w:color w:val="1E293B"/>
                <w:sz w:val="17"/>
              </w:rPr>
              <w:t>Links to the target Sales/Purchase Invoice record being settled.</w:t>
            </w:r>
          </w:p>
        </w:tc>
      </w:tr>
      <w:tr>
        <w:trPr>
          <w:cantSplit/>
        </w:trPr>
        <w:tc>
          <w:tcPr>
            <w:tcW w:type="dxa" w:w="2592"/>
            <w:vAlign w:val="center"/>
            <w:tcMar>
              <w:top w:w="100" w:type="dxa"/>
              <w:bottom w:w="100" w:type="dxa"/>
              <w:left w:w="120" w:type="dxa"/>
              <w:right w:w="120" w:type="dxa"/>
            </w:tcMar>
            <w:shd w:fill="FFFFFF"/>
          </w:tcPr>
          <w:p>
            <w:pPr>
              <w:spacing w:before="40" w:after="40"/>
            </w:pPr>
            <w:r>
              <w:rPr>
                <w:color w:val="1E293B"/>
                <w:sz w:val="17"/>
              </w:rPr>
              <w:t>allocated_amount</w:t>
            </w:r>
          </w:p>
        </w:tc>
        <w:tc>
          <w:tcPr>
            <w:tcW w:type="dxa" w:w="2592"/>
            <w:vAlign w:val="center"/>
            <w:tcMar>
              <w:top w:w="100" w:type="dxa"/>
              <w:bottom w:w="100" w:type="dxa"/>
              <w:left w:w="120" w:type="dxa"/>
              <w:right w:w="120" w:type="dxa"/>
            </w:tcMar>
            <w:shd w:fill="FFFFFF"/>
          </w:tcPr>
          <w:p>
            <w:pPr>
              <w:spacing w:before="40" w:after="40"/>
            </w:pPr>
            <w:r>
              <w:rPr>
                <w:color w:val="1E293B"/>
                <w:sz w:val="17"/>
              </w:rPr>
              <w:t>Decimal(18, 4)</w:t>
            </w:r>
          </w:p>
        </w:tc>
        <w:tc>
          <w:tcPr>
            <w:tcW w:type="dxa" w:w="4608"/>
            <w:vAlign w:val="center"/>
            <w:tcMar>
              <w:top w:w="100" w:type="dxa"/>
              <w:bottom w:w="100" w:type="dxa"/>
              <w:left w:w="120" w:type="dxa"/>
              <w:right w:w="120" w:type="dxa"/>
            </w:tcMar>
            <w:shd w:fill="FFFFFF"/>
          </w:tcPr>
          <w:p>
            <w:pPr>
              <w:spacing w:before="40" w:after="40"/>
            </w:pPr>
            <w:r>
              <w:rPr>
                <w:color w:val="1E293B"/>
                <w:sz w:val="17"/>
              </w:rPr>
              <w:t>Exact monetary portion of the receipt applied to this invoice.</w:t>
            </w:r>
          </w:p>
        </w:tc>
      </w:tr>
      <w:tr>
        <w:trPr>
          <w:cantSplit/>
        </w:trPr>
        <w:tc>
          <w:tcPr>
            <w:tcW w:type="dxa" w:w="2592"/>
            <w:vAlign w:val="center"/>
            <w:tcMar>
              <w:top w:w="100" w:type="dxa"/>
              <w:bottom w:w="100" w:type="dxa"/>
              <w:left w:w="120" w:type="dxa"/>
              <w:right w:w="120" w:type="dxa"/>
            </w:tcMar>
            <w:shd w:fill="F8FAFC"/>
          </w:tcPr>
          <w:p>
            <w:pPr>
              <w:spacing w:before="40" w:after="40"/>
            </w:pPr>
            <w:r>
              <w:rPr>
                <w:color w:val="1E293B"/>
                <w:sz w:val="17"/>
              </w:rPr>
              <w:t>allocation_date</w:t>
            </w:r>
          </w:p>
        </w:tc>
        <w:tc>
          <w:tcPr>
            <w:tcW w:type="dxa" w:w="2592"/>
            <w:vAlign w:val="center"/>
            <w:tcMar>
              <w:top w:w="100" w:type="dxa"/>
              <w:bottom w:w="100" w:type="dxa"/>
              <w:left w:w="120" w:type="dxa"/>
              <w:right w:w="120" w:type="dxa"/>
            </w:tcMar>
            <w:shd w:fill="F8FAFC"/>
          </w:tcPr>
          <w:p>
            <w:pPr>
              <w:spacing w:before="40" w:after="40"/>
            </w:pPr>
            <w:r>
              <w:rPr>
                <w:color w:val="1E293B"/>
                <w:sz w:val="17"/>
              </w:rPr>
              <w:t>TIMESTAMP</w:t>
            </w:r>
          </w:p>
        </w:tc>
        <w:tc>
          <w:tcPr>
            <w:tcW w:type="dxa" w:w="4608"/>
            <w:vAlign w:val="center"/>
            <w:tcMar>
              <w:top w:w="100" w:type="dxa"/>
              <w:bottom w:w="100" w:type="dxa"/>
              <w:left w:w="120" w:type="dxa"/>
              <w:right w:w="120" w:type="dxa"/>
            </w:tcMar>
            <w:shd w:fill="F8FAFC"/>
          </w:tcPr>
          <w:p>
            <w:pPr>
              <w:spacing w:before="40" w:after="40"/>
            </w:pPr>
            <w:r>
              <w:rPr>
                <w:color w:val="1E293B"/>
                <w:sz w:val="17"/>
              </w:rPr>
              <w:t>Date when the allocation was executed for aging accuracy.</w:t>
            </w:r>
          </w:p>
        </w:tc>
      </w:tr>
    </w:tbl>
    <w:p/>
    <w:p>
      <w:pPr>
        <w:pStyle w:val="Heading1"/>
        <w:spacing w:before="280"/>
      </w:pPr>
      <w:r>
        <w:t>7. High-Concurrency Financial Core &amp; Scaling Tactics</w:t>
      </w:r>
    </w:p>
    <w:p>
      <w:r>
        <w:t>To support thousands of cashier terminals, warehouse barcode scanners, and API webhooks processing transactions simultaneously, our database engine eliminates relational write bottlenecks using 5 high-throughput engineering pillars:</w:t>
      </w:r>
    </w:p>
    <w:tbl>
      <w:tblPr>
        <w:tblW w:type="auto" w:w="0"/>
        <w:jc w:val="center"/>
        <w:tblLayout w:type="fixed"/>
        <w:tblLook w:firstColumn="1" w:firstRow="1" w:lastColumn="0" w:lastRow="0" w:noHBand="0" w:noVBand="1" w:val="04A0"/>
      </w:tblPr>
      <w:tblGrid>
        <w:gridCol w:w="9792"/>
      </w:tblGrid>
      <w:tr>
        <w:tc>
          <w:tcPr>
            <w:tcW w:type="dxa" w:w="10080"/>
            <w:shd w:fill="F0FDF4"/>
            <w:tcMar>
              <w:top w:w="140" w:type="dxa"/>
              <w:bottom w:w="140" w:type="dxa"/>
              <w:left w:w="180" w:type="dxa"/>
              <w:right w:w="180" w:type="dxa"/>
            </w:tcMar>
            <w:tcBorders>
              <w:top w:val="none"/>
              <w:left w:val="single" w:sz="24" w:space="0" w:color="16A34A"/>
              <w:bottom w:val="none"/>
              <w:right w:val="none"/>
            </w:tcBorders>
          </w:tcPr>
          <w:p>
            <w:pPr>
              <w:spacing w:before="40" w:after="80"/>
            </w:pPr>
            <w:r>
              <w:rPr>
                <w:b/>
                <w:color w:val="0F172A"/>
                <w:sz w:val="21"/>
              </w:rPr>
              <w:t>📌 THE 5 HIGH-THROUGHPUT ENGINEERING PILLARS</w:t>
              <w:br/>
            </w:r>
          </w:p>
          <w:p>
            <w:pPr>
              <w:spacing w:before="0" w:after="40"/>
            </w:pPr>
            <w:r>
              <w:rPr>
                <w:color w:val="334155"/>
                <w:sz w:val="19"/>
              </w:rPr>
              <w:t>1. CQRS &amp; Append-Only Log: Writes perform fast sequential INSERTs into `vouchers` and `voucher_entries`. No locks are placed on parent `ledgers` rows.</w:t>
            </w:r>
          </w:p>
          <w:p>
            <w:pPr>
              <w:spacing w:before="0" w:after="40"/>
            </w:pPr>
            <w:r>
              <w:rPr>
                <w:color w:val="334155"/>
                <w:sz w:val="19"/>
              </w:rPr>
              <w:t>2. Deterministic Lexicographical Lock Sorting: Multi-leg voucher transactions sort target Ledger UUIDs alphabetically before acquiring DB locks, guaranteeing ZERO deadlocks.</w:t>
            </w:r>
          </w:p>
          <w:p>
            <w:pPr>
              <w:spacing w:before="0" w:after="40"/>
            </w:pPr>
            <w:r>
              <w:rPr>
                <w:color w:val="334155"/>
                <w:sz w:val="19"/>
              </w:rPr>
              <w:t>3. Delta Rollup Checkpoint Algorithm: Trial balances fetch pre-aggregated monthly snapshots and only sum transactions occurring in the current delta window.</w:t>
            </w:r>
          </w:p>
          <w:p>
            <w:pPr>
              <w:spacing w:before="0" w:after="40"/>
            </w:pPr>
            <w:r>
              <w:rPr>
                <w:color w:val="334155"/>
                <w:sz w:val="19"/>
              </w:rPr>
              <w:t>4. PostgreSQL Declarative Range Partitioning: `voucher_entries` table is partitioned by Fiscal Year and Date Ranges for instant B-Tree index traversal.</w:t>
            </w:r>
          </w:p>
          <w:p>
            <w:pPr>
              <w:spacing w:before="0" w:after="40"/>
            </w:pPr>
            <w:r>
              <w:rPr>
                <w:color w:val="334155"/>
                <w:sz w:val="19"/>
              </w:rPr>
              <w:t>5. In-Memory Redis Financial Cache: Dashboard balances (Cash, Bank, Debtors, Creditors) update asynchronously in Redis for sub-5ms UI responses.</w:t>
            </w:r>
          </w:p>
        </w:tc>
      </w:tr>
    </w:tbl>
    <w:p/>
    <w:p>
      <w:pPr>
        <w:pStyle w:val="Heading1"/>
        <w:spacing w:before="280"/>
      </w:pPr>
      <w:r>
        <w:t>8. Statutory Tax Settlement &amp; Period Closing Architecture</w:t>
      </w:r>
    </w:p>
    <w:p>
      <w:pPr>
        <w:pStyle w:val="ListBullet"/>
      </w:pPr>
      <w:r>
        <w:t>8.1 GST / VAT Settlement Run Engine:</w:t>
      </w:r>
    </w:p>
    <w:p>
      <w:r>
        <w:t>At month-end, the ERP automated tax engine aggregates all Input Tax Credit (ITC - Asset) and Output Tax (Liability). It executes an atomic settlement voucher that offsets ITC against Output Liability, booking the net balance to the Electronic Liability Ledger for payment to the government.</w:t>
      </w:r>
    </w:p>
    <w:p>
      <w:pPr>
        <w:pStyle w:val="ListBullet"/>
      </w:pPr>
      <w:r>
        <w:t>8.2 Period Locking (Soft Lock vs. Hard Lock):</w:t>
      </w:r>
    </w:p>
    <w:p>
      <w:r>
        <w:t>• Soft Lock: Triggers warning dialogs for accounting staff when back-dated entries are attempted outside the active month.</w:t>
        <w:br/>
        <w:t>• Hard Lock: Enforces strict database-level immutability. No vouchers can be created, edited, or cancelled in locked historical periods.</w:t>
      </w:r>
    </w:p>
    <w:p>
      <w:pPr>
        <w:pStyle w:val="ListBullet"/>
      </w:pPr>
      <w:r>
        <w:t>8.3 Fiscal Year-End Carry Forward (P&amp;L Sweep &amp; Balance Roll):</w:t>
      </w:r>
    </w:p>
    <w:p>
      <w:r>
        <w:t>At midnight on 31st March, the Year-End Close workflow executes two distinct mathematical transformations:</w:t>
        <w:br/>
        <w:t>1. Nominal Reset: All Sales, Purchases, Expenses, and Incomes (Nominal accounts) are computed for Net Profit / Net Loss. The net result is swept into 'Reserves &amp; Surplus / Retained Earnings' equity on the Balance Sheet. Nominal accounts reset to ₹ 0.00 for the new year.</w:t>
        <w:br/>
        <w:t>2. Balance Roll-Forward: All Real &amp; Personal accounts (Assets, Liabilities, Banks, Cash, Debtors, Creditors) carry forward their exact closing balances as the new Fiscal Year opening balances in the `ledger_balances` table.</w:t>
      </w:r>
    </w:p>
    <w:p>
      <w:pPr>
        <w:pStyle w:val="Heading1"/>
        <w:spacing w:before="280"/>
      </w:pPr>
      <w:r>
        <w:t>9. Exhaustive List of Supported ERP Finance &amp; Billing Modules</w:t>
      </w:r>
    </w:p>
    <w:p>
      <w:pPr>
        <w:pStyle w:val="ListBullet"/>
      </w:pPr>
      <w:r>
        <w:t>General Ledger (GL): Universal double-entry journal, multi-dimensional COA trees, trial balances, and audit logs.</w:t>
      </w:r>
    </w:p>
    <w:p>
      <w:pPr>
        <w:pStyle w:val="ListBullet"/>
      </w:pPr>
      <w:r>
        <w:t>Accounts Receivable (AR): Customer master, credit limit enforcement, bill-by-bill outstanding tracking, aging buckets, and dunning letters.</w:t>
      </w:r>
    </w:p>
    <w:p>
      <w:pPr>
        <w:pStyle w:val="ListBullet"/>
      </w:pPr>
      <w:r>
        <w:t>Accounts Payable (AP): Vendor subledgers, 3-way invoice verification, purchase price variance tracking, and payment run batches.</w:t>
      </w:r>
    </w:p>
    <w:p>
      <w:pPr>
        <w:pStyle w:val="ListBullet"/>
      </w:pPr>
      <w:r>
        <w:t>Delivery Challans &amp; Series Engine: Marg-style dispatch challans, multi-challan bill consolidation, and parallel billing series (Series A/B/EXP).</w:t>
      </w:r>
    </w:p>
    <w:p>
      <w:pPr>
        <w:pStyle w:val="ListBullet"/>
      </w:pPr>
      <w:r>
        <w:t>Dynamic Billing &amp; Pricing: SAP-style Condition Technique, tiered quantity brackets, customer trade discounts, and dynamic Account Key determination.</w:t>
      </w:r>
    </w:p>
    <w:p>
      <w:pPr>
        <w:pStyle w:val="ListBullet"/>
      </w:pPr>
      <w:r>
        <w:t>Bank Reconciliation Statement (BRS): Auto-matching MT940 / CSV bank feeds with cash books based on UTR/cheque references.</w:t>
      </w:r>
    </w:p>
    <w:p>
      <w:pPr>
        <w:pStyle w:val="ListBullet"/>
      </w:pPr>
      <w:r>
        <w:t>Fixed Asset Management: Capitalization, asset registry, disposal journals, and automated scheduled depreciation (SLM/WDV methods).</w:t>
      </w:r>
    </w:p>
    <w:p>
      <w:pPr>
        <w:pStyle w:val="ListBullet"/>
      </w:pPr>
      <w:r>
        <w:t>Costing &amp; Management Accounting: Cost Centers, Profit Centers, and departmental overhead expense allocation.</w:t>
      </w:r>
    </w:p>
    <w:p>
      <w:pPr>
        <w:pStyle w:val="ListBullet"/>
      </w:pPr>
      <w:r>
        <w:t>Budgeting &amp; Variance Tracking: Budget encumbrance at PO creation and real-time Budget vs. Actual variance analytics.</w:t>
      </w:r>
    </w:p>
    <w:p>
      <w:pPr>
        <w:pStyle w:val="ListBullet"/>
      </w:pPr>
      <w:r>
        <w:t>Multi-Currency &amp; Forex Engine: Real-time multi-currency transaction tagging with month-end unrealized/realized forex gain/loss revaluations.</w:t>
      </w:r>
    </w:p>
    <w:p>
      <w:pPr>
        <w:pStyle w:val="ListBullet"/>
      </w:pPr>
      <w:r>
        <w:t>Statutory Tax Engine: Automated CGST/SGST/IGST tax invoices, Input Tax Credit (ITC) tracking, TDS/TCS deduction, and settlement runs.</w:t>
      </w:r>
    </w:p>
    <w:p>
      <w:pPr>
        <w:pStyle w:val="ListBullet"/>
      </w:pPr>
      <w:r>
        <w:t>Financial Reporting Suite: 0ms real-time generation of Balance Sheet, Profit &amp; Loss (Income Statement), Day Book, and Cash Flow Statements.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