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ULTIMATE ERP ARCHITECTURE MASTER BLUEPRINT</w:t>
      </w:r>
    </w:p>
    <w:p>
      <w:r>
        <w:t>A highly granular, technically exhaustive architectural specification combining the enterprise frameworks of SAP S/4HANA and Oracle NetSuite, with the high-speed SME workflows of Marg ERP and TallyPrime. This document covers database mechanics, ledger flows, pricing engines, and feature-by-feature comparisons.</w:t>
      </w:r>
    </w:p>
    <w:p>
      <w:pPr>
        <w:pStyle w:val="Heading1"/>
      </w:pPr>
      <w:r>
        <w:t>1. Database Mechanics: Achieving Sub-50ms High Concurrency</w:t>
      </w:r>
    </w:p>
    <w:p>
      <w:r>
        <w:t>To process millions of journal legs without deadlocks, the system abandons legacy "UPDATE" methodologies in favor of enterprise patterns:</w:t>
      </w:r>
    </w:p>
    <w:p>
      <w:pPr>
        <w:pStyle w:val="Heading2"/>
      </w:pPr>
      <w:r>
        <w:t>A. CQRS &amp; Append-Only Immutable Ledgers</w:t>
      </w:r>
    </w:p>
    <w:p>
      <w:r>
        <w:t>Legacy systems (Early Tally/QuickBooks) attempt to lock a ledger row and run UPDATE balance = balance + X. Under heavy load (100+ cashiers), this causes fatal row-lock contention. Our architecture uses Command Query Responsibility Segregation (CQRS). Vouchers are strictly APPENDED to a log. Running balances are computed asynchronously and cached in Redis.</w:t>
      </w:r>
    </w:p>
    <w:p>
      <w:pPr>
        <w:pStyle w:val="Heading2"/>
      </w:pPr>
      <w:r>
        <w:t>B. Lexicographical Lock Sorting</w:t>
      </w:r>
    </w:p>
    <w:p>
      <w:r>
        <w:t>To prevent multi-leg deadlocks (Transaction A locking Ledger X then Y; Transaction B locking Ledger Y then X), the ingestion engine strictly sorts all requested ledger IDs alphabetically before requesting database row locks.</w:t>
      </w:r>
    </w:p>
    <w:p>
      <w:pPr>
        <w:pStyle w:val="Heading2"/>
      </w:pPr>
      <w:r>
        <w:t>C. The Delta Rollup Algorithm</w:t>
      </w:r>
    </w:p>
    <w:p>
      <w:r>
        <w:t>Instead of summing all transactions from the beginning of time for a Trial Balance, the system maintains periodic Checkpoint Snapshots. Reports calculate: [Last Snapshot] + [Delta Transactions].</w:t>
      </w:r>
    </w:p>
    <w:p>
      <w:pPr>
        <w:pStyle w:val="Heading1"/>
      </w:pPr>
      <w:r>
        <w:t>2. Chart of Accounts (COA) &amp; Zero-Reconciliation</w:t>
      </w:r>
    </w:p>
    <w:p>
      <w:r>
        <w:t>The COA is modeled in PostgreSQL using Recursive Adjacency Lists (parent_id) or Nested Sets. It strictly enforces a Subledger Abstraction model.</w:t>
      </w:r>
    </w:p>
    <w:p>
      <w:r>
        <w:t>Zero-Reconciliation Control Accounts: Operational sub-ledgers (Accounts Payable, Accounts Receivable) are hard-wired to the General Ledger. A user CANNOT post a generic manual journal entry directly to "Accounts Receivable". They must process a valid customer invoice. This guarantees the grand total always perfectly matches the individual customer balances.</w:t>
      </w:r>
    </w:p>
    <w:p>
      <w:pPr>
        <w:pStyle w:val="Heading1"/>
      </w:pPr>
      <w:r>
        <w:t>3. Order-to-Cash (O2C): Sales, Logistics &amp; Marg Challans</w:t>
      </w:r>
    </w:p>
    <w:p>
      <w:r>
        <w:t>The system completely decouples Commercial Intent (Orders) from Physical Logistics (Deliveries) and Financial Accounting (Invoices).</w:t>
      </w:r>
    </w:p>
    <w:p>
      <w:pPr>
        <w:pStyle w:val="Heading2"/>
      </w:pPr>
      <w:r>
        <w:t>A. The Enterprise Core Workflow</w:t>
      </w:r>
    </w:p>
    <w:p>
      <w:r>
        <w:t>1. Sales Order: The Available-to-Promise (ATP) engine allocates stock. Generates NO financial ledger entries.</w:t>
      </w:r>
    </w:p>
    <w:p>
      <w:r>
        <w:t xml:space="preserve">2. Post Goods Issue (PGI): The physical box is shipped. </w:t>
        <w:br/>
        <w:t xml:space="preserve">   GL Impact: [Debit] Cost of Goods Sold (COGS) | [Credit] Inventory Asset.</w:t>
      </w:r>
    </w:p>
    <w:p>
      <w:r>
        <w:t>3. Billing Document: Revenue is recognized.</w:t>
        <w:br/>
        <w:t xml:space="preserve">   GL Impact: [Debit] Customer AR | [Credit] Revenue | [Credit] Output Tax.</w:t>
      </w:r>
    </w:p>
    <w:p>
      <w:pPr>
        <w:pStyle w:val="Heading2"/>
      </w:pPr>
      <w:r>
        <w:t>B. The Marg ERP Workflow Integration (Challans &amp; Series)</w:t>
      </w:r>
    </w:p>
    <w:p>
      <w:r>
        <w:t>To support Pharma/FMCG distribution, we natively support Marg-style features:</w:t>
      </w:r>
    </w:p>
    <w:p>
      <w:r>
        <w:t xml:space="preserve">  • Delivery Challan Workflow: Goods ship before the final tax invoice is confirmed. The Challan drops inventory but places AR/Revenue in suspense. Later, users open a "New Sale Bill", load multiple pending Delivery Challans, and convert/merge them into a single Tax Invoice.</w:t>
      </w:r>
    </w:p>
    <w:p>
      <w:r>
        <w:t xml:space="preserve">  • Configurable Billing Series: Replicating Marg's "Series A" (Wholesale) and "Series B" (Retail), but built cleanly on top of SAP's "Document Types &amp; Number Range Objects" matrix to allow parallel, compliant invoice prefixing per branch.</w:t>
      </w:r>
    </w:p>
    <w:p>
      <w:pPr>
        <w:pStyle w:val="Heading1"/>
      </w:pPr>
      <w:r>
        <w:t>4. Procure-to-Pay (P2P): SAP-Style Suspense Accounting</w:t>
      </w:r>
    </w:p>
    <w:p>
      <w:r>
        <w:t>To prevent vendor fraud and handle timing mismatches between the loading dock and the accounting desk, the system utilizes the GR/IR Clearing Account.</w:t>
      </w:r>
    </w:p>
    <w:p>
      <w:r>
        <w:t>1. Purchase Order (PO): Generates a budget commitment. No GL impact.</w:t>
      </w:r>
    </w:p>
    <w:p>
      <w:r>
        <w:t xml:space="preserve">2. Goods Receipt (GR): The truck arrives. </w:t>
        <w:br/>
        <w:t xml:space="preserve">   GL Impact: [Debit] Inventory Asset | [Credit] GR/IR Clearing (Provisional Liability).</w:t>
      </w:r>
    </w:p>
    <w:p>
      <w:r>
        <w:t>3. 3-Way Match Invoice (MIRO): The vendor emails the bill. The ERP verifies PO Price == GR Qty == Invoice Qty.</w:t>
        <w:br/>
        <w:t xml:space="preserve">   GL Impact: [Debit] GR/IR Clearing (Zeros it out) | [Debit] Input Tax | [Credit] Vendor AP.</w:t>
      </w:r>
    </w:p>
    <w:p>
      <w:pPr>
        <w:pStyle w:val="Heading1"/>
      </w:pPr>
      <w:r>
        <w:t>5. Outstanding Tracking: Tally-Style Bill-by-Bill Adjustments</w:t>
      </w:r>
    </w:p>
    <w:p>
      <w:r>
        <w:t>Instead of simply knowing a customer owes ,000, the system uses Tally's "Bill-by-Bill" logic to know exactly WHICH invoice is unpaid.</w:t>
      </w:r>
    </w:p>
    <w:p>
      <w:r>
        <w:t xml:space="preserve">  • Against Reference: When a Receipt Voucher is created, the cashier must map the payment to a specific pending invoice (e.g., INV-1045).</w:t>
      </w:r>
    </w:p>
    <w:p>
      <w:r>
        <w:t xml:space="preserve">  • Architectural Bridge: An invoice_allocations table links the Receipt Voucher Line ID directly to the Sales Invoice Voucher Line ID, producing flawless 30/60/90-Day Aging reports.</w:t>
      </w:r>
    </w:p>
    <w:p>
      <w:pPr>
        <w:pStyle w:val="Heading1"/>
      </w:pPr>
      <w:r>
        <w:t>6. Dynamic Pricing Engine: The Condition Technique</w:t>
      </w:r>
    </w:p>
    <w:p>
      <w:r>
        <w:t>Pricing is decoupled from product master data. The engine uses a calculation pipeline:</w:t>
      </w:r>
    </w:p>
    <w:p>
      <w:r>
        <w:t>1. Access Sequence: Searches hierarchically (Customer-Specific Deal -&gt; Bulk Discount -&gt; Base Price) until a match is found.</w:t>
      </w:r>
    </w:p>
    <w:p>
      <w:r>
        <w:t>2. Account Keys: Discount rules are tagged with abstract keys (e.g., ERL for Revenue, ERS for Discounts).</w:t>
      </w:r>
    </w:p>
    <w:p>
      <w:r>
        <w:t>3. Account Determination Matrix: At posting time, the system routes ERL to GL 400000 and ERS to GL 410000. This allows Sales/Marketing to invent new discounts without breaking the accounting ledgers.</w:t>
      </w:r>
    </w:p>
    <w:p>
      <w:pPr>
        <w:pStyle w:val="Heading1"/>
      </w:pPr>
      <w:r>
        <w:t>7. Transaction Integrity: The Immutable DAG</w:t>
      </w:r>
    </w:p>
    <w:p>
      <w:r>
        <w:t>Documents are modeled as a Directed Acyclic Graph (DAG). A Quote is linked to an Order, which links to a Delivery, which links to a Bill.</w:t>
      </w:r>
    </w:p>
    <w:p>
      <w:r>
        <w:t xml:space="preserve">  • No Hard Deletes: Editing/Deleting posted vouchers is strictly prohibited to ensure audit compliance.</w:t>
      </w:r>
    </w:p>
    <w:p>
      <w:r>
        <w:t xml:space="preserve">  • Storno Accounting (Reversals): If an entry is incorrect, the system generates a Compensating Document with negative postings (Negative Debit/Negative Credit) to nullify the error without inflating total transaction volume.</w:t>
      </w:r>
    </w:p>
    <w:p>
      <w:pPr>
        <w:pStyle w:val="Heading1"/>
      </w:pPr>
      <w:r>
        <w:t>8. Architectural Comparison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 / Concept</w:t>
            </w:r>
          </w:p>
        </w:tc>
        <w:tc>
          <w:tcPr>
            <w:tcW w:type="dxa" w:w="2160"/>
          </w:tcPr>
          <w:p>
            <w:r>
              <w:t>Marg ERP / Tally (SME)</w:t>
            </w:r>
          </w:p>
        </w:tc>
        <w:tc>
          <w:tcPr>
            <w:tcW w:type="dxa" w:w="2160"/>
          </w:tcPr>
          <w:p>
            <w:r>
              <w:t>SAP / NetSuite (Enterprise)</w:t>
            </w:r>
          </w:p>
        </w:tc>
        <w:tc>
          <w:tcPr>
            <w:tcW w:type="dxa" w:w="2160"/>
          </w:tcPr>
          <w:p>
            <w:r>
              <w:t>Our Master Blueprint</w:t>
            </w:r>
          </w:p>
        </w:tc>
      </w:tr>
      <w:tr>
        <w:tc>
          <w:tcPr>
            <w:tcW w:type="dxa" w:w="2160"/>
          </w:tcPr>
          <w:p>
            <w:r>
              <w:t>Database Concurrency</w:t>
            </w:r>
          </w:p>
        </w:tc>
        <w:tc>
          <w:tcPr>
            <w:tcW w:type="dxa" w:w="2160"/>
          </w:tcPr>
          <w:p>
            <w:r>
              <w:t>Proprietary/Flat-file. High row-lock contention under heavy multi-user loads.</w:t>
            </w:r>
          </w:p>
        </w:tc>
        <w:tc>
          <w:tcPr>
            <w:tcW w:type="dxa" w:w="2160"/>
          </w:tcPr>
          <w:p>
            <w:r>
              <w:t>Relational DBs (HANA/Oracle). Heavy compute requirements.</w:t>
            </w:r>
          </w:p>
        </w:tc>
        <w:tc>
          <w:tcPr>
            <w:tcW w:type="dxa" w:w="2160"/>
          </w:tcPr>
          <w:p>
            <w:r>
              <w:t>PostgreSQL + CQRS Append-Only Ledgers + Lexicographical Lock Sorting for sub-50ms speeds.</w:t>
            </w:r>
          </w:p>
        </w:tc>
      </w:tr>
      <w:tr>
        <w:tc>
          <w:tcPr>
            <w:tcW w:type="dxa" w:w="2160"/>
          </w:tcPr>
          <w:p>
            <w:r>
              <w:t>Invoice Generation</w:t>
            </w:r>
          </w:p>
        </w:tc>
        <w:tc>
          <w:tcPr>
            <w:tcW w:type="dxa" w:w="2160"/>
          </w:tcPr>
          <w:p>
            <w:r>
              <w:t>Delivery Challans manually loaded/converted into Bills. Highly flexible but risky.</w:t>
            </w:r>
          </w:p>
        </w:tc>
        <w:tc>
          <w:tcPr>
            <w:tcW w:type="dxa" w:w="2160"/>
          </w:tcPr>
          <w:p>
            <w:r>
              <w:t>Strict PGI triggers automated collective billing. Highly secure but rigid.</w:t>
            </w:r>
          </w:p>
        </w:tc>
        <w:tc>
          <w:tcPr>
            <w:tcW w:type="dxa" w:w="2160"/>
          </w:tcPr>
          <w:p>
            <w:r>
              <w:t>Supports automated PGI billing AND manual Challan consolidation for FMCG flexibility.</w:t>
            </w:r>
          </w:p>
        </w:tc>
      </w:tr>
      <w:tr>
        <w:tc>
          <w:tcPr>
            <w:tcW w:type="dxa" w:w="2160"/>
          </w:tcPr>
          <w:p>
            <w:r>
              <w:t>Outstanding Tracking</w:t>
            </w:r>
          </w:p>
        </w:tc>
        <w:tc>
          <w:tcPr>
            <w:tcW w:type="dxa" w:w="2160"/>
          </w:tcPr>
          <w:p>
            <w:r>
              <w:t>Bill-by-Bill / Against Reference adjustments are native and lightning fast.</w:t>
            </w:r>
          </w:p>
        </w:tc>
        <w:tc>
          <w:tcPr>
            <w:tcW w:type="dxa" w:w="2160"/>
          </w:tcPr>
          <w:p>
            <w:r>
              <w:t>Complex AR subledger clearing (Open Item Management).</w:t>
            </w:r>
          </w:p>
        </w:tc>
        <w:tc>
          <w:tcPr>
            <w:tcW w:type="dxa" w:w="2160"/>
          </w:tcPr>
          <w:p>
            <w:r>
              <w:t>Natively built invoice_allocations bridge table mapping exact Tally-style Bill-by-Bill tracking.</w:t>
            </w:r>
          </w:p>
        </w:tc>
      </w:tr>
      <w:tr>
        <w:tc>
          <w:tcPr>
            <w:tcW w:type="dxa" w:w="2160"/>
          </w:tcPr>
          <w:p>
            <w:r>
              <w:t>Audit &amp; Immutability</w:t>
            </w:r>
          </w:p>
        </w:tc>
        <w:tc>
          <w:tcPr>
            <w:tcW w:type="dxa" w:w="2160"/>
          </w:tcPr>
          <w:p>
            <w:r>
              <w:t>Historically allowed silent edits/deletes (unless strict edit logs enabled).</w:t>
            </w:r>
          </w:p>
        </w:tc>
        <w:tc>
          <w:tcPr>
            <w:tcW w:type="dxa" w:w="2160"/>
          </w:tcPr>
          <w:p>
            <w:r>
              <w:t>Strictly immutable. Requires Reversals/Credit Memos.</w:t>
            </w:r>
          </w:p>
        </w:tc>
        <w:tc>
          <w:tcPr>
            <w:tcW w:type="dxa" w:w="2160"/>
          </w:tcPr>
          <w:p>
            <w:r>
              <w:t>100% Immutable DAG architecture with automated Storno (negative posting) reversals.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