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Ultimate Enterprise ERP Architecture Master Blueprint (Deep Dive)</w:t>
      </w:r>
    </w:p>
    <w:p>
      <w:r>
        <w:t>This document is the definitive, exhaustive blueprint for the ERP system. It combines the deep foundational accounting principles, high-performance database engineering techniques, and exact operational workflows (with ledger comparisons) across Sales, Purchasing, and Billing.</w:t>
      </w:r>
    </w:p>
    <w:p>
      <w:pPr>
        <w:pStyle w:val="Heading1"/>
      </w:pPr>
      <w:r>
        <w:t>Part 1: Foundational Finance &amp; Chart of Accounts (COA)</w:t>
      </w:r>
    </w:p>
    <w:p>
      <w:r>
        <w:t>At the center of every Enterprise ERP lies a non-negotiable mathematical equilibrium: the Double-Entry Bookkeeping System.</w:t>
      </w:r>
    </w:p>
    <w:p>
      <w:pPr>
        <w:pStyle w:val="Heading2"/>
      </w:pPr>
      <w:r>
        <w:t>1. The Three Golden Rules Translated to Code</w:t>
      </w:r>
    </w:p>
    <w:p>
      <w:r>
        <w:t xml:space="preserve">  • Real Accounts (Assets): Debit what comes in; Credit what goes out. (e.g., Cash Inflow = Debit).</w:t>
      </w:r>
    </w:p>
    <w:p>
      <w:r>
        <w:t xml:space="preserve">  • Personal Accounts (Entities/Capital): Debit the Receiver; Credit the Giver. (e.g., Customer receiving goods = Debit Customer A/R).</w:t>
      </w:r>
    </w:p>
    <w:p>
      <w:r>
        <w:t xml:space="preserve">  • Nominal Accounts (Revenue/Expense): Debit all Expenses &amp; Losses; Credit all Incomes &amp; Gains. (e.g., Rent = Debit; Sales = Credit).</w:t>
      </w:r>
    </w:p>
    <w:p>
      <w:pPr>
        <w:pStyle w:val="Heading2"/>
      </w:pPr>
      <w:r>
        <w:t>2. Chart of Accounts (COA) Architecture</w:t>
      </w:r>
    </w:p>
    <w:p>
      <w:r>
        <w:t>The COA serves as the master structural tree. In the database (Postgres), it is modeled using recursive adjacency lists (parent_id) following a Standard 5-Class Categorization Matrix: Assets, Liabilities, Equity, Revenue, and Expenses.</w:t>
      </w:r>
    </w:p>
    <w:p>
      <w:pPr>
        <w:pStyle w:val="Heading2"/>
      </w:pPr>
      <w:r>
        <w:t>3. GL vs. Subledgers (Zero-Reconciliation)</w:t>
      </w:r>
    </w:p>
    <w:p>
      <w:r>
        <w:t>Enterprise ERPs enforce a two-tier architecture. Critical General Ledger (GL) accounts like "Accounts Receivable" are hard-locked Control Accounts. Users NEVER manually post journal entries to them. They are updated exclusively by automated subledger events (like saving an Invoice). This guarantees the AR aging report always perfectly matches the GL balance.</w:t>
      </w:r>
    </w:p>
    <w:p>
      <w:pPr>
        <w:pStyle w:val="Heading1"/>
      </w:pPr>
      <w:r>
        <w:t>Part 2: High-Performance Database Engineering</w:t>
      </w:r>
    </w:p>
    <w:p>
      <w:r>
        <w:t>To handle millions of transactions with sub-50ms response times, traditional SQL update patterns are replaced with advanced scaling techniques.</w:t>
      </w:r>
    </w:p>
    <w:p>
      <w:pPr>
        <w:pStyle w:val="Heading2"/>
      </w:pPr>
      <w:r>
        <w:t>1. CQRS &amp; Append-Only Immutable Ledgers</w:t>
      </w:r>
    </w:p>
    <w:p>
      <w:r>
        <w:t>Comparison: Legacy systems use "UPDATE ledger SET balance = balance + X", causing catastrophic row-lock bottlenecks when 100 users bill at once.</w:t>
      </w:r>
    </w:p>
    <w:p>
      <w:r>
        <w:t>Enterprise Solution: Zero-Lock Ingestion. Every voucher is strictly APPENDED to an immutable "voucher entries" log. Projections (background workers) asynchronously update denormalized running balances in a Redis cache for instant 0ms dashboard loading.</w:t>
      </w:r>
    </w:p>
    <w:p>
      <w:pPr>
        <w:pStyle w:val="Heading2"/>
      </w:pPr>
      <w:r>
        <w:t>2. Deterministic Lexicographical Lock Sorting</w:t>
      </w:r>
    </w:p>
    <w:p>
      <w:r>
        <w:t>To prevent concurrent multi-leg database deadlocks (Transaction A locking Ledger X then Y, while B locks Y then X), the ingestion engine strictly sorts all requested ledger IDs alphabetically before executing the database lock.</w:t>
      </w:r>
    </w:p>
    <w:p>
      <w:pPr>
        <w:pStyle w:val="Heading2"/>
      </w:pPr>
      <w:r>
        <w:t>3. Delta Rollup Checkpoints &amp; Partitioning</w:t>
      </w:r>
    </w:p>
    <w:p>
      <w:r>
        <w:t>Instead of summing all transactions from the beginning of time to load a Trial Balance, the system maintains a "ledger daily balances" snapshot table. Reports calculate: [Last Snapshot] + [Delta Transactions since Snapshot]. The database is heavily Partitioned by Fiscal Year and Quarter to maintain lightning-fast index traversal.</w:t>
      </w:r>
    </w:p>
    <w:p>
      <w:pPr>
        <w:pStyle w:val="Heading1"/>
      </w:pPr>
      <w:r>
        <w:t>Part 3: Detailed Order-to-Cash (O2C) &amp; Sales Workflows</w:t>
      </w:r>
    </w:p>
    <w:p>
      <w:pPr>
        <w:pStyle w:val="Heading2"/>
      </w:pPr>
      <w:r>
        <w:t>1. Architectural Comparison: Legacy vs. Enterprise</w:t>
      </w:r>
    </w:p>
    <w:p>
      <w:r>
        <w:t>Legacy SME Approach: The "Single-Step Invoice" instantly deducts inventory, recognizes revenue, and updates the customer balance simultaneously. This fails in reality when goods ship on Tuesday but are billed on Friday, forcing messy workarounds.</w:t>
      </w:r>
    </w:p>
    <w:p>
      <w:r>
        <w:t>Enterprise Approach: Strict Separation of Concerns. Commercial Intent (Orders), Logistics (Delivery), and Financial Realization (Billing) are decoupled into distinct database events.</w:t>
      </w:r>
    </w:p>
    <w:p>
      <w:pPr>
        <w:pStyle w:val="Heading2"/>
      </w:pPr>
      <w:r>
        <w:t>2. The Standard Enterprise Workflow (SAP/NetSuite)</w:t>
      </w:r>
    </w:p>
    <w:p>
      <w:r>
        <w:t xml:space="preserve">  • Step 1: Sales Order -&gt; ATP engine allocates stock. [GL Impact: NONE]</w:t>
      </w:r>
    </w:p>
    <w:p>
      <w:r>
        <w:t xml:space="preserve">  • Step 2: Post Goods Issue (PGI) -&gt; The box is shipped. </w:t>
        <w:br/>
        <w:t xml:space="preserve">    [GL Impact: Debit Cost of Goods Sold (COGS) | Credit Inventory Asset]. Revenue is NOT recognized yet.</w:t>
      </w:r>
    </w:p>
    <w:p>
      <w:r>
        <w:t xml:space="preserve">  • Step 3: Billing Document -&gt; Final tax invoice. </w:t>
        <w:br/>
        <w:t xml:space="preserve">    [GL Impact: Debit Customer AR | Credit Sales Revenue | Credit Output Tax Liability]</w:t>
      </w:r>
    </w:p>
    <w:p>
      <w:pPr>
        <w:pStyle w:val="Heading2"/>
      </w:pPr>
      <w:r>
        <w:t>3. The Flexible SME Workflow (Marg Challans &amp; Series)</w:t>
      </w:r>
    </w:p>
    <w:p>
      <w:r>
        <w:t>To accommodate Pharma/FMCG distribution speeds, we support Marg-style features within the enterprise architecture:</w:t>
      </w:r>
    </w:p>
    <w:p>
      <w:r>
        <w:t xml:space="preserve">  • Delivery Challans: A physical shipment that drops stock but suspends financial AR/Revenue posting.</w:t>
      </w:r>
    </w:p>
    <w:p>
      <w:r>
        <w:t xml:space="preserve">  • Converting Challans to Bill: Users open a "Sale Bill", select multiple pending Delivery Challans, and merge them into a single final Tax Invoice (triggering the AR/Revenue GL impact).</w:t>
      </w:r>
    </w:p>
    <w:p>
      <w:r>
        <w:t xml:space="preserve">  • Billing Series: Highly configurable invoice prefixes (e.g., Series A for GST B2B, Series B for Cash Retail), backed architecturally by Enterprise "Document Types" and "Number Range Objects".</w:t>
      </w:r>
    </w:p>
    <w:p>
      <w:pPr>
        <w:pStyle w:val="Heading1"/>
      </w:pPr>
      <w:r>
        <w:t>Part 4: Detailed Procure-to-Pay (P2P) Workflows</w:t>
      </w:r>
    </w:p>
    <w:p>
      <w:r>
        <w:t>How enterprise systems handle timing mismatches between docks and desks using Suspense Accounting.</w:t>
      </w:r>
    </w:p>
    <w:p>
      <w:r>
        <w:t xml:space="preserve">  • Step 1: Purchase Order (PO) -&gt; Creates a Commitment to encumber department budget. [GL Impact: NONE]</w:t>
      </w:r>
    </w:p>
    <w:p>
      <w:r>
        <w:t xml:space="preserve">  • Step 2: Goods Receipt (Dock) -&gt; Physical stock arrives without an invoice. </w:t>
        <w:br/>
        <w:t xml:space="preserve">    [GL Impact: Debit Inventory Asset | Credit GR/IR Suspense Account]. The GR/IR (Goods Receipt/Invoice Receipt) clearing account records a provisional liability.</w:t>
      </w:r>
    </w:p>
    <w:p>
      <w:r>
        <w:t xml:space="preserve">  • Step 3: Logistics Invoice Verification / 3-Way Match (MIRO) -&gt; Vendor emails the bill. The system checks PO Price == Goods Received Qty == Billed Qty. </w:t>
        <w:br/>
        <w:t xml:space="preserve">    [GL Impact: Debit GR/IR Suspense (Zeros out) | Debit Input Tax | Credit Vendor Accounts Payable]. Any price differences route to a Purchase Price Variance (PPV) account.</w:t>
      </w:r>
    </w:p>
    <w:p>
      <w:pPr>
        <w:pStyle w:val="Heading1"/>
      </w:pPr>
      <w:r>
        <w:t>Part 5: Outstanding Management (Tally-Style Bill-by-Bill)</w:t>
      </w:r>
    </w:p>
    <w:p>
      <w:r>
        <w:t>Standard systems track lump-sum balances. Our system tracks exact invoice matching:</w:t>
      </w:r>
    </w:p>
    <w:p>
      <w:r>
        <w:t xml:space="preserve">  • Against Reference: When a customer pays , the Receipt Voucher forces the user to apply it against a specific invoice (e.g., INV-1045).</w:t>
      </w:r>
    </w:p>
    <w:p>
      <w:r>
        <w:t xml:space="preserve">  • Architecture: An internal "invoice allocations" bridge table links the Receipt ID to the Sales Invoice ID. If a customer short-pays, the system tracks the exact remainder on that specific invoice, enabling perfect 30/60/90-Day Aging reports.</w:t>
      </w:r>
    </w:p>
    <w:p>
      <w:pPr>
        <w:pStyle w:val="Heading1"/>
      </w:pPr>
      <w:r>
        <w:t>Part 6: Dynamic Billing Engine &amp; Transaction Integrity</w:t>
      </w:r>
    </w:p>
    <w:p>
      <w:pPr>
        <w:pStyle w:val="Heading2"/>
      </w:pPr>
      <w:r>
        <w:t>1. The Condition Technique (Pricing)</w:t>
      </w:r>
    </w:p>
    <w:p>
      <w:r>
        <w:t>Pricing is decoupled from the product master using a pipeline algorithm:</w:t>
      </w:r>
    </w:p>
    <w:p>
      <w:r>
        <w:t xml:space="preserve">  • Access Sequence: Dynamically searches for Customer-Specific discounts, falling back to base rates.</w:t>
      </w:r>
    </w:p>
    <w:p>
      <w:r>
        <w:t xml:space="preserve">  • Account Determination Matrix: The engine tags pricing lines with "Account Keys" (e.g., ERL for Revenue, MWS for Tax). A matrix dynamically decides which GL account to hit at the moment of saving, allowing Sales to change discounts without breaking the accounting ledgers.</w:t>
      </w:r>
    </w:p>
    <w:p>
      <w:pPr>
        <w:pStyle w:val="Heading2"/>
      </w:pPr>
      <w:r>
        <w:t>2. Transaction Integrity (DAG &amp; Immutability)</w:t>
      </w:r>
    </w:p>
    <w:p>
      <w:r>
        <w:t xml:space="preserve">  • Directed Acyclic Graph (DAG): Documents are permanently linked. A quote links to an order -&gt; delivery -&gt; bill.</w:t>
      </w:r>
    </w:p>
    <w:p>
      <w:r>
        <w:t xml:space="preserve">  • No Hard Deletes: Editing or deleting posted documents is structurally prohibited for audit compliance.</w:t>
      </w:r>
    </w:p>
    <w:p>
      <w:r>
        <w:t xml:space="preserve">  • Storno Accounting: Mistakes are reversed by generating a "Compensating Document" with NEGATIVE postings, nullifying the error while maintaining a flawless, 100% transparent audit trail.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