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Sales, Purchase, and Billing Architecture (Deep Dive)</w:t>
      </w:r>
    </w:p>
    <w:p>
      <w:r>
        <w:t>A granular, highly detailed architectural analysis comparing how Legacy SME systems and Top-Tier Enterprise ERPs orchestrate operational workflows, transactional integrity, and dynamic billing engines.</w:t>
      </w:r>
    </w:p>
    <w:p>
      <w:pPr>
        <w:pStyle w:val="Heading1"/>
      </w:pPr>
      <w:r>
        <w:t>1. Architectural Comparison: Legacy SME vs Enterprise ERPs</w:t>
      </w:r>
    </w:p>
    <w:p>
      <w:r>
        <w:t>To understand the enterprise architecture, we must first look at how systems have historically handled transactions, and why they fail at scale.</w:t>
      </w:r>
    </w:p>
    <w:p>
      <w:pPr>
        <w:pStyle w:val="Heading2"/>
      </w:pPr>
      <w:r>
        <w:t>A. The Legacy/SME Approach (e.g., Early Tally, QuickBooks)</w:t>
      </w:r>
    </w:p>
    <w:p>
      <w:pPr>
        <w:pStyle w:val="ListBullet"/>
      </w:pPr>
      <w:r>
        <w:rPr>
          <w:b/>
        </w:rPr>
        <w:t>The Single-Step Invoice:</w:t>
      </w:r>
      <w:r>
        <w:t xml:space="preserve"> In legacy systems, a "Sales Invoice" is a monolithic event. When an invoice is saved, the system simultaneously deducts inventory, recognizes revenue, and updates the customer balance.</w:t>
      </w:r>
    </w:p>
    <w:p>
      <w:pPr>
        <w:pStyle w:val="ListBullet"/>
      </w:pPr>
      <w:r>
        <w:rPr>
          <w:b/>
        </w:rPr>
        <w:t>The Problem:</w:t>
      </w:r>
      <w:r>
        <w:t xml:space="preserve"> In the real world, goods are shipped on Tuesday, but the invoice is generated on Friday. Single-step systems force users to back-date entries or use messy "Delivery Challan" workarounds that don't properly hit the General Ledger. It also means the sales team has direct access to financial posting screens, violating separation of duties.</w:t>
      </w:r>
    </w:p>
    <w:p>
      <w:pPr>
        <w:pStyle w:val="Heading2"/>
      </w:pPr>
      <w:r>
        <w:t>B. The Enterprise Approach (e.g., SAP S/4HANA, Oracle NetSuite)</w:t>
      </w:r>
    </w:p>
    <w:p>
      <w:pPr>
        <w:pStyle w:val="ListBullet"/>
      </w:pPr>
      <w:r>
        <w:rPr>
          <w:b/>
        </w:rPr>
        <w:t>Strict Separation of Concerns:</w:t>
      </w:r>
      <w:r>
        <w:t xml:space="preserve"> Top-tier ERPs decouple Commercial Intent (the Order), Physical Logistics (the Delivery), and Financial Realization (the Billing) into three completely distinct database tables and workflows.</w:t>
      </w:r>
    </w:p>
    <w:p>
      <w:pPr>
        <w:pStyle w:val="ListBullet"/>
      </w:pPr>
      <w:r>
        <w:rPr>
          <w:b/>
        </w:rPr>
        <w:t>The Solution:</w:t>
      </w:r>
      <w:r>
        <w:t xml:space="preserve"> This allows the warehouse to decrement stock on Tuesday (hitting COGS) and the finance team to recognize revenue on Friday without either department touching the other's screens. It maintains perfect GAAP/IFRS compliance.</w:t>
      </w:r>
    </w:p>
    <w:p>
      <w:pPr>
        <w:pStyle w:val="Heading1"/>
      </w:pPr>
      <w:r>
        <w:t>2. Detailed Order-to-Cash (O2C) Workflow &amp; Ledger Impact</w:t>
      </w:r>
    </w:p>
    <w:p>
      <w:r>
        <w:t>Below is the exact step-by-step workflow and General Ledger (GL) impact of a sale in an Enterprise ERP.</w:t>
      </w:r>
    </w:p>
    <w:p>
      <w:pPr>
        <w:pStyle w:val="Heading2"/>
      </w:pPr>
      <w:r>
        <w:t>Step 1: Sales Order Creation</w:t>
      </w:r>
    </w:p>
    <w:p>
      <w:r>
        <w:t>A binding agreement with the customer for 100 Laptops at ,000 each.</w:t>
      </w:r>
    </w:p>
    <w:p>
      <w:r>
        <w:rPr>
          <w:b/>
        </w:rPr>
        <w:t>System Action:</w:t>
      </w:r>
      <w:r>
        <w:t xml:space="preserve"> The Available-to-Promise (ATP) engine allocates the stock. The Credit Management engine checks if the customer has sufficient credit limit.</w:t>
      </w:r>
    </w:p>
    <w:p>
      <w:r>
        <w:rPr>
          <w:b/>
        </w:rPr>
        <w:t>GL Accounting Impact:</w:t>
      </w:r>
      <w:r>
        <w:t xml:space="preserve"> NONE. This is a non-posting commercial document.</w:t>
      </w:r>
    </w:p>
    <w:p>
      <w:pPr>
        <w:pStyle w:val="Heading2"/>
      </w:pPr>
      <w:r>
        <w:t>Step 2: Post Goods Issue (PGI) - Logistics Execution</w:t>
      </w:r>
    </w:p>
    <w:p>
      <w:r>
        <w:t>The warehouse packs the 100 laptops and hands them to the shipping carrier.</w:t>
      </w:r>
    </w:p>
    <w:p>
      <w:r>
        <w:rPr>
          <w:b/>
        </w:rPr>
        <w:t>System Action:</w:t>
      </w:r>
      <w:r>
        <w:t xml:space="preserve"> The physical inventory count drops by 100. The system reads the "Moving Average" or "Standard Cost" of the laptops (e.g.,  cost each).</w:t>
      </w:r>
    </w:p>
    <w:p>
      <w:r>
        <w:rPr>
          <w:b/>
        </w:rPr>
        <w:t>GL Accounting Impact:</w:t>
      </w:r>
    </w:p>
    <w:p>
      <w:r>
        <w:t xml:space="preserve">  • Debit: Cost of Goods Sold (COGS) P&amp;L Account: ,000</w:t>
      </w:r>
    </w:p>
    <w:p>
      <w:r>
        <w:t xml:space="preserve">  • Credit: Inventory Asset Account: ,000</w:t>
      </w:r>
    </w:p>
    <w:p>
      <w:r>
        <w:rPr>
          <w:b/>
        </w:rPr>
        <w:t>Why this matters:</w:t>
      </w:r>
      <w:r>
        <w:t xml:space="preserve"> Revenue is deliberately NOT recognized yet. Only the expense (Cost of Sales) is recognized because the physical asset has left the building.</w:t>
      </w:r>
    </w:p>
    <w:p>
      <w:pPr>
        <w:pStyle w:val="Heading2"/>
      </w:pPr>
      <w:r>
        <w:t>Step 3: Billing Document / Invoice Generation</w:t>
      </w:r>
    </w:p>
    <w:p>
      <w:r>
        <w:t>Finance generates the legal invoice to be emailed to the customer.</w:t>
      </w:r>
    </w:p>
    <w:p>
      <w:r>
        <w:rPr>
          <w:b/>
        </w:rPr>
        <w:t>System Action:</w:t>
      </w:r>
      <w:r>
        <w:t xml:space="preserve"> The system reads the pricing conditions from the Sales Order and applies taxes.</w:t>
      </w:r>
    </w:p>
    <w:p>
      <w:r>
        <w:rPr>
          <w:b/>
        </w:rPr>
        <w:t>GL Accounting Impact:</w:t>
      </w:r>
    </w:p>
    <w:p>
      <w:r>
        <w:t xml:space="preserve">  • Debit: Customer Accounts Receivable (AR) Subledger: ,000</w:t>
      </w:r>
    </w:p>
    <w:p>
      <w:r>
        <w:t xml:space="preserve">  • Credit: Sales Revenue P&amp;L Account: ,000</w:t>
      </w:r>
    </w:p>
    <w:p>
      <w:r>
        <w:t xml:space="preserve">  • Credit: Output Tax Liability (GST/VAT): ,000</w:t>
      </w:r>
    </w:p>
    <w:p>
      <w:pPr>
        <w:pStyle w:val="Heading1"/>
      </w:pPr>
      <w:r>
        <w:t>3. Detailed Procure-to-Pay (P2P) Workflow &amp; Ledger Impact</w:t>
      </w:r>
    </w:p>
    <w:p>
      <w:r>
        <w:t>How enterprise systems prevent vendor fraud and handle timing mismatches between docks and desks.</w:t>
      </w:r>
    </w:p>
    <w:p>
      <w:pPr>
        <w:pStyle w:val="Heading2"/>
      </w:pPr>
      <w:r>
        <w:t>Step 1: Purchase Order (PO)</w:t>
      </w:r>
    </w:p>
    <w:p>
      <w:r>
        <w:t>A PO is sent to a vendor for 50 Servers at ,000 each.</w:t>
      </w:r>
    </w:p>
    <w:p>
      <w:r>
        <w:rPr>
          <w:b/>
        </w:rPr>
        <w:t>GL Accounting Impact:</w:t>
      </w:r>
      <w:r>
        <w:t xml:space="preserve"> NONE. However, it generates an "Encumbrance" or "Commitment" against the IT Department's budget so they cannot overspend.</w:t>
      </w:r>
    </w:p>
    <w:p>
      <w:pPr>
        <w:pStyle w:val="Heading2"/>
      </w:pPr>
      <w:r>
        <w:t>Step 2: Goods Receipt (GR)</w:t>
      </w:r>
    </w:p>
    <w:p>
      <w:r>
        <w:t>The servers arrive at the loading dock, but the truck driver does NOT have the final tax invoice.</w:t>
      </w:r>
    </w:p>
    <w:p>
      <w:r>
        <w:rPr>
          <w:b/>
        </w:rPr>
        <w:t>System Action:</w:t>
      </w:r>
      <w:r>
        <w:t xml:space="preserve"> The system MUST increase inventory value, but it cannot credit the Vendor Accounts Payable yet because no invoice exists.</w:t>
      </w:r>
    </w:p>
    <w:p>
      <w:r>
        <w:rPr>
          <w:b/>
        </w:rPr>
        <w:t>GL Accounting Impact:</w:t>
      </w:r>
    </w:p>
    <w:p>
      <w:r>
        <w:t xml:space="preserve">  • Debit: Inventory Asset Account: ,000</w:t>
      </w:r>
    </w:p>
    <w:p>
      <w:r>
        <w:t xml:space="preserve">  • Credit: GR/IR (Goods Receipt / Invoice Receipt) Clearing Account: ,000</w:t>
      </w:r>
    </w:p>
    <w:p>
      <w:r>
        <w:rPr>
          <w:b/>
        </w:rPr>
        <w:t>The GR/IR Suspense Concept:</w:t>
      </w:r>
      <w:r>
        <w:t xml:space="preserve"> This is a hallmark of SAP and Oracle. It is a temporary liability account indicating "We received goods, but we haven't been officially billed yet."</w:t>
      </w:r>
    </w:p>
    <w:p>
      <w:pPr>
        <w:pStyle w:val="Heading2"/>
      </w:pPr>
      <w:r>
        <w:t>Step 3: Logistics Invoice Verification (3-Way Match)</w:t>
      </w:r>
    </w:p>
    <w:p>
      <w:r>
        <w:t>The vendor emails the invoice. The AP clerk enters it. The system verifies: PO Price == Goods Received Qty == Billed Qty.</w:t>
      </w:r>
    </w:p>
    <w:p>
      <w:r>
        <w:rPr>
          <w:b/>
        </w:rPr>
        <w:t>GL Accounting Impact:</w:t>
      </w:r>
    </w:p>
    <w:p>
      <w:r>
        <w:t xml:space="preserve">  • Debit: GR/IR Clearing Account: ,000 (This zeros out the suspense account)</w:t>
      </w:r>
    </w:p>
    <w:p>
      <w:r>
        <w:t xml:space="preserve">  • Debit: Input Tax (GST/VAT): ,000</w:t>
      </w:r>
    </w:p>
    <w:p>
      <w:r>
        <w:t xml:space="preserve">  • Credit: Vendor Accounts Payable (AP): ,000</w:t>
      </w:r>
    </w:p>
    <w:p>
      <w:pPr>
        <w:pStyle w:val="Heading1"/>
      </w:pPr>
      <w:r>
        <w:t>4. Dynamic Billing Engine: The Condition Technique</w:t>
      </w:r>
    </w:p>
    <w:p>
      <w:r>
        <w:t>Enterprise ERPs decouple pricing from the item master. Instead of saying "Item A costs  and hits Revenue Account 4000", they use an algorithmic pipeline.</w:t>
      </w:r>
    </w:p>
    <w:p>
      <w:pPr>
        <w:pStyle w:val="Heading2"/>
      </w:pPr>
      <w:r>
        <w:t>The Calculation Pipeline Example:</w:t>
      </w:r>
    </w:p>
    <w:p>
      <w:r>
        <w:t xml:space="preserve">  1. Base Price (PR00): ,000 (Mapped to Account Key: ERL)</w:t>
      </w:r>
    </w:p>
    <w:p>
      <w:r>
        <w:t xml:space="preserve">  2. Customer Discount (K007): -  (Mapped to Account Key: ERS)</w:t>
      </w:r>
    </w:p>
    <w:p>
      <w:r>
        <w:t xml:space="preserve">  3. Freight Surcharge (KF00): +  (Mapped to Account Key: ERF)</w:t>
      </w:r>
    </w:p>
    <w:p>
      <w:r>
        <w:t xml:space="preserve">  4. Output Tax (MWST): +  (Mapped to Account Key: MWS)</w:t>
      </w:r>
    </w:p>
    <w:p>
      <w:r>
        <w:t xml:space="preserve">  Net Billed to Customer: ,045</w:t>
      </w:r>
    </w:p>
    <w:p>
      <w:pPr>
        <w:pStyle w:val="Heading2"/>
      </w:pPr>
      <w:r>
        <w:t>Account Determination Matrix:</w:t>
      </w:r>
    </w:p>
    <w:p>
      <w:r>
        <w:t>When the invoice is saved, the system looks at the "Account Keys" to decide where the money goes. This allows the marketing team to invent new discount codes without ever asking the accounting team to map GL accounts.</w:t>
      </w:r>
    </w:p>
    <w:p>
      <w:r>
        <w:t xml:space="preserve">  • Key ERL -&gt; Hits GL 400000 (Gross Revenue)</w:t>
      </w:r>
    </w:p>
    <w:p>
      <w:r>
        <w:t xml:space="preserve">  • Key ERS -&gt; Hits GL 410000 (Sales Deductions/Discounts Expense)</w:t>
      </w:r>
    </w:p>
    <w:p>
      <w:r>
        <w:t xml:space="preserve">  • Key MWS -&gt; Hits GL 220000 (Tax Liability)</w:t>
      </w:r>
    </w:p>
    <w:p>
      <w:pPr>
        <w:pStyle w:val="Heading1"/>
      </w:pPr>
      <w:r>
        <w:t>5. Transaction Integrity: The Immutable DAG</w:t>
      </w:r>
    </w:p>
    <w:p>
      <w:r>
        <w:t>Where Tally allows users to silently edit or delete old vouchers, SAP and NetSuite treat transactions as an immutable Directed Acyclic Graph (DAG).</w:t>
      </w:r>
    </w:p>
    <w:p>
      <w:r>
        <w:rPr>
          <w:b/>
        </w:rPr>
        <w:t>No Hard Deletes:</w:t>
      </w:r>
      <w:r>
        <w:t xml:space="preserve"> Once a document is posted, the row is permanently locked. Editing is structurally prohibited.</w:t>
      </w:r>
    </w:p>
    <w:p>
      <w:r>
        <w:rPr>
          <w:b/>
        </w:rPr>
        <w:t>Storno Accounting (Reversals):</w:t>
      </w:r>
      <w:r>
        <w:t xml:space="preserve"> If an invoice is wrong, the system generates a "Reversal Document". Instead of flipping debits to credits (which artificially inflates turnover volume), a true Storno posts a NEGATIVE debit and a NEGATIVE credit, nullifying the mistake while leaving a 100% transparent audit trail.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