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ERP IMPLEMENTATION &amp; DATA FLOW BLUEPRINT</w:t>
      </w:r>
    </w:p>
    <w:p>
      <w:pPr>
        <w:pStyle w:val="Subtitle"/>
        <w:jc w:val="center"/>
      </w:pPr>
      <w:r>
        <w:t>Generated by Gemini 3.8 High</w:t>
      </w:r>
    </w:p>
    <w:p>
      <w:pPr>
        <w:jc w:val="center"/>
      </w:pPr>
      <w:r>
        <w:br/>
        <w:t>Comprehensive Workflow, Data Storage, and Live Project Condition Mapping.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Core Data Storage &amp; Conditions Mapping</w:t>
      </w:r>
    </w:p>
    <w:p>
      <w:r>
        <w:t>[Gemini_3.8_High Analysis]: This section details how the live project conditions are physically stored within the PostgreSQL database to ensure 100% ACID compliance and no data loss.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color="auto" w:val="clear"/>
          </w:tcPr>
          <w:p>
            <w:r>
              <w:t>Live Project Condition</w:t>
            </w:r>
          </w:p>
        </w:tc>
        <w:tc>
          <w:tcPr>
            <w:tcW w:type="dxa" w:w="2880"/>
            <w:shd w:fill="003366" w:color="auto" w:val="clear"/>
          </w:tcPr>
          <w:p>
            <w:r>
              <w:t>Database Storage Location</w:t>
            </w:r>
          </w:p>
        </w:tc>
        <w:tc>
          <w:tcPr>
            <w:tcW w:type="dxa" w:w="2880"/>
            <w:shd w:fill="003366" w:color="auto" w:val="clear"/>
          </w:tcPr>
          <w:p>
            <w:r>
              <w:t>Data Type / Engine</w:t>
            </w:r>
          </w:p>
        </w:tc>
      </w:tr>
      <w:tr>
        <w:tc>
          <w:tcPr>
            <w:tcW w:type="dxa" w:w="2880"/>
          </w:tcPr>
          <w:p>
            <w:r>
              <w:t>Challan Creation (Immediate Stock Drop)</w:t>
            </w:r>
          </w:p>
        </w:tc>
        <w:tc>
          <w:tcPr>
            <w:tcW w:type="dxa" w:w="2880"/>
          </w:tcPr>
          <w:p>
            <w:r>
              <w:t>delivery_challan &amp; stock_ledger</w:t>
            </w:r>
          </w:p>
        </w:tc>
        <w:tc>
          <w:tcPr>
            <w:tcW w:type="dxa" w:w="2880"/>
          </w:tcPr>
          <w:p>
            <w:r>
              <w:t>Creates Challan record + immediately fires StockMovement.</w:t>
            </w:r>
          </w:p>
        </w:tc>
      </w:tr>
      <w:tr>
        <w:tc>
          <w:tcPr>
            <w:tcW w:type="dxa" w:w="2880"/>
          </w:tcPr>
          <w:p>
            <w:r>
              <w:t>3rd Column 'Extra Scheme'</w:t>
            </w:r>
          </w:p>
        </w:tc>
        <w:tc>
          <w:tcPr>
            <w:tcW w:type="dxa" w:w="2880"/>
          </w:tcPr>
          <w:p>
            <w:r>
              <w:t>invoice_item.deferred_scheme_qty</w:t>
            </w:r>
          </w:p>
        </w:tc>
        <w:tc>
          <w:tcPr>
            <w:tcW w:type="dxa" w:w="2880"/>
          </w:tcPr>
          <w:p>
            <w:r>
              <w:t>DECIMAL tracking purely physical owed quantities.</w:t>
            </w:r>
          </w:p>
        </w:tc>
      </w:tr>
      <w:tr>
        <w:tc>
          <w:tcPr>
            <w:tcW w:type="dxa" w:w="2880"/>
          </w:tcPr>
          <w:p>
            <w:r>
              <w:t>Decoupled GST Reversal</w:t>
            </w:r>
          </w:p>
        </w:tc>
        <w:tc>
          <w:tcPr>
            <w:tcW w:type="dxa" w:w="2880"/>
          </w:tcPr>
          <w:p>
            <w:r>
              <w:t>journal_voucher &amp; ledger_entry</w:t>
            </w:r>
          </w:p>
        </w:tc>
        <w:tc>
          <w:tcPr>
            <w:tcW w:type="dxa" w:w="2880"/>
          </w:tcPr>
          <w:p>
            <w:r>
              <w:t>Financial entry ONLY. Bypasses stock_ledger entirely.</w:t>
            </w:r>
          </w:p>
        </w:tc>
      </w:tr>
      <w:tr>
        <w:tc>
          <w:tcPr>
            <w:tcW w:type="dxa" w:w="2880"/>
          </w:tcPr>
          <w:p>
            <w:r>
              <w:t>Tally Bill-by-Bill Allocation</w:t>
            </w:r>
          </w:p>
        </w:tc>
        <w:tc>
          <w:tcPr>
            <w:tcW w:type="dxa" w:w="2880"/>
          </w:tcPr>
          <w:p>
            <w:r>
              <w:t>invoice_allocation &amp; invoice.running_balance</w:t>
            </w:r>
          </w:p>
        </w:tc>
        <w:tc>
          <w:tcPr>
            <w:tcW w:type="dxa" w:w="2880"/>
          </w:tcPr>
          <w:p>
            <w:r>
              <w:t>Bridge table mapping Receipt UUID to Invoice UUID.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2. Detailed Workflow: Delivery Challans</w:t>
      </w:r>
    </w:p>
    <w:p>
      <w:r>
        <w:t>Handling the Marg-style Challan flow where Challans act as informal bills.</w:t>
      </w:r>
    </w:p>
    <w:p>
      <w:r>
        <w:rPr>
          <w:b/>
        </w:rPr>
        <w:t>Data Flow &amp; UI Execution:</w:t>
      </w:r>
    </w:p>
    <w:p>
      <w:r>
        <w:t>1. User creates a Challan in the UI. No tax is calculated.</w:t>
      </w:r>
    </w:p>
    <w:p>
      <w:r>
        <w:t>2. API stores the Challan and IMMEDIATELY deducts inventory from the Main Warehouse. This fulfills the requirement that no draft stage is needed.</w:t>
      </w:r>
    </w:p>
    <w:p>
      <w:r>
        <w:t>3. The Challan is available in Sales Reports as an 'Informal Bill'.</w:t>
      </w:r>
    </w:p>
    <w:p>
      <w:r>
        <w:t>4. User chooses Print Format: 'Informal Bill' or 'Warehouse Slip'.</w:t>
      </w:r>
    </w:p>
    <w:p>
      <w:r>
        <w:t>5. User converts Challan to Tax Bill: API creates an Invoice, computes GST, links the Challan UUID to the Invoice UUID, and hits the Financial Ledgers (AR, Sales).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Detailed Workflow: Schemes &amp; GST Reversal</w:t>
      </w:r>
    </w:p>
    <w:p>
      <w:r>
        <w:rPr>
          <w:b/>
        </w:rPr>
        <w:t>Data Flow: 3rd Column Extra Scheme</w:t>
      </w:r>
    </w:p>
    <w:p>
      <w:r>
        <w:t>1. User enters Purchase/Sales UI.</w:t>
      </w:r>
    </w:p>
    <w:p>
      <w:r>
        <w:t>2. Inputs +5 quantity into the 3rd 'Extra Scheme' column.</w:t>
      </w:r>
    </w:p>
    <w:p>
      <w:r>
        <w:t>3. API saves this specifically to the `deferred_scheme_qty` field in the database.</w:t>
      </w:r>
    </w:p>
    <w:p>
      <w:r>
        <w:t>4. No tax or ledger is hit. A background 'Scheme Quantity Engine' tracks that 5 units are pending.</w:t>
      </w:r>
    </w:p>
    <w:p>
      <w:r>
        <w:rPr>
          <w:b/>
        </w:rPr>
        <w:t>Data Flow: Decoupled GST Reversal</w:t>
      </w:r>
    </w:p>
    <w:p>
      <w:r>
        <w:t>1. User selects a product and inputs quantity for GST Reversal.</w:t>
      </w:r>
    </w:p>
    <w:p>
      <w:r>
        <w:t>2. API calculates the moving average cost of the product * GST rate.</w:t>
      </w:r>
    </w:p>
    <w:p>
      <w:r>
        <w:t>3. API generates a specific 'GST_ADJUSTMENT' Journal Voucher.</w:t>
      </w:r>
    </w:p>
    <w:p>
      <w:r>
        <w:t>4. Financial Ledgers hit: Dr. Promotional Expense, Cr. GST Payable. Stock remains untouched.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Detailed Workflow: Tally Bill-by-Bill</w:t>
      </w:r>
    </w:p>
    <w:p>
      <w:r>
        <w:t>1. User receives a $1000 payment.</w:t>
      </w:r>
    </w:p>
    <w:p>
      <w:r>
        <w:t>2. UI queries the DB for all Invoices where `running_balance &gt; 0` for that Customer.</w:t>
      </w:r>
    </w:p>
    <w:p>
      <w:r>
        <w:t>3. User allocates amounts in the Modal.</w:t>
      </w:r>
    </w:p>
    <w:p>
      <w:r>
        <w:t>4. API executes an atomic transaction:</w:t>
      </w:r>
    </w:p>
    <w:p>
      <w:r>
        <w:t xml:space="preserve">   - Creates Receipt Voucher ($1000).</w:t>
      </w:r>
    </w:p>
    <w:p>
      <w:r>
        <w:t xml:space="preserve">   - Creates InvoiceAllocation records mapping the $1000 across multiple specific Invoice UUIDs.</w:t>
      </w:r>
    </w:p>
    <w:p>
      <w:r>
        <w:t xml:space="preserve">   - Updates the `running_balance` on those specific Invoices.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