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ERP Finance Architecture Blueprint</w:t>
      </w:r>
    </w:p>
    <w:p>
      <w:r>
        <w:t>A synthesized "Best of the Best" architectural design combining classical accounting principles, global ERP data models, and ultra-high-throughput engineering techniques for the custom ERP project.</w:t>
      </w:r>
    </w:p>
    <w:p>
      <w:pPr>
        <w:pStyle w:val="Heading1"/>
      </w:pPr>
      <w:r>
        <w:t>1. The Universal Core: CQRS &amp; Append-Only Immutable Ledgers</w:t>
      </w:r>
    </w:p>
    <w:p>
      <w:r>
        <w:t>To handle millions of transactions without system failure or deadlock, the architecture employs CQRS (Command Query Responsibility Segregation) with an Append-Only Journal:</w:t>
      </w:r>
    </w:p>
    <w:p>
      <w:pPr>
        <w:pStyle w:val="ListBullet"/>
      </w:pPr>
      <w:r>
        <w:t>Write-Path (Ingestion): Vouchers and entries are strictly appended. There are NO real-time "UPDATE ledger SET balance = balance + X" queries during transaction processing, eliminating database row lock contention.</w:t>
      </w:r>
    </w:p>
    <w:p>
      <w:pPr>
        <w:pStyle w:val="ListBullet"/>
      </w:pPr>
      <w:r>
        <w:t>Read-Path (Projections): Background workers and database triggers compute running balances into lightweight snapshot tables and an in-memory Redis cache for 0ms dashboard loading.</w:t>
      </w:r>
    </w:p>
    <w:p>
      <w:pPr>
        <w:pStyle w:val="Heading1"/>
      </w:pPr>
      <w:r>
        <w:t>2. Hybrid Chart of Accounts (COA) &amp; Dimensional Tagging</w:t>
      </w:r>
    </w:p>
    <w:p>
      <w:r>
        <w:t>The ERP utilizes a modern hybrid COA structure:</w:t>
      </w:r>
    </w:p>
    <w:p>
      <w:pPr>
        <w:pStyle w:val="ListBullet"/>
      </w:pPr>
      <w:r>
        <w:t>Base Tree: A recursive hierarchical tree (using nested sets or parent_id) mapping the 5 primary classes (Assets, Liabilities, Equity, Revenue, Expenses).</w:t>
      </w:r>
    </w:p>
    <w:p>
      <w:pPr>
        <w:pStyle w:val="ListBullet"/>
      </w:pPr>
      <w:r>
        <w:t>Dimensional Tags: Instead of a massive, bloated ledger (e.g., "Travel-Sales-NY"), transactions hit a base account ("Travel") and are tagged with dynamic Dimensions (Cost Center, Branch, Product Line).</w:t>
      </w:r>
    </w:p>
    <w:p>
      <w:pPr>
        <w:pStyle w:val="Heading1"/>
      </w:pPr>
      <w:r>
        <w:t>3. The Zero-Reconciliation Sub-Ledger Model</w:t>
      </w:r>
    </w:p>
    <w:p>
      <w:r>
        <w:t>Enterprise ERPs strictly separate operational sub-ledgers (AR, AP, Fixed Assets) from the General Ledger (GL).</w:t>
      </w:r>
    </w:p>
    <w:p>
      <w:pPr>
        <w:pStyle w:val="ListNumber"/>
      </w:pPr>
      <w:r>
        <w:t>Control Accounts Lockout: Critical GL accounts (like "Accounts Receivable") are hard-locked. No human can post a manual journal entry to them. They are only updated asynchronously when an operational document (Invoice, Payment) triggers an Event Hook.</w:t>
      </w:r>
    </w:p>
    <w:p>
      <w:pPr>
        <w:pStyle w:val="ListNumber"/>
      </w:pPr>
      <w:r>
        <w:t>This architectural constraint guarantees that the sum of all customer balances perfectly matches the GL Control Account, eliminating the need for periodic manual reconciliation.</w:t>
      </w:r>
    </w:p>
    <w:p>
      <w:pPr>
        <w:pStyle w:val="Heading1"/>
      </w:pPr>
      <w:r>
        <w:t>4. Automated O2C and P2P Journal Hooks</w:t>
      </w:r>
    </w:p>
    <w:p>
      <w:r>
        <w:t>Financial entries are automatically triggered by business operations without user intervention.</w:t>
      </w:r>
    </w:p>
    <w:p>
      <w:pPr>
        <w:pStyle w:val="ListBullet"/>
      </w:pPr>
      <w:r>
        <w:t>Procure-to-Pay (P2P): Goods Receipt instantly Debits Inventory and Credits GR/IR (Clearing). Vendor Invoices clear the GR/IR and Credit Accounts Payable.</w:t>
      </w:r>
    </w:p>
    <w:p>
      <w:pPr>
        <w:pStyle w:val="ListBullet"/>
      </w:pPr>
      <w:r>
        <w:t>Order-to-Cash (O2C): Sales Invoices instantly Debit Accounts Receivable, Credit Revenue, and Credit Output Tax Liability. Simultaneously, Delivery triggers a Debit to COGS and Credit to Inventory.</w:t>
      </w:r>
    </w:p>
    <w:p>
      <w:pPr>
        <w:pStyle w:val="Heading1"/>
      </w:pPr>
      <w:r>
        <w:t>5. Scaling &amp; Deadlock Prevention</w:t>
      </w:r>
    </w:p>
    <w:p>
      <w:pPr>
        <w:pStyle w:val="ListBullet"/>
      </w:pPr>
      <w:r>
        <w:t>Lexicographical Lock Sorting: To prevent multi-leg deadlocks (Transaction A locking Ledger X then Y; Transaction B locking Ledger Y then X), the system strictly sorts all requested ledger locks alphabetically before execution.</w:t>
      </w:r>
    </w:p>
    <w:p>
      <w:pPr>
        <w:pStyle w:val="ListBullet"/>
      </w:pPr>
      <w:r>
        <w:t>Delta Rollup Checkpoints: Trial balances are not computed by summing history from Day 1. The system utilizes periodic "Snapshot Balances" (e.g., end-of-month snapshots). Reports calculate: [Last Snapshot] + [Delta Transactions since Snapshot].</w:t>
      </w:r>
    </w:p>
    <w:p>
      <w:pPr>
        <w:pStyle w:val="ListBullet"/>
      </w:pPr>
      <w:r>
        <w:t>Database Partitioning: The giant "voucher_entries" table is declaratively partitioned in PostgreSQL by Fiscal Year and Quarter to maintain lightning-fast B-Tree index traversal.</w:t>
      </w:r>
    </w:p>
    <w:p>
      <w:pPr>
        <w:pStyle w:val="Heading1"/>
      </w:pPr>
      <w:r>
        <w:t>6. Fiscal Year Rollover &amp; Tax Settlement</w:t>
      </w:r>
    </w:p>
    <w:p>
      <w:pPr>
        <w:pStyle w:val="ListBullet"/>
      </w:pPr>
      <w:r>
        <w:t>GST/Tax Settlement: Tax accounts are partitioned into Input and Output. Month-end runs automate the offset and post the net liability to a settlement account.</w:t>
      </w:r>
    </w:p>
    <w:p>
      <w:pPr>
        <w:pStyle w:val="ListBullet"/>
      </w:pPr>
      <w:r>
        <w:t>Retained Earnings Sweep: At year-end, the ERP hard-locks the fiscal period, sweeps all nominal accounts (Revenue/Expenses) to zero, and rolls the net difference into Retained Earnings/Reserves.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