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 ERP Finance Architecture Blueprint</w:t>
      </w:r>
    </w:p>
    <w:p>
      <w:r>
        <w:t>A synthesized "Best of the Best" architectural design combining classical accounting principles, global ERP data models, and ultra-high-throughput engineering techniques for the custom ERP project.</w:t>
      </w:r>
    </w:p>
    <w:p>
      <w:pPr>
        <w:pStyle w:val="Heading1"/>
      </w:pPr>
      <w:r>
        <w:t>1. The Universal Core: CQRS &amp; Append-Only Immutable Ledgers</w:t>
      </w:r>
    </w:p>
    <w:p>
      <w:r>
        <w:t>To handle millions of transactions without system failure or deadlock, the architecture employs CQRS (Command Query Responsibility Segregation) with an Append-Only Journal:</w:t>
      </w:r>
    </w:p>
    <w:p>
      <w:pPr>
        <w:pStyle w:val="ListBullet"/>
      </w:pPr>
      <w:r>
        <w:t>Write-Path (Ingestion): Vouchers and entries are strictly appended. There are NO real-time "UPDATE ledger SET balance = balance + X" queries during transaction processing, eliminating database row lock contention.</w:t>
      </w:r>
    </w:p>
    <w:p>
      <w:pPr>
        <w:pStyle w:val="ListBullet"/>
      </w:pPr>
      <w:r>
        <w:t>Read-Path (Projections): Background workers and database triggers compute running balances into lightweight snapshot tables and an in-memory Redis cache for 0ms dashboard loading.</w:t>
      </w:r>
    </w:p>
    <w:p>
      <w:pPr>
        <w:pStyle w:val="Heading1"/>
      </w:pPr>
      <w:r>
        <w:t>2. Hybrid Chart of Accounts (COA) &amp; Dimensional Tagging</w:t>
      </w:r>
    </w:p>
    <w:p>
      <w:r>
        <w:t>The ERP utilizes a modern hybrid COA structure:</w:t>
      </w:r>
    </w:p>
    <w:p>
      <w:pPr>
        <w:pStyle w:val="ListBullet"/>
      </w:pPr>
      <w:r>
        <w:t>Base Tree: A recursive hierarchical tree (using nested sets or parent_id) mapping the 5 primary classes (Assets, Liabilities, Equity, Revenue, Expenses).</w:t>
      </w:r>
    </w:p>
    <w:p>
      <w:pPr>
        <w:pStyle w:val="ListBullet"/>
      </w:pPr>
      <w:r>
        <w:t>Dimensional Tags: Instead of a massive, bloated ledger (e.g., "Travel-Sales-NY"), transactions hit a base account ("Travel") and are tagged with dynamic Dimensions (Cost Center, Branch, Product Line).</w:t>
      </w:r>
    </w:p>
    <w:p>
      <w:pPr>
        <w:pStyle w:val="Heading1"/>
      </w:pPr>
      <w:r>
        <w:t>3. The Zero-Reconciliation Sub-Ledger Model</w:t>
      </w:r>
    </w:p>
    <w:p>
      <w:r>
        <w:t>Enterprise ERPs strictly separate operational sub-ledgers (AR, AP, Fixed Assets) from the General Ledger (GL).</w:t>
      </w:r>
    </w:p>
    <w:p>
      <w:pPr>
        <w:pStyle w:val="ListNumber"/>
      </w:pPr>
      <w:r>
        <w:t>Control Accounts Lockout: Critical GL accounts (like "Accounts Receivable") are hard-locked. No human can post a manual journal entry to them. They are only updated asynchronously when an operational document (Invoice, Payment) triggers an Event Hook.</w:t>
      </w:r>
    </w:p>
    <w:p>
      <w:pPr>
        <w:pStyle w:val="ListNumber"/>
      </w:pPr>
      <w:r>
        <w:t>This architectural constraint guarantees that the sum of all customer balances perfectly matches the GL Control Account, eliminating the need for periodic manual reconciliation.</w:t>
      </w:r>
    </w:p>
    <w:p>
      <w:pPr>
        <w:pStyle w:val="Heading1"/>
      </w:pPr>
      <w:r>
        <w:t>4. Automated O2C and P2P Journal Hooks</w:t>
      </w:r>
    </w:p>
    <w:p>
      <w:r>
        <w:t>Financial entries are automatically triggered by business operations without user intervention.</w:t>
      </w:r>
    </w:p>
    <w:p>
      <w:pPr>
        <w:pStyle w:val="ListBullet"/>
      </w:pPr>
      <w:r>
        <w:t>Procure-to-Pay (P2P): Goods Receipt instantly Debits Inventory and Credits GR/IR (Clearing). Vendor Invoices clear the GR/IR and Credit Accounts Payable.</w:t>
      </w:r>
    </w:p>
    <w:p>
      <w:pPr>
        <w:pStyle w:val="ListBullet"/>
      </w:pPr>
      <w:r>
        <w:t>Order-to-Cash (O2C): Sales Invoices instantly Debit Accounts Receivable, Credit Revenue, and Credit Output Tax Liability. Simultaneously, Delivery triggers a Debit to COGS and Credit to Inventory.</w:t>
      </w:r>
    </w:p>
    <w:p>
      <w:pPr>
        <w:pStyle w:val="Heading1"/>
      </w:pPr>
      <w:r>
        <w:t>5. Scaling &amp; Deadlock Prevention</w:t>
      </w:r>
    </w:p>
    <w:p>
      <w:pPr>
        <w:pStyle w:val="ListBullet"/>
      </w:pPr>
      <w:r>
        <w:t>Lexicographical Lock Sorting: To prevent multi-leg deadlocks (Transaction A locking Ledger X then Y; Transaction B locking Ledger Y then X), the system strictly sorts all requested ledger locks alphabetically before execution.</w:t>
      </w:r>
    </w:p>
    <w:p>
      <w:pPr>
        <w:pStyle w:val="ListBullet"/>
      </w:pPr>
      <w:r>
        <w:t>Delta Rollup Checkpoints: Trial balances are not computed by summing history from Day 1. The system utilizes periodic "Snapshot Balances" (e.g., end-of-month snapshots). Reports calculate: [Last Snapshot] + [Delta Transactions since Snapshot].</w:t>
      </w:r>
    </w:p>
    <w:p>
      <w:pPr>
        <w:pStyle w:val="ListBullet"/>
      </w:pPr>
      <w:r>
        <w:t>Database Partitioning: The giant "voucher_entries" table is declaratively partitioned in PostgreSQL by Fiscal Year and Quarter to maintain lightning-fast B-Tree index traversal.</w:t>
      </w:r>
    </w:p>
    <w:p>
      <w:pPr>
        <w:pStyle w:val="Heading1"/>
      </w:pPr>
      <w:r>
        <w:t>6. Fiscal Year Rollover &amp; Tax Settlement</w:t>
      </w:r>
    </w:p>
    <w:p>
      <w:pPr>
        <w:pStyle w:val="ListBullet"/>
      </w:pPr>
      <w:r>
        <w:t>GST/Tax Settlement: Tax accounts are partitioned into Input and Output. Month-end runs automate the offset and post the net liability to a settlement account.</w:t>
      </w:r>
    </w:p>
    <w:p>
      <w:pPr>
        <w:pStyle w:val="ListBullet"/>
      </w:pPr>
      <w:r>
        <w:t>Retained Earnings Sweep: At year-end, the ERP hard-locks the fiscal period, sweeps all nominal accounts (Revenue/Expenses) to zero, and rolls the net difference into Retained Earnings/Reserves.</w:t>
      </w:r>
    </w:p>
    <w:p/>
    <w:p>
      <w:pPr>
        <w:pStyle w:val="Heading1"/>
      </w:pPr>
      <w:r>
        <w:t>7. Detailed Finance &amp; Accounting Operations Workflow</w:t>
      </w:r>
    </w:p>
    <w:p>
      <w:r>
        <w:t>To put this architecture into practice, the system follows a strict state-machine workflow that moves data from operational reality into financial ledgers seamlessly:</w:t>
      </w:r>
    </w:p>
    <w:p>
      <w:pPr>
        <w:pStyle w:val="Heading2"/>
      </w:pPr>
      <w:r>
        <w:t>A. The Ingestion Layer (Operational Front-End)</w:t>
      </w:r>
    </w:p>
    <w:p>
      <w:r>
        <w:t>When a user (e.g., a cashier or procurement officer) performs a task like saving an invoice, the system does not immediately lock the database. It constructs a "Draft Voucher". Once validated against the budget and rules, it fires an Event Hook that commits the operational record and places a payload into the async accounting queue.</w:t>
      </w:r>
    </w:p>
    <w:p>
      <w:pPr>
        <w:pStyle w:val="Heading2"/>
      </w:pPr>
      <w:r>
        <w:t>B. The Processing Layer (Ledger Engine)</w:t>
      </w:r>
    </w:p>
    <w:p>
      <w:r>
        <w:t>The Ledger Engine picks up the queue, performs Lexicographical Lock Sorting to prevent deadlocks, and strictly appends the Debit and Credit lines to the Universal Journal. Simultaneously, it updates the Redis cache so that the CEO looking at the dashboard sees the cash balance update in real-time.</w:t>
      </w:r>
    </w:p>
    <w:p>
      <w:pPr>
        <w:pStyle w:val="Heading2"/>
      </w:pPr>
      <w:r>
        <w:t>C. The Reporting Layer (Delta Rollup)</w:t>
      </w:r>
    </w:p>
    <w:p>
      <w:r>
        <w:t>When the CFO requests a Trial Balance, the system does not read millions of lines. It fetches the "Snapshot Balance" from the 1st of the month, and only adds the live transactions that occurred between the 1st and today, ensuring reports generate in milliseconds.</w:t>
      </w:r>
    </w:p>
    <w:p>
      <w:pPr>
        <w:pStyle w:val="Heading1"/>
      </w:pPr>
      <w:r>
        <w:t>8. Advanced Outstanding Management: Tally &amp; Marg Style "Bill-by-Bill" Adjustments</w:t>
      </w:r>
    </w:p>
    <w:p>
      <w:r>
        <w:t>A critical feature inspired by industry staples like TallyPrime and Marg ERP is "Bill-wise Details" or Invoice-Specific Payment Adjustments. Standard double-entry accounting only tells you that a customer owes ,000 in total. It does NOT tell you WHICH specific invoices make up that ,000. Our architecture introduces an Invoice Allocation mapping layer to solve this.</w:t>
      </w:r>
    </w:p>
    <w:p>
      <w:pPr>
        <w:pStyle w:val="Heading2"/>
      </w:pPr>
      <w:r>
        <w:t>The Bill-by-Bill Workflow:</w:t>
      </w:r>
    </w:p>
    <w:p>
      <w:pPr>
        <w:pStyle w:val="ListNumber"/>
      </w:pPr>
      <w:r>
        <w:t>1. New Reference (Invoice Creation):</w:t>
      </w:r>
    </w:p>
    <w:p>
      <w:r>
        <w:t>When Sales Invoice #INV-001 is finalized for ,000, the system generates the accounting voucher and simultaneously registers an outstanding "Receivable Reference" tagged specifically to INV-001.</w:t>
      </w:r>
    </w:p>
    <w:p>
      <w:pPr>
        <w:pStyle w:val="ListNumber"/>
      </w:pPr>
      <w:r>
        <w:t>2. Against Reference (Payment Adjustment):</w:t>
      </w:r>
    </w:p>
    <w:p>
      <w:r>
        <w:t>When the customer pays , the clerk opens a Receipt Voucher. The system forces the clerk to select WHICH invoice is being paid. The clerk selects "Against Reference: INV-001". The system maps the receipt directly to that invoice.</w:t>
      </w:r>
    </w:p>
    <w:p>
      <w:pPr>
        <w:pStyle w:val="ListNumber"/>
      </w:pPr>
      <w:r>
        <w:t>3. Partial Clearances &amp; Aging:</w:t>
      </w:r>
    </w:p>
    <w:p>
      <w:r>
        <w:t>Because of this mapping, the system knows INV-001 still has a  pending balance. This allows the ERP to generate precise Aging Reports (e.g.,  is 30 Days Overdue). The collection team can call the debtor and say exactly: "You still owe  specifically on Invoice #INV-001," rather than just "You owe us money."</w:t>
      </w:r>
    </w:p>
    <w:p>
      <w:pPr>
        <w:pStyle w:val="ListNumber"/>
      </w:pPr>
      <w:r>
        <w:t>4. Advance / On Account Payments:</w:t>
      </w:r>
    </w:p>
    <w:p>
      <w:r>
        <w:t>If the customer pays  before an invoice is even generated, the payment is stored as an "Advance" or "On Account" reference. Later, when the invoice is created, the user can match the new invoice against this pre-existing advance payment.</w:t>
      </w:r>
    </w:p>
    <w:p>
      <w:pPr>
        <w:pStyle w:val="Heading2"/>
      </w:pPr>
      <w:r>
        <w:t>Architectural Implementation (The Mapping Table)</w:t>
      </w:r>
    </w:p>
    <w:p>
      <w:r>
        <w:t>To achieve this without bloating the main ledger, we will architect an "invoice_allocations" or "bill_adjustments" relational table. This table will serve as the bridge connecting a Receipt Voucher Line ID directly to a Sales Invoice Voucher Line ID, maintaining the exact cleared and pending amounts in real time. This guarantees that Ledger Balances and Outstanding Bill Reports are always 100% mathematically synchronized.</w:t>
      </w:r>
    </w:p>
    <w:p/>
    <w:p>
      <w:pPr>
        <w:pStyle w:val="Heading1"/>
      </w:pPr>
      <w:r>
        <w:t>9. Beyond Tally &amp; Marg: Overcoming Legacy SME ERP Limitations</w:t>
      </w:r>
    </w:p>
    <w:p>
      <w:r>
        <w:t>While Tally and Marg are fantastic for high-speed retail and SME environments, their underlying architectural age causes them to lag severely when scaling to an enterprise level. Our new architecture explicitly solves their four biggest weaknesses:</w:t>
      </w:r>
    </w:p>
    <w:p>
      <w:pPr>
        <w:pStyle w:val="Heading2"/>
      </w:pPr>
      <w:r>
        <w:t>A. The Concurrency Bottleneck (Database Crashes)</w:t>
      </w:r>
    </w:p>
    <w:p>
      <w:r>
        <w:t>Where they lag: Legacy SME ERPs often use proprietary flat-file or outdated hierarchical databases. If 100 users try to post a sales invoice at the exact same millisecond, the system locks up, slows down, or crashes.</w:t>
      </w:r>
    </w:p>
    <w:p>
      <w:r>
        <w:t>Our Solution: By using a modern relational database (PostgreSQL) with MVCC (Multi-Version Concurrency Control) and our CQRS Append-Only Ledger, our architecture handles thousands of simultaneous transactions per second without locking up the database.</w:t>
      </w:r>
    </w:p>
    <w:p>
      <w:pPr>
        <w:pStyle w:val="Heading2"/>
      </w:pPr>
      <w:r>
        <w:t>B. Strict Immutability vs. Silent Editing (Audit Compliance)</w:t>
      </w:r>
    </w:p>
    <w:p>
      <w:r>
        <w:t>Where they lag: Tally is famously "forgiving." A user can go back and alter or delete a voucher from 6 months ago without leaving a clean trace (unless strict edit logs are enabled, which degrades performance). This fails modern corporate compliance and audit standards.</w:t>
      </w:r>
    </w:p>
    <w:p>
      <w:r>
        <w:t>Our Solution: The Universal Journal in our architecture is strictly IMMUTABLE. Once a voucher is posted, it can NEVER be deleted or edited. If a mistake is made, the system forces a "Reversal Journal" (AJV) to track exactly who changed what, ensuring 100% audit-proof compliance.</w:t>
      </w:r>
    </w:p>
    <w:p>
      <w:pPr>
        <w:pStyle w:val="Heading2"/>
      </w:pPr>
      <w:r>
        <w:t>C. Real-Time Multi-Branch Consolidation</w:t>
      </w:r>
    </w:p>
    <w:p>
      <w:r>
        <w:t>Where they lag: In older systems, syncing data between a branch in Delhi and a head office in Mumbai requires complex "Data Sync" rules, XML exports, or end-of-day batch uploads. It is rarely true real-time.</w:t>
      </w:r>
    </w:p>
    <w:p>
      <w:r>
        <w:t>Our Solution: True cloud-native Single Source of Truth. Because all branches operate on the exact same unified database, the CEO sees consolidated global financials instantly, with live currency conversions, without ever running a "sync" process.</w:t>
      </w:r>
    </w:p>
    <w:p>
      <w:pPr>
        <w:pStyle w:val="Heading2"/>
      </w:pPr>
      <w:r>
        <w:t>D. API-First Integration &amp; Headless Connectivity</w:t>
      </w:r>
    </w:p>
    <w:p>
      <w:r>
        <w:t>Where they lag: Integrating Tally or Marg with a modern e-commerce website (like Shopify), a custom CRM, or a mobile app requires clunky XML bridges, third-party middleware, or manual ODBC polling.</w:t>
      </w:r>
    </w:p>
    <w:p>
      <w:r>
        <w:t>Our Solution: An API-First architecture. Every financial action (creating a ledger, posting a payment) is exposed via modern REST/GraphQL APIs and Webhooks. If a sale happens on an external app, it pushes securely and instantly into the ERP ledger in real time.</w:t>
      </w:r>
    </w:p>
    <w:p>
      <w:pPr>
        <w:pStyle w:val="Heading1"/>
      </w:pPr>
      <w:r>
        <w:t>10. Exhaustive List of Supported Finance &amp; Accounting Modules</w:t>
      </w:r>
    </w:p>
    <w:p>
      <w:r>
        <w:t>While the sections above describe the technical architecture, this engine is designed to support the complete suite of standard enterprise Finance &amp; Accounting options natively:</w:t>
      </w:r>
    </w:p>
    <w:p>
      <w:pPr>
        <w:pStyle w:val="ListBullet"/>
      </w:pPr>
      <w:r>
        <w:t>General Ledger (GL): Automated journal entries, multi-dimensional chart of accounts, and trial balances.</w:t>
      </w:r>
    </w:p>
    <w:p>
      <w:pPr>
        <w:pStyle w:val="ListBullet"/>
      </w:pPr>
      <w:r>
        <w:t>Accounts Payable (AP) &amp; Accounts Receivable (AR): Vendor/Customer aging, bill-by-bill outstanding tracking, credit limits, and dunning letters.</w:t>
      </w:r>
    </w:p>
    <w:p>
      <w:pPr>
        <w:pStyle w:val="ListBullet"/>
      </w:pPr>
      <w:r>
        <w:t>Bank Reconciliation Statement (BRS): Automated matching of ERP cash books with live bank statement feeds or MT940/CSV uploads.</w:t>
      </w:r>
    </w:p>
    <w:p>
      <w:pPr>
        <w:pStyle w:val="ListBullet"/>
      </w:pPr>
      <w:r>
        <w:t>Fixed Asset Management: Asset capitalization, lifecycle tracking, and automated scheduled depreciation (SLM/WDV methods).</w:t>
      </w:r>
    </w:p>
    <w:p>
      <w:pPr>
        <w:pStyle w:val="ListBullet"/>
      </w:pPr>
      <w:r>
        <w:t>Costing &amp; Management Accounting: Cost Centers, Profit Centers, and expense allocation across different departments or projects.</w:t>
      </w:r>
    </w:p>
    <w:p>
      <w:pPr>
        <w:pStyle w:val="ListBullet"/>
      </w:pPr>
      <w:r>
        <w:t>Budgeting &amp; Forecasting: Setting financial limits per ledger/cost center and generating real-time Budget vs. Actual Variance reports.</w:t>
      </w:r>
    </w:p>
    <w:p>
      <w:pPr>
        <w:pStyle w:val="ListBullet"/>
      </w:pPr>
      <w:r>
        <w:t>Multi-Currency &amp; Forex Revaluation: Automatic calculation of realized/unrealized Foreign Exchange (Forex) gains and losses at month-end.</w:t>
      </w:r>
    </w:p>
    <w:p>
      <w:pPr>
        <w:pStyle w:val="ListBullet"/>
      </w:pPr>
      <w:r>
        <w:t>Taxation Engine: Configurable tax rules for Input/Output VAT, GST, TDS, and TCS, with automated tax settlement runs.</w:t>
      </w:r>
    </w:p>
    <w:p>
      <w:pPr>
        <w:pStyle w:val="ListBullet"/>
      </w:pPr>
      <w:r>
        <w:t>Financial Statements &amp; Analytics: 0-millisecond generation of Balance Sheets, Profit &amp; Loss (Income Statement), and Cash Flow statements.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