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Arial" w:hAnsi="Arial"/>
          <w:b/>
          <w:color w:val="1E3A8A"/>
          <w:sz w:val="44"/>
        </w:rPr>
        <w:t>ENTERPRISE FINANCE &amp; ACCOUNTING ARCHITECTURE</w:t>
      </w:r>
    </w:p>
    <w:p>
      <w:pPr>
        <w:spacing w:before="0" w:after="320"/>
      </w:pPr>
      <w:r>
        <w:rPr>
          <w:rFonts w:ascii="Arial" w:hAnsi="Arial"/>
          <w:i/>
          <w:color w:val="64748B"/>
          <w:sz w:val="22"/>
        </w:rPr>
        <w:t>A Comprehensive Architectural, Functional, and Operational Guide on How Global ERPs (SAP S/4HANA, Oracle NetSuite, Microsoft Dynamics 365, TallyPrime, Marg ERP, and Modern Cloud ERPs) Handle Accounting Workflows, Multi-Leg Ledgers, Fiscal Closures, and Sub-Ledger Integrations.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Target Audience: ERP Architects, Lead Developers, Financial Analysts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Domain: Double-Entry ERP Systems &amp; Financial Sub-modules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Standard Compliance: GAAP, IFRS, Indian Accounting Standards (Ind AS), GST/TDS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Date: September 2026 | Version: 2.4 Enterprise Edition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1. Core Philosophy of Accounting in Enterprise ERPs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At the center of every Enterprise Resource Planning (ERP) platform—whether it is an enterprise tier-1 behemoth like SAP S/4HANA or a specialized high-speed retail/pharma ERP like Marg ERP or TallyPrime—lies a non-negotiable mathematical equilibrium: the Double-Entry Bookkeeping System.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Every business event is represented not as a unilateral change, but as an atomic, multi-dimensional transaction where every unit of value transferred out of one account is matched exactly by value received into another.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8"/>
              </w:rPr>
              <w:t>Mathematical Invariant of Double-Entry ERP Systems:</w:t>
              <w:br/>
              <w:t>Σ (Debit Amounts)  -  Σ (Credit Amounts)  =  0.00</w:t>
              <w:br/>
              <w:t>Assets  =  Liabilities  +  Owner's Equity  +  (Income  -  Expenses)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1.1 The Three Golden Rules of Accounting in ERP Logic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ERPs translate classical accounting rules into deterministic state-machine updates based on account classification: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1. Real Accounts (Tangible &amp; Intangible Assets): </w:t>
      </w:r>
      <w:r>
        <w:rPr>
          <w:rFonts w:ascii="Arial" w:hAnsi="Arial"/>
          <w:color w:val="0F172A"/>
          <w:sz w:val="19"/>
        </w:rPr>
        <w:t>Debit what comes in; Credit what goes out. (e.g., Cash Inflow = Debit, Cash Outflow = Credit; Purchase Stock = Debit, Inventory Outward = Credit).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2. Personal Accounts (Customers, Vendors, Banks, Capital): </w:t>
      </w:r>
      <w:r>
        <w:rPr>
          <w:rFonts w:ascii="Arial" w:hAnsi="Arial"/>
          <w:color w:val="0F172A"/>
          <w:sz w:val="19"/>
        </w:rPr>
        <w:t>Debit the Receiver; Credit the Giver. (e.g., Customer receiving goods = Debit Customer A/R; Vendor providing goods = Credit Vendor A/P).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3. Nominal Accounts (Revenue &amp; Expense Accounts): </w:t>
      </w:r>
      <w:r>
        <w:rPr>
          <w:rFonts w:ascii="Arial" w:hAnsi="Arial"/>
          <w:color w:val="0F172A"/>
          <w:sz w:val="19"/>
        </w:rPr>
        <w:t>Debit all Expenses &amp; Losses; Credit all Incomes &amp; Gains. (e.g., Rent, Freight, Discount Allowed = Debit; Sales, Interest Received = Credit).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📌 THE THREE INVIOLABLE ERP ACCOUNTING PILLARS</w:t>
              <w:br/>
            </w:r>
            <w:r>
              <w:rPr>
                <w:rFonts w:ascii="Arial" w:hAnsi="Arial"/>
                <w:color w:val="0F172A"/>
                <w:sz w:val="19"/>
              </w:rPr>
              <w:t>1. Atomic Leg Enforcement: A voucher can have N debit lines and M credit lines (N&gt;=1, M&gt;=1), but cannot be persisted if sum(debits) != sum(credits).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0F172A"/>
                <w:sz w:val="19"/>
              </w:rPr>
              <w:t>2. Strict Fiscal Year Partitioning: Financial movements belong to a legally bounded Fiscal Year (e.g., 01-Apr-2026 to 31-Mar-2027).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0F172A"/>
                <w:sz w:val="19"/>
              </w:rPr>
              <w:t>3. Append-Only Immutability: Posted financial vouchers are NEVER deleted. They can only be reversed (Storno or Counter-Vouchers) to ensure an unbreakable audit trail.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2. Chart of Accounts (COA) Architecture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The Chart of Accounts (COA) serves as the master structural tree that classifies every economic event. World-class ERPs use a multi-tiered hierarchy composed of Primary Classes, Control Groups, Sub-Groups, and Atomic Ledgers.</w:t>
      </w: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2.1 Hierarchical Tree Structure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In enterprise databases (Postgres/Oracle), the COA is modeled using recursive adjacency lists (parent_id) or nested set hierarchies: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8"/>
              </w:rPr>
              <w:t>[Primary Account Group]  (e.g., Current Assets)</w:t>
              <w:br/>
              <w:t xml:space="preserve">      └── [Sub-Group]       (e.g., Sundry Debtors / Trade Receivables)</w:t>
              <w:br/>
              <w:t xml:space="preserve">            └── [Sub-Group] (e.g., North Zone Customers)</w:t>
              <w:br/>
              <w:t xml:space="preserve">                  └── [Atomic Ledger Account] (e.g., Apex Healthcare Ltd. - GL Code: 110204)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2.2 Standard 5-Class Categorization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Class ID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Primary Group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Financial Statement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Normal Balance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Typical Sub-Groups &amp; Ledgers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Assets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Balance Sheet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Debit (Dr)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Cash-in-Hand, Bank Accounts, Stock-in-Hand, Sundry Debtors, Fixed Assets, GST Input Credit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2000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Liabilities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Balance Sheet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Credit (Cr)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Sundry Creditors (AP), Bank Overdraft, Loans, Duties &amp; Taxes (GST Output), Provisions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3000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Capital / Equity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Balance Sheet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Credit (Cr)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Share Capital, Partners Capital, Retained Earnings, Reserves &amp; Surplus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4000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Income / Revenue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Profit &amp; Loss (P&amp;L)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Credit (Cr)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Sales Accounts, Export Revenue, Direct Incomes, Discounts Received, Interest Income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Expenses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Profit &amp; Loss (P&amp;L)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Debit (Dr)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Purchase Accounts, Freight/Transport, Rent, Salaries, Admin Expenses, Depreciation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3. Voucher Execution Engine &amp; Transaction Types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A financial transaction in an ERP is encapsulated as a 'Voucher'. ERPs categorize vouchers by business intent to enforce validation logic, auto-numbering prefixes, and UI workflows.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Voucher Type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Prefix Code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Business Purpose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Impacted Account Classes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Payment Voucher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PAY/26-27/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Cash or Bank outflow to pay vendors, operating expenses, taxes, or asset purchases.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Credit: Bank/Cash | Debit: Expense / Liability (Vendor)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Receipt Voucher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REC/26-27/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Cash or Bank inflow received from customers, loans, interest, or direct revenue.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Debit: Bank/Cash | Credit: Customer (AR) / Revenue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 Voucher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CON/26-27/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Internal fund movements between liquid asset accounts (Cash to Bank, Bank to Bank). No P&amp;L impact.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Debit: Receiving Liquid Acct | Credit: Disbursing Liquid Acct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Journal Voucher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JRN/26-27/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Non-cash adjustments: Depreciation, year-end accruals, Bad Debt write-offs, corrections.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Debit: Expense / Asset | Credit: Provision / Asset / Ledger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Sales Voucher / Bill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SLS/26-27/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Automatic booking of customer receivables, product sales revenue, and GST liabilities.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Debit: Customer (AR) | Credit: Sales A/c, CGST, SGST/IGST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Purchase Voucher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PUR/26-27/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Automatic booking of vendor payables, inward inventory valuation, and GST input credit.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Debit: Purchase A/c, CGST, SGST Input | Credit: Vendor (AP)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3.1 Multi-Leg Split Transactions (ACID Compliance)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Real-world accounting transactions rarely involve a simple 1-to-1 debit-credit pair. For example, a single vendor payment may settle invoices across multiple branches with a deducted TDS (Tax Deducted at Source) and cash discount.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8"/>
              </w:rPr>
              <w:t>Example of Multi-Leg Split Voucher (Vendor Payment with TDS &amp; Discount):</w:t>
              <w:br/>
              <w:t>-------------------------------------------------------------------------</w:t>
              <w:br/>
              <w:t>Voucher Type: Payment (PAY/2026-27/0412) | Date: 05-Sep-2026</w:t>
              <w:br/>
              <w:t>-------------------------------------------------------------------------</w:t>
              <w:br/>
              <w:t>Dr. Cipla Pharmaceuticals (Vendor AP)       ₹ 1,00,000.00</w:t>
              <w:br/>
              <w:t xml:space="preserve">    Cr. HDFC Bank (Main Operating Account)                     ₹ 96,000.00</w:t>
              <w:br/>
              <w:t xml:space="preserve">    Cr. TDS Payable (Section 194C / 194Q)                      ₹  2,000.00</w:t>
              <w:br/>
              <w:t xml:space="preserve">    Cr. Discount Received (Indirect Income)                    ₹  2,000.00</w:t>
              <w:br/>
              <w:t>-------------------------------------------------------------------------</w:t>
              <w:br/>
              <w:t>Total Debit: ₹ 1,00,000.00  |  Total Credit: ₹ 1,00,000.00  [BALANCED]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4. Automated Sub-Ledger to General Ledger (GL) Posting Flows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In modern ERP architectures, users in inventory, sales, and purchasing NEVER manually type accounting vouchers. Financial journal entries are auto-generated asynchronously via Event-Driven Hooks triggered by operational document state changes.</w:t>
      </w: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4.1 Order-to-Cash (O2C) Flow — Sales to Finance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The complete economic lifecycle of a customer order: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Stage 1 - Quotation &amp; Order: </w:t>
      </w:r>
      <w:r>
        <w:rPr>
          <w:rFonts w:ascii="Arial" w:hAnsi="Arial"/>
          <w:color w:val="0F172A"/>
          <w:sz w:val="19"/>
        </w:rPr>
        <w:t>Sales Order (SO) Created: No financial impact. Commits stock allocation.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Stage 2 - Goods Dispatch: </w:t>
      </w:r>
      <w:r>
        <w:rPr>
          <w:rFonts w:ascii="Arial" w:hAnsi="Arial"/>
          <w:color w:val="0F172A"/>
          <w:sz w:val="19"/>
        </w:rPr>
        <w:t>Delivery / Dispatch Note: Inventory is physically moved. In perpetual ERPs (SAP/NetSuite): Debit Cost of Goods Sold (COGS), Credit Stock-in-Hand Inventory.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Stage 3 - Invoicing (Tax Point): </w:t>
      </w:r>
      <w:r>
        <w:rPr>
          <w:rFonts w:ascii="Arial" w:hAnsi="Arial"/>
          <w:color w:val="0F172A"/>
          <w:sz w:val="19"/>
        </w:rPr>
        <w:t>Sales Invoice Finalized: Legal title transfers. Triggers automated GL post: Debit Customer Trade Receivable (Gross), Credit Sales Revenue (Net), Credit Output CGST/SGST/IGST.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Stage 4 - Payment Settlement: </w:t>
      </w:r>
      <w:r>
        <w:rPr>
          <w:rFonts w:ascii="Arial" w:hAnsi="Arial"/>
          <w:color w:val="0F172A"/>
          <w:sz w:val="19"/>
        </w:rPr>
        <w:t>Customer Collection: Customer pays via NEFT/UPI. Debit Bank Account, Credit Customer Trade Receivable. If TDS was deducted by customer: Debit TDS Receivable.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8"/>
              </w:rPr>
              <w:t>O2C Accounting Journal Posting Matrix:</w:t>
              <w:br/>
              <w:t>1. On Invoice Creation:</w:t>
              <w:br/>
              <w:t xml:space="preserve">   [Dr] Sundry Debtors (Customer A/c)      : ₹ 11,800  (Gross Total)</w:t>
              <w:br/>
              <w:t xml:space="preserve">       [Cr] Sales Revenue Account          : ₹ 10,000  (Taxable Base)</w:t>
              <w:br/>
              <w:t xml:space="preserve">       [Cr] Output CGST Payable (9%)       : ₹    900  (Tax Liability)</w:t>
              <w:br/>
              <w:t xml:space="preserve">       [Cr] Output SGST Payable (9%)       : ₹    900  (Tax Liability)</w:t>
              <w:br/>
              <w:br/>
              <w:t>2. On Customer Payment (Cheque/Bank Transfer):</w:t>
              <w:br/>
              <w:t xml:space="preserve">   [Dr] HDFC Bank Account                  : ₹ 11,800</w:t>
              <w:br/>
              <w:t xml:space="preserve">       [Cr] Sundry Debtors (Customer A/c)  : ₹ 11,800  [Account Cleared]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4.2 Procure-to-Pay (P2P) Flow &amp; 3-Way Matching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Enterprise ERPs enforce a '3-Way Match' (Purchase Order vs. Goods Receipt Note vs. Vendor Bill) before authorising payment: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Stage 1 - PO: </w:t>
      </w:r>
      <w:r>
        <w:rPr>
          <w:rFonts w:ascii="Arial" w:hAnsi="Arial"/>
          <w:color w:val="0F172A"/>
          <w:sz w:val="19"/>
        </w:rPr>
        <w:t>Purchase Order (PO): Commercial commitment; no GL posting.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Stage 2 - Material Inward (GRN): </w:t>
      </w:r>
      <w:r>
        <w:rPr>
          <w:rFonts w:ascii="Arial" w:hAnsi="Arial"/>
          <w:color w:val="0F172A"/>
          <w:sz w:val="19"/>
        </w:rPr>
        <w:t>Goods Receipt Note (GRN): Physical goods enter warehouse. In Tier-1 ERPs: Debit Stock-in-Hand, Credit GR/IR Clearing Account (Goods Receipt / Invoice Receipt Interim Account).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Stage 3 - Bill Registration: </w:t>
      </w:r>
      <w:r>
        <w:rPr>
          <w:rFonts w:ascii="Arial" w:hAnsi="Arial"/>
          <w:color w:val="0F172A"/>
          <w:sz w:val="19"/>
        </w:rPr>
        <w:t>Vendor Bill Verification: System compares quantities and rates. Automated posting: Debit GR/IR Clearing Account, Debit Input GST (ITC) Account, Credit Sundry Creditors (Vendor AP).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Stage 4 - Disbursement: </w:t>
      </w:r>
      <w:r>
        <w:rPr>
          <w:rFonts w:ascii="Arial" w:hAnsi="Arial"/>
          <w:color w:val="0F172A"/>
          <w:sz w:val="19"/>
        </w:rPr>
        <w:t>Payment Execution: Debit Sundry Creditors, Credit Bank Account.</w:t>
      </w: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4.3 Inventory Valuation &amp; COGS (Perpetual vs. Periodic)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ERPs handle inventory accounting through two distinct architectures: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1. Perpetual Inventory Method (Real-Time): </w:t>
      </w:r>
      <w:r>
        <w:rPr>
          <w:rFonts w:ascii="Arial" w:hAnsi="Arial"/>
          <w:color w:val="0F172A"/>
          <w:sz w:val="19"/>
        </w:rPr>
        <w:t>Every inventory movement (purchase, sale, return, scrap) creates an immediate real-time financial voucher updating Inventory Value and COGS. Used by SAP S/4HANA, NetSuite, Dynamics 365.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2. Periodic Inventory Method: </w:t>
      </w:r>
      <w:r>
        <w:rPr>
          <w:rFonts w:ascii="Arial" w:hAnsi="Arial"/>
          <w:color w:val="0F172A"/>
          <w:sz w:val="19"/>
        </w:rPr>
        <w:t>Inventory balance is updated in financial statements only at the end of the month/quarter following a physical stock count or manual valuation entry. Used by traditional Tally and basic SME accounting software.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5. Statutory Tax Engine &amp; GST / TDS Architecture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For businesses operating under Indian and global tax regimes, the finance module must maintain dual ledgers for every transaction to differentiate Commercial Gross Value from Statutory Tax Liabilities.</w:t>
      </w: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5.1 GST (Goods and Services Tax) Flow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1. Intra-State: </w:t>
      </w:r>
      <w:r>
        <w:rPr>
          <w:rFonts w:ascii="Arial" w:hAnsi="Arial"/>
          <w:color w:val="0F172A"/>
          <w:sz w:val="19"/>
        </w:rPr>
        <w:t>Intra-State Transactions (Within State): Tax splits 50/50 between Central GST (CGST) and State GST (SGST).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2. Inter-State: </w:t>
      </w:r>
      <w:r>
        <w:rPr>
          <w:rFonts w:ascii="Arial" w:hAnsi="Arial"/>
          <w:color w:val="0F172A"/>
          <w:sz w:val="19"/>
        </w:rPr>
        <w:t>Inter-State Transactions (Across States): Full tax posts to Integrated GST (IGST).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3. Reverse Charge (RCM): </w:t>
      </w:r>
      <w:r>
        <w:rPr>
          <w:rFonts w:ascii="Arial" w:hAnsi="Arial"/>
          <w:color w:val="0F172A"/>
          <w:sz w:val="19"/>
        </w:rPr>
        <w:t>Reverse Charge Mechanism (RCM): Buyer pays tax directly to the government on behalf of unregistered vendors. Creates equal Debit (Input RCM Credit) and Credit (Output RCM Liability).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4. Month-End ITC Set-off: </w:t>
      </w:r>
      <w:r>
        <w:rPr>
          <w:rFonts w:ascii="Arial" w:hAnsi="Arial"/>
          <w:color w:val="0F172A"/>
          <w:sz w:val="19"/>
        </w:rPr>
        <w:t>ITC Offset &amp; Settlement: At month end, ERP executes tax clearing: Output GST accounts are debited, Input GST accounts are credited, and the net balance is transferred to GST Electronic Cash Ledger for payment.</w:t>
      </w: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5.2 TDS / TCS (Tax Deducted / Collected at Source)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When payments cross statutory thresholds (e.g., Section 194C contractor payments &gt; ₹30k/₹100k, Section 194Q purchase of goods &gt; ₹50 Lakhs), the ERP automatically calculates and splits the deduction into a designated TDS Payable ledger during bill recording.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6. Banking, Treasury &amp; Bank Reconciliation (BRS)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The Bank Ledger in the ERP books transactions based on the date cheques/transfers were issued or received. The Bank Statement from the financial institution reflects transactions when they clear. The difference creates a timing discrepancy managed by the Bank Reconciliation Statement (BRS) engine.</w:t>
      </w: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6.1 The BRS Discrepancy Matrix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Case A: </w:t>
      </w:r>
      <w:r>
        <w:rPr>
          <w:rFonts w:ascii="Arial" w:hAnsi="Arial"/>
          <w:color w:val="0F172A"/>
          <w:sz w:val="19"/>
        </w:rPr>
        <w:t>Cheques Issued but Not Presented: Credited in ERP, but not yet debited by bank. (Added back to bank balance).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Case B: </w:t>
      </w:r>
      <w:r>
        <w:rPr>
          <w:rFonts w:ascii="Arial" w:hAnsi="Arial"/>
          <w:color w:val="0F172A"/>
          <w:sz w:val="19"/>
        </w:rPr>
        <w:t>Cheques Deposited but Not Cleared: Debited in ERP, but not yet credited by bank. (Deducted from bank balance).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Case C: </w:t>
      </w:r>
      <w:r>
        <w:rPr>
          <w:rFonts w:ascii="Arial" w:hAnsi="Arial"/>
          <w:color w:val="0F172A"/>
          <w:sz w:val="19"/>
        </w:rPr>
        <w:t>Direct Bank Charges / Interest: Recorded on bank statement first. ERP auto-creates Journal/Payment entries to sync.</w:t>
      </w: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6.2 Automated Electronic Bank Statement (EBS) Matching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Modern ERPs ingest MT940, CAMT.053, or open banking API feeds. Reconciliation algorithms match entries based on: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1. Reference Key: </w:t>
      </w:r>
      <w:r>
        <w:rPr>
          <w:rFonts w:ascii="Arial" w:hAnsi="Arial"/>
          <w:color w:val="0F172A"/>
          <w:sz w:val="19"/>
        </w:rPr>
        <w:t>Exact match on UTR Number / Cheque Number / Reference Code (100% confidence auto-clear).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2. Value Matching: </w:t>
      </w:r>
      <w:r>
        <w:rPr>
          <w:rFonts w:ascii="Arial" w:hAnsi="Arial"/>
          <w:color w:val="0F172A"/>
          <w:sz w:val="19"/>
        </w:rPr>
        <w:t>Exact match on Date + Amount + Counterparty name (Fuzzy Match suggestion for user confirmation).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7. Fiscal Year Lifecycle &amp; Period Closing Architecture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Accounting mandates that business operations are partitioned into discrete 12-month Fiscal Years (e.g. FY 2026-27: 01-April-2026 to 31-March-2027). The ERP must enforce complete cryptographic and data isolation between years.</w:t>
      </w: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7.1 Period Locking (Hard Lock vs. Soft Lock)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1. Soft Lock: </w:t>
      </w:r>
      <w:r>
        <w:rPr>
          <w:rFonts w:ascii="Arial" w:hAnsi="Arial"/>
          <w:color w:val="0F172A"/>
          <w:sz w:val="19"/>
        </w:rPr>
        <w:t>Soft Lock: Warning shown to accounting staff if transaction date falls outside active period, but authorized managers can override with a security passkey.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2. Hard Lock: </w:t>
      </w:r>
      <w:r>
        <w:rPr>
          <w:rFonts w:ascii="Arial" w:hAnsi="Arial"/>
          <w:color w:val="0F172A"/>
          <w:sz w:val="19"/>
        </w:rPr>
        <w:t>Hard Lock: Database-level immutability. No voucher creation, update, or cancellation is permitted in locked historical fiscal periods. Guarantees audit compliance.</w:t>
      </w: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7.2 Year-End Balance Carry-Forward Engine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At the stroke of midnight on 31st March, the ERP executes the Year-End Close workflow: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Step 1 - Nominal Reset: </w:t>
      </w:r>
      <w:r>
        <w:rPr>
          <w:rFonts w:ascii="Arial" w:hAnsi="Arial"/>
          <w:color w:val="0F172A"/>
          <w:sz w:val="19"/>
        </w:rPr>
        <w:t>Nominal Accounts (All Sales, Purchases, Direct/Indirect Expenses, Incomes): NET balance is computed (Total Income - Total Expenses = Net Profit/Loss). The nominal balances are zeroed out (reset to 0.00 for the new fiscal year), and the net profit/loss is transferred to Reserves &amp; Surplus / Retained Earnings (Capital Group).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Step 2 - Balance Roll-Forward: </w:t>
      </w:r>
      <w:r>
        <w:rPr>
          <w:rFonts w:ascii="Arial" w:hAnsi="Arial"/>
          <w:color w:val="0F172A"/>
          <w:sz w:val="19"/>
        </w:rPr>
        <w:t>Real &amp; Personal Accounts (Assets, Liabilities, Capital, Debtors, Creditors, Banks, Stock): Closing balances of Year N become the exact Opening Balances of Year N+1.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8"/>
              </w:rPr>
              <w:t>Year-End Carry Forward Formula:</w:t>
              <w:br/>
              <w:t>For Real/Personal Account (e.g. Customer Apex Healthcare):</w:t>
              <w:br/>
              <w:t>Closing_Balance (FY 2025-26)  ══════►  Opening_Balance (FY 2026-27)</w:t>
              <w:br/>
              <w:br/>
              <w:t>For Nominal Account (e.g. Sales Account):</w:t>
              <w:br/>
              <w:t>Closing_Balance (FY 2025-26)  ══════►  ₹ 0.00 (New FY Starts Fresh)</w:t>
              <w:br/>
              <w:t>Net Profit/Loss (FY 2025-26)  ══════►  Transferred to Reserves &amp; Surplus (Equity)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8. Forensic Auditing, Reversals, and Immutability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Statutory corporate laws (e.g., MCA Audit Trail rules under Indian Companies Act, Sarbanes-Oxley Act / SOX 404 in US) legally mandate that accounting software MUST maintain an indelible, tamper-proof audit trail.</w:t>
      </w: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8.1 The No-Delete Principle (Append-Only Ledgers)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In enterprise finance software, the SQL 'DELETE' command is permanently disabled on financial records. If a voucher was created in error, it can only be neutralized via a Reversal Transaction.</w:t>
      </w:r>
    </w:p>
    <w:p>
      <w:pPr>
        <w:keepNext/>
        <w:spacing w:before="280" w:after="80"/>
      </w:pPr>
      <w:r>
        <w:rPr>
          <w:rFonts w:ascii="Arial" w:hAnsi="Arial"/>
          <w:b/>
          <w:color w:val="0D9488"/>
          <w:sz w:val="26"/>
        </w:rPr>
        <w:t>8.2 SAP-Style Storno Reversal vs. Counter-Booking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1. Storno (Red-Ink Reversal): </w:t>
      </w:r>
      <w:r>
        <w:rPr>
          <w:rFonts w:ascii="Arial" w:hAnsi="Arial"/>
          <w:color w:val="0F172A"/>
          <w:sz w:val="19"/>
        </w:rPr>
        <w:t>Storno Reversal (Negative Posting): Posts negative debit/credit amounts on the original legs to reverse balance impact WITHOUT inflating periodic turnover totals.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2. Opposite Voucher: </w:t>
      </w:r>
      <w:r>
        <w:rPr>
          <w:rFonts w:ascii="Arial" w:hAnsi="Arial"/>
          <w:color w:val="0F172A"/>
          <w:sz w:val="19"/>
        </w:rPr>
        <w:t>Counter-Posting: Creates an opposite voucher (swapping Dr and Cr). While mathematically net-zero, it artificially inflates Total Debit and Total Credit turnover columns in the Trial Balance.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9. Financial Reporting &amp; Intelligence Engine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The ultimate purpose of the double-entry accounting engine is the generation of deterministic, real-time financial statements.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Report Name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Key Financial Purpose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Frequency &amp; Structure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Day Book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Chronological audit of every transaction recorded on a specific date across all voucher types.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Daily operational register with Dr/Cr totals.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Ledger Statement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Complete transactional history for a single account showing opening balance, periodic debits/credits, running balance, and closing balance.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On-demand party statement used for vendor/customer reconciliation.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Trial Balance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Mathematical verification that total debits equal total credits across all active accounts as of a specific date.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Generated weekly/monthly. Categorized by Primary COA Groups.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Profit &amp; Loss (Income Statement)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Calculates operational performance: Gross Profit (Sales - COGS) and Net Profit (Gross Profit - Indirect Expenses + Incomes).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Monthly, Quarterly, Annual financial reporting.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Balance Sheet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Snapshot of company financial position: Total Assets = Total Liabilities + Owner's Equity.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End of Fiscal Year snapshot (Schedule III / Vertical or T-Format).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10. Comparative Matrix: How Global ERPs Handle Finance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SAP S/4HANA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Oracle NetSuite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TallyPrime / Marg ERP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Modern Web ERP (FastAPI/React)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Architecture Model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Universal Journal (ACDOCA Table)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Multi-Book Sub-Ledger Suite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Relational File Store / XML Engine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ACID PostgreSQL Double-Entry Tables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COA Hierarchy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Configurable Chart of Accounts with Reconciliation Accounts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Multi-segment GL with Subsidiary Segments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Pre-defined Indian Group Hierarchy (28 Default Groups)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Hierarchical Adjacency List + Indian COA Seed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Sub-Ledger Integration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Real-Time Parallel Ledger Posting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Asynchronous GL Impact Posting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Synchronous voucher-based ledger write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Event-Hooked Transactional Auto-Posting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Inventory Accounting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Material Ledger (Perpetual FIFO / Moving Avg)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Standard / Average Cost Perpetual Valuation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Periodic / Perpetual Batch-wise valuation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Real-Time Batch FIFO / Moving Average Ledger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Immutability / Reversals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Strict Storno Reversal Only (No Deletions)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Void Transaction / Reversal Journal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Optional Alter/Delete with Audit Trail log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Status-Based Cancellation with Balance Reversals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Multi-Device / Web Scale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Enterprise SAP GUI / Fiori Web Cloud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Cloud-native Multi-Tenant Web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Desktop Client / Remote Tally.NET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Multi-Tenant Cloud REST API + React SPA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11. Key Architectural Best Practices Implemented in Our ERP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20"/>
        </w:rPr>
        <w:t>Based on global ERP engineering standards, our newly rebuilt Finance &amp; Accounting engine incorporates these core principles: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1. ACID Transaction Boundaries: </w:t>
      </w:r>
      <w:r>
        <w:rPr>
          <w:rFonts w:ascii="Arial" w:hAnsi="Arial"/>
          <w:color w:val="0F172A"/>
          <w:sz w:val="19"/>
        </w:rPr>
        <w:t>finance_v2.py guarantees that every voucher post passes strict debit == credit validations before committing.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2. Fiscal Year Isolation: </w:t>
      </w:r>
      <w:r>
        <w:rPr>
          <w:rFonts w:ascii="Arial" w:hAnsi="Arial"/>
          <w:color w:val="0F172A"/>
          <w:sz w:val="19"/>
        </w:rPr>
        <w:t>Ledgers are partitioned by fiscal_year_id through LedgerBalance records, ensuring historical years remain locked and immune to new entries.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3. Automated Bill-to-Ledger Hooks: </w:t>
      </w:r>
      <w:r>
        <w:rPr>
          <w:rFonts w:ascii="Arial" w:hAnsi="Arial"/>
          <w:color w:val="0F172A"/>
          <w:sz w:val="19"/>
        </w:rPr>
        <w:t>Saving a Sales or Purchase Bill invokes internal service hooks that construct balanced VoucherCreate payloads automatically.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4. Audit-Compliant Reversals: </w:t>
      </w:r>
      <w:r>
        <w:rPr>
          <w:rFonts w:ascii="Arial" w:hAnsi="Arial"/>
          <w:color w:val="0F172A"/>
          <w:sz w:val="19"/>
        </w:rPr>
        <w:t>Cancelling a bill or voucher updates the status to 'Cancelled' and fires an atomic balance reversal (Cr -&gt; Dr, Dr -&gt; Cr) without erasing history.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5. High-Performance Financial Queries: </w:t>
      </w:r>
      <w:r>
        <w:rPr>
          <w:rFonts w:ascii="Arial" w:hAnsi="Arial"/>
          <w:color w:val="0F172A"/>
          <w:sz w:val="19"/>
        </w:rPr>
        <w:t>Day Book, Ledger Statement, Trial Balance, P&amp;L, and Balance Sheet query pre-aggregated, indexed SQL views for sub-100ms response times.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4A3B8"/>
        <w:sz w:val="17"/>
      </w:rPr>
      <w:t>Enterprise ERP Architectural Series |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4A3B8"/>
        <w:sz w:val="17"/>
      </w:rPr>
      <w:t>ERP Architecture Guide: Finance &amp; Accounting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