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Logistics, Pricing &amp; Financial Integration Architecture</w:t>
      </w:r>
    </w:p>
    <w:p>
      <w:r>
        <w:t>A deep-dive companion guide detailing how Commercial Intent, Physical Logistics, and Financial Accounting are architecturally decoupled and integrated, based on SAP S/4HANA (SD/MM) and Oracle NetSuite.</w:t>
      </w:r>
    </w:p>
    <w:p>
      <w:pPr>
        <w:pStyle w:val="Heading1"/>
      </w:pPr>
      <w:r>
        <w:t>1. The Separation of Concerns</w:t>
      </w:r>
    </w:p>
    <w:p>
      <w:r>
        <w:t>Top-tier ERPs strictly separate the lifecycle of a transaction into three distinct layers:</w:t>
      </w:r>
    </w:p>
    <w:p>
      <w:pPr>
        <w:pStyle w:val="ListBullet"/>
      </w:pPr>
      <w:r>
        <w:t>Commercial Intent (Sales Orders / POs): Non-posting agreements. They allocate stock and budget but hit zero financial ledgers.</w:t>
      </w:r>
    </w:p>
    <w:p>
      <w:pPr>
        <w:pStyle w:val="ListBullet"/>
      </w:pPr>
      <w:r>
        <w:t>Physical Logistics (Deliveries / Goods Receipts): Alters physical inventory and triggers Inventory Valuation journals (e.g., hitting Cost of Goods Sold).</w:t>
      </w:r>
    </w:p>
    <w:p>
      <w:pPr>
        <w:pStyle w:val="ListBullet"/>
      </w:pPr>
      <w:r>
        <w:t>Financial Accounting (Billing / Invoices): Establishes the legal liability, hitting Accounts Receivable/Payable, Revenue, and Tax.</w:t>
      </w:r>
    </w:p>
    <w:p>
      <w:pPr>
        <w:pStyle w:val="Heading1"/>
      </w:pPr>
      <w:r>
        <w:t>2. Order-to-Cash (O2C) &amp; Available-to-Promise (ATP)</w:t>
      </w:r>
    </w:p>
    <w:p>
      <w:r>
        <w:t>When a Sales Order is created, an ATP engine dynamically allocates stock without creating static silos. The critical financial trigger is the Post Goods Issue (PGI) when the box leaves the warehouse. PGI triggers a Debit to COGS and a Credit to Inventory. Note: PGI recognizes Cost of Sales, NEVER Revenue. Revenue is deferred until the final Billing Invoice is generated.</w:t>
      </w:r>
    </w:p>
    <w:p>
      <w:pPr>
        <w:pStyle w:val="Heading1"/>
      </w:pPr>
      <w:r>
        <w:t>3. Procure-to-Pay (P2P) &amp; GR/IR Clearing</w:t>
      </w:r>
    </w:p>
    <w:p>
      <w:r>
        <w:t>When goods arrive before the vendor invoice, ERPs use a Suspense Architecture via a GR/IR (Goods Receipt / Invoice Receipt) Clearing Account.</w:t>
      </w:r>
    </w:p>
    <w:p>
      <w:pPr>
        <w:pStyle w:val="ListNumber"/>
      </w:pPr>
      <w:r>
        <w:t>At Goods Receipt (Dock): Debit Inventory Asset, Credit GR/IR Clearing (Provisional Liability).</w:t>
      </w:r>
    </w:p>
    <w:p>
      <w:pPr>
        <w:pStyle w:val="ListNumber"/>
      </w:pPr>
      <w:r>
        <w:t>At Invoice Receipt (Desk): A 3-Way Match occurs. The system Debits GR/IR Clearing (zeroing it out), Debits Input Tax, and Credits Accounts Payable.</w:t>
      </w:r>
    </w:p>
    <w:p>
      <w:pPr>
        <w:pStyle w:val="Heading1"/>
      </w:pPr>
      <w:r>
        <w:t>4. Document Lineage &amp; DAG Architecture</w:t>
      </w:r>
    </w:p>
    <w:p>
      <w:r>
        <w:t>Enterprise systems treat transactions as a Directed Acyclic Graph (DAG). Documents are never deleted. If a mistake is made, the system enforces "Storno Accounting" (Negative Postings) or Compensating Workflows (Return Orders, Credit Memos) to reverse the flow, guaranteeing a 100% immutable audit trail.</w:t>
      </w:r>
    </w:p>
    <w:p>
      <w:pPr>
        <w:pStyle w:val="Heading1"/>
      </w:pPr>
      <w:r>
        <w:t>5. The Condition Technique (Pricing &amp; Tax Engine)</w:t>
      </w:r>
    </w:p>
    <w:p>
      <w:r>
        <w:t>Pricing is decoupled from product master data using an advanced pipeline:</w:t>
      </w:r>
    </w:p>
    <w:p>
      <w:pPr>
        <w:pStyle w:val="ListBullet"/>
      </w:pPr>
      <w:r>
        <w:t>Access Sequence: The system searches from specific (Customer + Product rate) to generic (Base Product rate) until it finds a hit.</w:t>
      </w:r>
    </w:p>
    <w:p>
      <w:pPr>
        <w:pStyle w:val="ListBullet"/>
      </w:pPr>
      <w:r>
        <w:t>Account Determination Bridge: Instead of hardcoding GL accounts to products, the pricing engine tags lines with "Account Keys" (e.g., ERL for Revenue, MWS for Tax). A matrix then dynamically determines the correct GL account at the moment of posting, allowing sales teams to change pricing rules without breaking the General Ledger.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