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E3A8A"/>
          <w:sz w:val="44"/>
        </w:rPr>
        <w:t>ENTERPRISE ERP FINANCE &amp; ACCOUNTING</w:t>
        <w:br/>
        <w:t>ARCHITECTURE GUIDE</w:t>
      </w:r>
    </w:p>
    <w:p>
      <w:pPr>
        <w:spacing w:after="400"/>
        <w:jc w:val="center"/>
      </w:pPr>
      <w:r>
        <w:rPr>
          <w:i/>
          <w:color w:val="475569"/>
          <w:sz w:val="22"/>
        </w:rPr>
        <w:t>How World-Class ERPs (SAP S/4HANA, NetSuite, Dynamics 365, Odoo, Tally) Design General Ledgers, Subledgers, Auto-Posting &amp; Financial Workflows</w:t>
      </w:r>
    </w:p>
    <w:p>
      <w:pPr>
        <w:jc w:val="center"/>
      </w:pPr>
      <w:r>
        <w:t>───────────────────────────────────────────────────────</w:t>
      </w:r>
    </w:p>
    <w:p>
      <w:pPr>
        <w:pStyle w:val="Heading1"/>
        <w:spacing w:before="360" w:after="120"/>
      </w:pPr>
      <w:r>
        <w:rPr>
          <w:b/>
          <w:color w:val="1E3A8A"/>
          <w:sz w:val="36"/>
        </w:rPr>
        <w:t>1. Executive Overview &amp; Core Architectural Paradigms</w:t>
      </w:r>
    </w:p>
    <w:p>
      <w:r>
        <w:t>In all modern enterprise ERP architectures (including SAP S/4HANA, Oracle NetSuite, Microsoft Dynamics 365 Business Central, and Odoo), Finance and Accounting acts as the single ultimate source of truth (SSOT). Every operational transaction across Sales, Procurement, Inventory, Manufacturing, and HR flows into the General Ledger (GL) either in real time or via event-driven integration postings.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before="40" w:after="40"/>
            </w:pPr>
            <w:r>
              <w:rPr>
                <w:b/>
                <w:color w:val="1E3A8A"/>
                <w:sz w:val="21"/>
              </w:rPr>
              <w:t>📌 THE GOLDEN RULE OF ENTERPRISE LEDGERS</w:t>
              <w:br/>
            </w:r>
            <w:r>
              <w:rPr>
                <w:color w:val="0F172A"/>
                <w:sz w:val="20"/>
              </w:rPr>
              <w:t>The Fundamental Rule of Accounting: Double-Entry Equivalence</w:t>
              <w:br/>
              <w:t>For every single transaction posted to the ledger, Total Debits MUST exactly equal Total Credits (Σ Dr = Σ Cr). Assets and Expenses have normal Debit balances (increase with Dr, decrease with Cr). Liabilities, Equity, and Incomes have normal Credit balances (increase with Cr, decrease with Dr).</w:t>
            </w:r>
          </w:p>
        </w:tc>
      </w:tr>
    </w:tbl>
    <w:p>
      <w:pPr>
        <w:spacing w:after="80"/>
      </w:pPr>
    </w:p>
    <w:p>
      <w:pPr>
        <w:pStyle w:val="Heading2"/>
        <w:spacing w:before="280" w:after="80"/>
      </w:pPr>
      <w:r>
        <w:rPr>
          <w:b/>
          <w:color w:val="2563EB"/>
          <w:sz w:val="28"/>
        </w:rPr>
        <w:t>General Ledger (GL) vs. Subledgers (Subsidiary Books)</w:t>
      </w:r>
    </w:p>
    <w:p>
      <w:r>
        <w:t>Enterprise ERPs never dump raw customer or vendor transactions directly into a single massive ledger table. Instead, they enforce a two-tier architecture:</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r>
              <w:rPr>
                <w:b/>
                <w:color w:val="FFFFFF"/>
                <w:sz w:val="19"/>
              </w:rPr>
              <w:t>Layer</w:t>
            </w:r>
          </w:p>
        </w:tc>
        <w:tc>
          <w:tcPr>
            <w:tcW w:type="dxa" w:w="3168"/>
            <w:shd w:fill="1E3A8A"/>
            <w:tcMar>
              <w:top w:w="100" w:type="dxa"/>
              <w:bottom w:w="100" w:type="dxa"/>
              <w:left w:w="120" w:type="dxa"/>
              <w:right w:w="120" w:type="dxa"/>
            </w:tcMar>
          </w:tcPr>
          <w:p>
            <w:r>
              <w:rPr>
                <w:b/>
                <w:color w:val="FFFFFF"/>
                <w:sz w:val="19"/>
              </w:rPr>
              <w:t>Scope &amp; Function</w:t>
            </w:r>
          </w:p>
        </w:tc>
        <w:tc>
          <w:tcPr>
            <w:tcW w:type="dxa" w:w="3600"/>
            <w:shd w:fill="1E3A8A"/>
            <w:tcMar>
              <w:top w:w="100" w:type="dxa"/>
              <w:bottom w:w="100" w:type="dxa"/>
              <w:left w:w="120" w:type="dxa"/>
              <w:right w:w="120" w:type="dxa"/>
            </w:tcMar>
          </w:tcPr>
          <w:p>
            <w:r>
              <w:rPr>
                <w:b/>
                <w:color w:val="FFFFFF"/>
                <w:sz w:val="19"/>
              </w:rPr>
              <w:t>Examples in Tier-1 ERPs</w:t>
            </w:r>
          </w:p>
        </w:tc>
      </w:tr>
      <w:tr>
        <w:tc>
          <w:tcPr>
            <w:tcW w:type="dxa" w:w="2592"/>
            <w:shd w:fill="FFFFFF"/>
            <w:tcMar>
              <w:top w:w="80" w:type="dxa"/>
              <w:bottom w:w="80" w:type="dxa"/>
              <w:left w:w="120" w:type="dxa"/>
              <w:right w:w="120" w:type="dxa"/>
            </w:tcMar>
          </w:tcPr>
          <w:p>
            <w:r>
              <w:rPr>
                <w:color w:val="0F172A"/>
                <w:sz w:val="19"/>
              </w:rPr>
              <w:t>Subledger (Auxiliary)</w:t>
            </w:r>
          </w:p>
        </w:tc>
        <w:tc>
          <w:tcPr>
            <w:tcW w:type="dxa" w:w="3168"/>
            <w:shd w:fill="FFFFFF"/>
            <w:tcMar>
              <w:top w:w="80" w:type="dxa"/>
              <w:bottom w:w="80" w:type="dxa"/>
              <w:left w:w="120" w:type="dxa"/>
              <w:right w:w="120" w:type="dxa"/>
            </w:tcMar>
          </w:tcPr>
          <w:p>
            <w:r>
              <w:rPr>
                <w:color w:val="0F172A"/>
                <w:sz w:val="19"/>
              </w:rPr>
              <w:t>Maintains operational granularity per entity (customer, vendor, item batch, fixed asset). Tracks open items, aging, credit terms.</w:t>
            </w:r>
          </w:p>
        </w:tc>
        <w:tc>
          <w:tcPr>
            <w:tcW w:type="dxa" w:w="3600"/>
            <w:shd w:fill="FFFFFF"/>
            <w:tcMar>
              <w:top w:w="80" w:type="dxa"/>
              <w:bottom w:w="80" w:type="dxa"/>
              <w:left w:w="120" w:type="dxa"/>
              <w:right w:w="120" w:type="dxa"/>
            </w:tcMar>
          </w:tcPr>
          <w:p>
            <w:r>
              <w:rPr>
                <w:color w:val="0F172A"/>
                <w:sz w:val="19"/>
              </w:rPr>
              <w:t>Accounts Receivable (AR), Accounts Payable (AP), Inventory Valuation Ledger, Asset Register</w:t>
            </w:r>
          </w:p>
        </w:tc>
      </w:tr>
      <w:tr>
        <w:tc>
          <w:tcPr>
            <w:tcW w:type="dxa" w:w="2592"/>
            <w:shd w:fill="F8FAFC"/>
            <w:tcMar>
              <w:top w:w="80" w:type="dxa"/>
              <w:bottom w:w="80" w:type="dxa"/>
              <w:left w:w="120" w:type="dxa"/>
              <w:right w:w="120" w:type="dxa"/>
            </w:tcMar>
          </w:tcPr>
          <w:p>
            <w:r>
              <w:rPr>
                <w:color w:val="0F172A"/>
                <w:sz w:val="19"/>
              </w:rPr>
              <w:t>Reconciliation / Control Account</w:t>
            </w:r>
          </w:p>
        </w:tc>
        <w:tc>
          <w:tcPr>
            <w:tcW w:type="dxa" w:w="3168"/>
            <w:shd w:fill="F8FAFC"/>
            <w:tcMar>
              <w:top w:w="80" w:type="dxa"/>
              <w:bottom w:w="80" w:type="dxa"/>
              <w:left w:w="120" w:type="dxa"/>
              <w:right w:w="120" w:type="dxa"/>
            </w:tcMar>
          </w:tcPr>
          <w:p>
            <w:r>
              <w:rPr>
                <w:color w:val="0F172A"/>
                <w:sz w:val="19"/>
              </w:rPr>
              <w:t>Summary accounts in the General Ledger linked 1-to-1 or 1-to-many to subledgers. Direct manual journal postings are locked to prevent drift.</w:t>
            </w:r>
          </w:p>
        </w:tc>
        <w:tc>
          <w:tcPr>
            <w:tcW w:type="dxa" w:w="3600"/>
            <w:shd w:fill="F8FAFC"/>
            <w:tcMar>
              <w:top w:w="80" w:type="dxa"/>
              <w:bottom w:w="80" w:type="dxa"/>
              <w:left w:w="120" w:type="dxa"/>
              <w:right w:w="120" w:type="dxa"/>
            </w:tcMar>
          </w:tcPr>
          <w:p>
            <w:r>
              <w:rPr>
                <w:color w:val="0F172A"/>
                <w:sz w:val="19"/>
              </w:rPr>
              <w:t>Sundry Debtors / Trade Receivables (GL: 110000), Sundry Creditors / Trade Payables (GL: 210000)</w:t>
            </w:r>
          </w:p>
        </w:tc>
      </w:tr>
      <w:tr>
        <w:tc>
          <w:tcPr>
            <w:tcW w:type="dxa" w:w="2592"/>
            <w:shd w:fill="FFFFFF"/>
            <w:tcMar>
              <w:top w:w="80" w:type="dxa"/>
              <w:bottom w:w="80" w:type="dxa"/>
              <w:left w:w="120" w:type="dxa"/>
              <w:right w:w="120" w:type="dxa"/>
            </w:tcMar>
          </w:tcPr>
          <w:p>
            <w:r>
              <w:rPr>
                <w:color w:val="0F172A"/>
                <w:sz w:val="19"/>
              </w:rPr>
              <w:t>General Ledger (GL)</w:t>
            </w:r>
          </w:p>
        </w:tc>
        <w:tc>
          <w:tcPr>
            <w:tcW w:type="dxa" w:w="3168"/>
            <w:shd w:fill="FFFFFF"/>
            <w:tcMar>
              <w:top w:w="80" w:type="dxa"/>
              <w:bottom w:w="80" w:type="dxa"/>
              <w:left w:w="120" w:type="dxa"/>
              <w:right w:w="120" w:type="dxa"/>
            </w:tcMar>
          </w:tcPr>
          <w:p>
            <w:r>
              <w:rPr>
                <w:color w:val="0F172A"/>
                <w:sz w:val="19"/>
              </w:rPr>
              <w:t>Highest aggregation level used for financial compliance, balance sheets, trial balances, and statutory tax reporting.</w:t>
            </w:r>
          </w:p>
        </w:tc>
        <w:tc>
          <w:tcPr>
            <w:tcW w:type="dxa" w:w="3600"/>
            <w:shd w:fill="FFFFFF"/>
            <w:tcMar>
              <w:top w:w="80" w:type="dxa"/>
              <w:bottom w:w="80" w:type="dxa"/>
              <w:left w:w="120" w:type="dxa"/>
              <w:right w:w="120" w:type="dxa"/>
            </w:tcMar>
          </w:tcPr>
          <w:p>
            <w:r>
              <w:rPr>
                <w:color w:val="0F172A"/>
                <w:sz w:val="19"/>
              </w:rPr>
              <w:t>Universal Journal (SAP ACDOCA), General Ledger (Odoo account.move.line)</w:t>
            </w:r>
          </w:p>
        </w:tc>
      </w:tr>
    </w:tbl>
    <w:p>
      <w:pPr>
        <w:pStyle w:val="Heading1"/>
        <w:spacing w:before="360" w:after="120"/>
      </w:pPr>
      <w:r>
        <w:rPr>
          <w:b/>
          <w:color w:val="1E3A8A"/>
          <w:sz w:val="36"/>
        </w:rPr>
        <w:t>2. Chart of Accounts (COA) &amp; Multi-Dimensional Tagging</w:t>
      </w:r>
    </w:p>
    <w:p>
      <w:r>
        <w:t>How an ERP structures its Chart of Accounts determines how reporting, departmental cost allocation, and multi-entity consolidation work. There are two primary paradigms in the software industry:</w:t>
      </w:r>
    </w:p>
    <w:p>
      <w:pPr>
        <w:pStyle w:val="Heading2"/>
        <w:spacing w:before="280" w:after="80"/>
      </w:pPr>
      <w:r>
        <w:rPr>
          <w:b/>
          <w:color w:val="2563EB"/>
          <w:sz w:val="28"/>
        </w:rPr>
        <w:t>Comparison of COA Structures Across Leading Systems</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20" w:type="dxa"/>
              <w:right w:w="120" w:type="dxa"/>
            </w:tcMar>
          </w:tcPr>
          <w:p>
            <w:r>
              <w:rPr>
                <w:b/>
                <w:color w:val="FFFFFF"/>
                <w:sz w:val="19"/>
              </w:rPr>
              <w:t>ERP System</w:t>
            </w:r>
          </w:p>
        </w:tc>
        <w:tc>
          <w:tcPr>
            <w:tcW w:type="dxa" w:w="2304"/>
            <w:shd w:fill="1E3A8A"/>
            <w:tcMar>
              <w:top w:w="100" w:type="dxa"/>
              <w:bottom w:w="100" w:type="dxa"/>
              <w:left w:w="120" w:type="dxa"/>
              <w:right w:w="120" w:type="dxa"/>
            </w:tcMar>
          </w:tcPr>
          <w:p>
            <w:r>
              <w:rPr>
                <w:b/>
                <w:color w:val="FFFFFF"/>
                <w:sz w:val="19"/>
              </w:rPr>
              <w:t>COA Model Type</w:t>
            </w:r>
          </w:p>
        </w:tc>
        <w:tc>
          <w:tcPr>
            <w:tcW w:type="dxa" w:w="2592"/>
            <w:shd w:fill="1E3A8A"/>
            <w:tcMar>
              <w:top w:w="100" w:type="dxa"/>
              <w:bottom w:w="100" w:type="dxa"/>
              <w:left w:w="120" w:type="dxa"/>
              <w:right w:w="120" w:type="dxa"/>
            </w:tcMar>
          </w:tcPr>
          <w:p>
            <w:r>
              <w:rPr>
                <w:b/>
                <w:color w:val="FFFFFF"/>
                <w:sz w:val="19"/>
              </w:rPr>
              <w:t>How Granularity Is Achieved</w:t>
            </w:r>
          </w:p>
        </w:tc>
        <w:tc>
          <w:tcPr>
            <w:tcW w:type="dxa" w:w="2304"/>
            <w:shd w:fill="1E3A8A"/>
            <w:tcMar>
              <w:top w:w="100" w:type="dxa"/>
              <w:bottom w:w="100" w:type="dxa"/>
              <w:left w:w="120" w:type="dxa"/>
              <w:right w:w="120" w:type="dxa"/>
            </w:tcMar>
          </w:tcPr>
          <w:p>
            <w:r>
              <w:rPr>
                <w:b/>
                <w:color w:val="FFFFFF"/>
                <w:sz w:val="19"/>
              </w:rPr>
              <w:t>Best For</w:t>
            </w:r>
          </w:p>
        </w:tc>
      </w:tr>
      <w:tr>
        <w:tc>
          <w:tcPr>
            <w:tcW w:type="dxa" w:w="2160"/>
            <w:shd w:fill="FFFFFF"/>
            <w:tcMar>
              <w:top w:w="80" w:type="dxa"/>
              <w:bottom w:w="80" w:type="dxa"/>
              <w:left w:w="120" w:type="dxa"/>
              <w:right w:w="120" w:type="dxa"/>
            </w:tcMar>
          </w:tcPr>
          <w:p>
            <w:r>
              <w:rPr>
                <w:color w:val="0F172A"/>
                <w:sz w:val="19"/>
              </w:rPr>
              <w:t>SAP S/4HANA</w:t>
            </w:r>
          </w:p>
        </w:tc>
        <w:tc>
          <w:tcPr>
            <w:tcW w:type="dxa" w:w="2304"/>
            <w:shd w:fill="FFFFFF"/>
            <w:tcMar>
              <w:top w:w="80" w:type="dxa"/>
              <w:bottom w:w="80" w:type="dxa"/>
              <w:left w:w="120" w:type="dxa"/>
              <w:right w:w="120" w:type="dxa"/>
            </w:tcMar>
          </w:tcPr>
          <w:p>
            <w:r>
              <w:rPr>
                <w:color w:val="0F172A"/>
                <w:sz w:val="19"/>
              </w:rPr>
              <w:t>Segmented &amp; Document Splitting</w:t>
            </w:r>
          </w:p>
        </w:tc>
        <w:tc>
          <w:tcPr>
            <w:tcW w:type="dxa" w:w="2592"/>
            <w:shd w:fill="FFFFFF"/>
            <w:tcMar>
              <w:top w:w="80" w:type="dxa"/>
              <w:bottom w:w="80" w:type="dxa"/>
              <w:left w:w="120" w:type="dxa"/>
              <w:right w:w="120" w:type="dxa"/>
            </w:tcMar>
          </w:tcPr>
          <w:p>
            <w:r>
              <w:rPr>
                <w:color w:val="0F172A"/>
                <w:sz w:val="19"/>
              </w:rPr>
              <w:t>Account number + Company Code + Profit Center + Cost Center + Segment.</w:t>
            </w:r>
          </w:p>
        </w:tc>
        <w:tc>
          <w:tcPr>
            <w:tcW w:type="dxa" w:w="2304"/>
            <w:shd w:fill="FFFFFF"/>
            <w:tcMar>
              <w:top w:w="80" w:type="dxa"/>
              <w:bottom w:w="80" w:type="dxa"/>
              <w:left w:w="120" w:type="dxa"/>
              <w:right w:w="120" w:type="dxa"/>
            </w:tcMar>
          </w:tcPr>
          <w:p>
            <w:r>
              <w:rPr>
                <w:color w:val="0F172A"/>
                <w:sz w:val="19"/>
              </w:rPr>
              <w:t>Global enterprises, conglomerates.</w:t>
            </w:r>
          </w:p>
        </w:tc>
      </w:tr>
      <w:tr>
        <w:tc>
          <w:tcPr>
            <w:tcW w:type="dxa" w:w="2160"/>
            <w:shd w:fill="F8FAFC"/>
            <w:tcMar>
              <w:top w:w="80" w:type="dxa"/>
              <w:bottom w:w="80" w:type="dxa"/>
              <w:left w:w="120" w:type="dxa"/>
              <w:right w:w="120" w:type="dxa"/>
            </w:tcMar>
          </w:tcPr>
          <w:p>
            <w:r>
              <w:rPr>
                <w:color w:val="0F172A"/>
                <w:sz w:val="19"/>
              </w:rPr>
              <w:t>Dynamics 365 BC</w:t>
            </w:r>
          </w:p>
        </w:tc>
        <w:tc>
          <w:tcPr>
            <w:tcW w:type="dxa" w:w="2304"/>
            <w:shd w:fill="F8FAFC"/>
            <w:tcMar>
              <w:top w:w="80" w:type="dxa"/>
              <w:bottom w:w="80" w:type="dxa"/>
              <w:left w:w="120" w:type="dxa"/>
              <w:right w:w="120" w:type="dxa"/>
            </w:tcMar>
          </w:tcPr>
          <w:p>
            <w:r>
              <w:rPr>
                <w:color w:val="0F172A"/>
                <w:sz w:val="19"/>
              </w:rPr>
              <w:t>Dimensional COA</w:t>
            </w:r>
          </w:p>
        </w:tc>
        <w:tc>
          <w:tcPr>
            <w:tcW w:type="dxa" w:w="2592"/>
            <w:shd w:fill="F8FAFC"/>
            <w:tcMar>
              <w:top w:w="80" w:type="dxa"/>
              <w:bottom w:w="80" w:type="dxa"/>
              <w:left w:w="120" w:type="dxa"/>
              <w:right w:w="120" w:type="dxa"/>
            </w:tcMar>
          </w:tcPr>
          <w:p>
            <w:r>
              <w:rPr>
                <w:color w:val="0F172A"/>
                <w:sz w:val="19"/>
              </w:rPr>
              <w:t>Clean, short account codes + unlimited Global Dimensions (Branch, Dept, Project).</w:t>
            </w:r>
          </w:p>
        </w:tc>
        <w:tc>
          <w:tcPr>
            <w:tcW w:type="dxa" w:w="2304"/>
            <w:shd w:fill="F8FAFC"/>
            <w:tcMar>
              <w:top w:w="80" w:type="dxa"/>
              <w:bottom w:w="80" w:type="dxa"/>
              <w:left w:w="120" w:type="dxa"/>
              <w:right w:w="120" w:type="dxa"/>
            </w:tcMar>
          </w:tcPr>
          <w:p>
            <w:r>
              <w:rPr>
                <w:color w:val="0F172A"/>
                <w:sz w:val="19"/>
              </w:rPr>
              <w:t>Mid-market &amp; upper mid-market.</w:t>
            </w:r>
          </w:p>
        </w:tc>
      </w:tr>
      <w:tr>
        <w:tc>
          <w:tcPr>
            <w:tcW w:type="dxa" w:w="2160"/>
            <w:shd w:fill="FFFFFF"/>
            <w:tcMar>
              <w:top w:w="80" w:type="dxa"/>
              <w:bottom w:w="80" w:type="dxa"/>
              <w:left w:w="120" w:type="dxa"/>
              <w:right w:w="120" w:type="dxa"/>
            </w:tcMar>
          </w:tcPr>
          <w:p>
            <w:r>
              <w:rPr>
                <w:color w:val="0F172A"/>
                <w:sz w:val="19"/>
              </w:rPr>
              <w:t>Oracle NetSuite</w:t>
            </w:r>
          </w:p>
        </w:tc>
        <w:tc>
          <w:tcPr>
            <w:tcW w:type="dxa" w:w="2304"/>
            <w:shd w:fill="FFFFFF"/>
            <w:tcMar>
              <w:top w:w="80" w:type="dxa"/>
              <w:bottom w:w="80" w:type="dxa"/>
              <w:left w:w="120" w:type="dxa"/>
              <w:right w:w="120" w:type="dxa"/>
            </w:tcMar>
          </w:tcPr>
          <w:p>
            <w:r>
              <w:rPr>
                <w:color w:val="0F172A"/>
                <w:sz w:val="19"/>
              </w:rPr>
              <w:t>Hierarchical + Multi-Subsidiary</w:t>
            </w:r>
          </w:p>
        </w:tc>
        <w:tc>
          <w:tcPr>
            <w:tcW w:type="dxa" w:w="2592"/>
            <w:shd w:fill="FFFFFF"/>
            <w:tcMar>
              <w:top w:w="80" w:type="dxa"/>
              <w:bottom w:w="80" w:type="dxa"/>
              <w:left w:w="120" w:type="dxa"/>
              <w:right w:w="120" w:type="dxa"/>
            </w:tcMar>
          </w:tcPr>
          <w:p>
            <w:r>
              <w:rPr>
                <w:color w:val="0F172A"/>
                <w:sz w:val="19"/>
              </w:rPr>
              <w:t>Nested parent-child groups + Subsidiary segmentation &amp; Multi-Book accounting.</w:t>
            </w:r>
          </w:p>
        </w:tc>
        <w:tc>
          <w:tcPr>
            <w:tcW w:type="dxa" w:w="2304"/>
            <w:shd w:fill="FFFFFF"/>
            <w:tcMar>
              <w:top w:w="80" w:type="dxa"/>
              <w:bottom w:w="80" w:type="dxa"/>
              <w:left w:w="120" w:type="dxa"/>
              <w:right w:w="120" w:type="dxa"/>
            </w:tcMar>
          </w:tcPr>
          <w:p>
            <w:r>
              <w:rPr>
                <w:color w:val="0F172A"/>
                <w:sz w:val="19"/>
              </w:rPr>
              <w:t>High-growth SaaS, multi-currency.</w:t>
            </w:r>
          </w:p>
        </w:tc>
      </w:tr>
      <w:tr>
        <w:tc>
          <w:tcPr>
            <w:tcW w:type="dxa" w:w="2160"/>
            <w:shd w:fill="F8FAFC"/>
            <w:tcMar>
              <w:top w:w="80" w:type="dxa"/>
              <w:bottom w:w="80" w:type="dxa"/>
              <w:left w:w="120" w:type="dxa"/>
              <w:right w:w="120" w:type="dxa"/>
            </w:tcMar>
          </w:tcPr>
          <w:p>
            <w:r>
              <w:rPr>
                <w:color w:val="0F172A"/>
                <w:sz w:val="19"/>
              </w:rPr>
              <w:t>Odoo</w:t>
            </w:r>
          </w:p>
        </w:tc>
        <w:tc>
          <w:tcPr>
            <w:tcW w:type="dxa" w:w="2304"/>
            <w:shd w:fill="F8FAFC"/>
            <w:tcMar>
              <w:top w:w="80" w:type="dxa"/>
              <w:bottom w:w="80" w:type="dxa"/>
              <w:left w:w="120" w:type="dxa"/>
              <w:right w:w="120" w:type="dxa"/>
            </w:tcMar>
          </w:tcPr>
          <w:p>
            <w:r>
              <w:rPr>
                <w:color w:val="0F172A"/>
                <w:sz w:val="19"/>
              </w:rPr>
              <w:t>Unified Journal Entry</w:t>
            </w:r>
          </w:p>
        </w:tc>
        <w:tc>
          <w:tcPr>
            <w:tcW w:type="dxa" w:w="2592"/>
            <w:shd w:fill="F8FAFC"/>
            <w:tcMar>
              <w:top w:w="80" w:type="dxa"/>
              <w:bottom w:w="80" w:type="dxa"/>
              <w:left w:w="120" w:type="dxa"/>
              <w:right w:w="120" w:type="dxa"/>
            </w:tcMar>
          </w:tcPr>
          <w:p>
            <w:r>
              <w:rPr>
                <w:color w:val="0F172A"/>
                <w:sz w:val="19"/>
              </w:rPr>
              <w:t>Flat COA tagged with Analytic Accounts and Analytic Plans.</w:t>
            </w:r>
          </w:p>
        </w:tc>
        <w:tc>
          <w:tcPr>
            <w:tcW w:type="dxa" w:w="2304"/>
            <w:shd w:fill="F8FAFC"/>
            <w:tcMar>
              <w:top w:w="80" w:type="dxa"/>
              <w:bottom w:w="80" w:type="dxa"/>
              <w:left w:w="120" w:type="dxa"/>
              <w:right w:w="120" w:type="dxa"/>
            </w:tcMar>
          </w:tcPr>
          <w:p>
            <w:r>
              <w:rPr>
                <w:color w:val="0F172A"/>
                <w:sz w:val="19"/>
              </w:rPr>
              <w:t>Agile SMEs, custom workflows.</w:t>
            </w:r>
          </w:p>
        </w:tc>
      </w:tr>
      <w:tr>
        <w:tc>
          <w:tcPr>
            <w:tcW w:type="dxa" w:w="2160"/>
            <w:shd w:fill="FFFFFF"/>
            <w:tcMar>
              <w:top w:w="80" w:type="dxa"/>
              <w:bottom w:w="80" w:type="dxa"/>
              <w:left w:w="120" w:type="dxa"/>
              <w:right w:w="120" w:type="dxa"/>
            </w:tcMar>
          </w:tcPr>
          <w:p>
            <w:r>
              <w:rPr>
                <w:color w:val="0F172A"/>
                <w:sz w:val="19"/>
              </w:rPr>
              <w:t>TallyPrime / Marg</w:t>
            </w:r>
          </w:p>
        </w:tc>
        <w:tc>
          <w:tcPr>
            <w:tcW w:type="dxa" w:w="2304"/>
            <w:shd w:fill="FFFFFF"/>
            <w:tcMar>
              <w:top w:w="80" w:type="dxa"/>
              <w:bottom w:w="80" w:type="dxa"/>
              <w:left w:w="120" w:type="dxa"/>
              <w:right w:w="120" w:type="dxa"/>
            </w:tcMar>
          </w:tcPr>
          <w:p>
            <w:r>
              <w:rPr>
                <w:color w:val="0F172A"/>
                <w:sz w:val="19"/>
              </w:rPr>
              <w:t>Hierarchical Groups</w:t>
            </w:r>
          </w:p>
        </w:tc>
        <w:tc>
          <w:tcPr>
            <w:tcW w:type="dxa" w:w="2592"/>
            <w:shd w:fill="FFFFFF"/>
            <w:tcMar>
              <w:top w:w="80" w:type="dxa"/>
              <w:bottom w:w="80" w:type="dxa"/>
              <w:left w:w="120" w:type="dxa"/>
              <w:right w:w="120" w:type="dxa"/>
            </w:tcMar>
          </w:tcPr>
          <w:p>
            <w:r>
              <w:rPr>
                <w:color w:val="0F172A"/>
                <w:sz w:val="19"/>
              </w:rPr>
              <w:t>Primary &amp; Sub-Groups with default Indian Schedule III grouping (Sundry Debtors, etc.).</w:t>
            </w:r>
          </w:p>
        </w:tc>
        <w:tc>
          <w:tcPr>
            <w:tcW w:type="dxa" w:w="2304"/>
            <w:shd w:fill="FFFFFF"/>
            <w:tcMar>
              <w:top w:w="80" w:type="dxa"/>
              <w:bottom w:w="80" w:type="dxa"/>
              <w:left w:w="120" w:type="dxa"/>
              <w:right w:w="120" w:type="dxa"/>
            </w:tcMar>
          </w:tcPr>
          <w:p>
            <w:r>
              <w:rPr>
                <w:color w:val="0F172A"/>
                <w:sz w:val="19"/>
              </w:rPr>
              <w:t>Indian pharma &amp; trading businesses.</w:t>
            </w:r>
          </w:p>
        </w:tc>
      </w:tr>
    </w:tbl>
    <w:p>
      <w:pPr>
        <w:pStyle w:val="Heading1"/>
        <w:spacing w:before="360" w:after="120"/>
      </w:pPr>
      <w:r>
        <w:rPr>
          <w:b/>
          <w:color w:val="1E3A8A"/>
          <w:sz w:val="36"/>
        </w:rPr>
        <w:t>3. Detailed Lifecycle Accounting Flows (With Journal Entries)</w:t>
      </w:r>
    </w:p>
    <w:p>
      <w:r>
        <w:t>The core engine of an ERP automatically translates business events into double-entry journal vouchers. Below are the exact accounting legs executed by leading ERPs for standard business lifecycles.</w:t>
      </w:r>
    </w:p>
    <w:p>
      <w:pPr>
        <w:pStyle w:val="Heading2"/>
        <w:spacing w:before="280" w:after="80"/>
      </w:pPr>
      <w:r>
        <w:rPr>
          <w:b/>
          <w:color w:val="2563EB"/>
          <w:sz w:val="28"/>
        </w:rPr>
        <w:t>Workflow A: Order-to-Cash (O2C) / Sales Billing Cycle</w:t>
      </w:r>
    </w:p>
    <w:p>
      <w:r>
        <w:t>Step-by-step financial postings when a customer orders and pays for goods:</w:t>
      </w:r>
    </w:p>
    <w:tbl>
      <w:tblPr>
        <w:tblW w:type="auto" w:w="0"/>
        <w:jc w:val="center"/>
        <w:tblLook w:firstColumn="1" w:firstRow="1" w:lastColumn="0" w:lastRow="0" w:noHBand="0" w:noVBand="1" w:val="04A0"/>
      </w:tblPr>
      <w:tblGrid>
        <w:gridCol w:w="2340"/>
        <w:gridCol w:w="2340"/>
        <w:gridCol w:w="2340"/>
        <w:gridCol w:w="2340"/>
      </w:tblGrid>
      <w:tr>
        <w:tc>
          <w:tcPr>
            <w:tcW w:type="dxa" w:w="1872"/>
            <w:shd w:fill="1E3A8A"/>
            <w:tcMar>
              <w:top w:w="100" w:type="dxa"/>
              <w:bottom w:w="100" w:type="dxa"/>
              <w:left w:w="120" w:type="dxa"/>
              <w:right w:w="120" w:type="dxa"/>
            </w:tcMar>
          </w:tcPr>
          <w:p>
            <w:r>
              <w:rPr>
                <w:b/>
                <w:color w:val="FFFFFF"/>
                <w:sz w:val="19"/>
              </w:rPr>
              <w:t>Trigger Event</w:t>
            </w:r>
          </w:p>
        </w:tc>
        <w:tc>
          <w:tcPr>
            <w:tcW w:type="dxa" w:w="2592"/>
            <w:shd w:fill="1E3A8A"/>
            <w:tcMar>
              <w:top w:w="100" w:type="dxa"/>
              <w:bottom w:w="100" w:type="dxa"/>
              <w:left w:w="120" w:type="dxa"/>
              <w:right w:w="120" w:type="dxa"/>
            </w:tcMar>
          </w:tcPr>
          <w:p>
            <w:r>
              <w:rPr>
                <w:b/>
                <w:color w:val="FFFFFF"/>
                <w:sz w:val="19"/>
              </w:rPr>
              <w:t>Debit (Dr)</w:t>
            </w:r>
          </w:p>
        </w:tc>
        <w:tc>
          <w:tcPr>
            <w:tcW w:type="dxa" w:w="2592"/>
            <w:shd w:fill="1E3A8A"/>
            <w:tcMar>
              <w:top w:w="100" w:type="dxa"/>
              <w:bottom w:w="100" w:type="dxa"/>
              <w:left w:w="120" w:type="dxa"/>
              <w:right w:w="120" w:type="dxa"/>
            </w:tcMar>
          </w:tcPr>
          <w:p>
            <w:r>
              <w:rPr>
                <w:b/>
                <w:color w:val="FFFFFF"/>
                <w:sz w:val="19"/>
              </w:rPr>
              <w:t>Credit (Cr)</w:t>
            </w:r>
          </w:p>
        </w:tc>
        <w:tc>
          <w:tcPr>
            <w:tcW w:type="dxa" w:w="2304"/>
            <w:shd w:fill="1E3A8A"/>
            <w:tcMar>
              <w:top w:w="100" w:type="dxa"/>
              <w:bottom w:w="100" w:type="dxa"/>
              <w:left w:w="120" w:type="dxa"/>
              <w:right w:w="120" w:type="dxa"/>
            </w:tcMar>
          </w:tcPr>
          <w:p>
            <w:r>
              <w:rPr>
                <w:b/>
                <w:color w:val="FFFFFF"/>
                <w:sz w:val="19"/>
              </w:rPr>
              <w:t>Financial Impact</w:t>
            </w:r>
          </w:p>
        </w:tc>
      </w:tr>
      <w:tr>
        <w:tc>
          <w:tcPr>
            <w:tcW w:type="dxa" w:w="1872"/>
            <w:shd w:fill="FFFFFF"/>
            <w:tcMar>
              <w:top w:w="80" w:type="dxa"/>
              <w:bottom w:w="80" w:type="dxa"/>
              <w:left w:w="120" w:type="dxa"/>
              <w:right w:w="120" w:type="dxa"/>
            </w:tcMar>
          </w:tcPr>
          <w:p>
            <w:r>
              <w:rPr>
                <w:color w:val="0F172A"/>
                <w:sz w:val="19"/>
              </w:rPr>
              <w:t>1. Sales Order Confirmed</w:t>
            </w:r>
          </w:p>
        </w:tc>
        <w:tc>
          <w:tcPr>
            <w:tcW w:type="dxa" w:w="2592"/>
            <w:shd w:fill="FFFFFF"/>
            <w:tcMar>
              <w:top w:w="80" w:type="dxa"/>
              <w:bottom w:w="80" w:type="dxa"/>
              <w:left w:w="120" w:type="dxa"/>
              <w:right w:w="120" w:type="dxa"/>
            </w:tcMar>
          </w:tcPr>
          <w:p>
            <w:r>
              <w:rPr>
                <w:color w:val="0F172A"/>
                <w:sz w:val="19"/>
              </w:rPr>
              <w:t>None (No financial posting)</w:t>
            </w:r>
          </w:p>
        </w:tc>
        <w:tc>
          <w:tcPr>
            <w:tcW w:type="dxa" w:w="2592"/>
            <w:shd w:fill="FFFFFF"/>
            <w:tcMar>
              <w:top w:w="80" w:type="dxa"/>
              <w:bottom w:w="80" w:type="dxa"/>
              <w:left w:w="120" w:type="dxa"/>
              <w:right w:w="120" w:type="dxa"/>
            </w:tcMar>
          </w:tcPr>
          <w:p>
            <w:r>
              <w:rPr>
                <w:color w:val="0F172A"/>
                <w:sz w:val="19"/>
              </w:rPr>
              <w:t>None</w:t>
            </w:r>
          </w:p>
        </w:tc>
        <w:tc>
          <w:tcPr>
            <w:tcW w:type="dxa" w:w="2304"/>
            <w:shd w:fill="FFFFFF"/>
            <w:tcMar>
              <w:top w:w="80" w:type="dxa"/>
              <w:bottom w:w="80" w:type="dxa"/>
              <w:left w:w="120" w:type="dxa"/>
              <w:right w:w="120" w:type="dxa"/>
            </w:tcMar>
          </w:tcPr>
          <w:p>
            <w:r>
              <w:rPr>
                <w:color w:val="0F172A"/>
                <w:sz w:val="19"/>
              </w:rPr>
              <w:t>Commitment recorded; stock reserved.</w:t>
            </w:r>
          </w:p>
        </w:tc>
      </w:tr>
      <w:tr>
        <w:tc>
          <w:tcPr>
            <w:tcW w:type="dxa" w:w="1872"/>
            <w:shd w:fill="F8FAFC"/>
            <w:tcMar>
              <w:top w:w="80" w:type="dxa"/>
              <w:bottom w:w="80" w:type="dxa"/>
              <w:left w:w="120" w:type="dxa"/>
              <w:right w:w="120" w:type="dxa"/>
            </w:tcMar>
          </w:tcPr>
          <w:p>
            <w:r>
              <w:rPr>
                <w:color w:val="0F172A"/>
                <w:sz w:val="19"/>
              </w:rPr>
              <w:t>2. Delivery / Goods Issue (Perpetual Inventory)</w:t>
            </w:r>
          </w:p>
        </w:tc>
        <w:tc>
          <w:tcPr>
            <w:tcW w:type="dxa" w:w="2592"/>
            <w:shd w:fill="F8FAFC"/>
            <w:tcMar>
              <w:top w:w="80" w:type="dxa"/>
              <w:bottom w:w="80" w:type="dxa"/>
              <w:left w:w="120" w:type="dxa"/>
              <w:right w:w="120" w:type="dxa"/>
            </w:tcMar>
          </w:tcPr>
          <w:p>
            <w:r>
              <w:rPr>
                <w:color w:val="0F172A"/>
                <w:sz w:val="19"/>
              </w:rPr>
              <w:t>Cost of Goods Sold (COGS) Account</w:t>
            </w:r>
          </w:p>
        </w:tc>
        <w:tc>
          <w:tcPr>
            <w:tcW w:type="dxa" w:w="2592"/>
            <w:shd w:fill="F8FAFC"/>
            <w:tcMar>
              <w:top w:w="80" w:type="dxa"/>
              <w:bottom w:w="80" w:type="dxa"/>
              <w:left w:w="120" w:type="dxa"/>
              <w:right w:w="120" w:type="dxa"/>
            </w:tcMar>
          </w:tcPr>
          <w:p>
            <w:r>
              <w:rPr>
                <w:color w:val="0F172A"/>
                <w:sz w:val="19"/>
              </w:rPr>
              <w:t>Stock / Inventory In-Hand Account</w:t>
            </w:r>
          </w:p>
        </w:tc>
        <w:tc>
          <w:tcPr>
            <w:tcW w:type="dxa" w:w="2304"/>
            <w:shd w:fill="F8FAFC"/>
            <w:tcMar>
              <w:top w:w="80" w:type="dxa"/>
              <w:bottom w:w="80" w:type="dxa"/>
              <w:left w:w="120" w:type="dxa"/>
              <w:right w:w="120" w:type="dxa"/>
            </w:tcMar>
          </w:tcPr>
          <w:p>
            <w:r>
              <w:rPr>
                <w:color w:val="0F172A"/>
                <w:sz w:val="19"/>
              </w:rPr>
              <w:t>Inventory assets decrease; expense recognized at cost.</w:t>
            </w:r>
          </w:p>
        </w:tc>
      </w:tr>
      <w:tr>
        <w:tc>
          <w:tcPr>
            <w:tcW w:type="dxa" w:w="1872"/>
            <w:shd w:fill="FFFFFF"/>
            <w:tcMar>
              <w:top w:w="80" w:type="dxa"/>
              <w:bottom w:w="80" w:type="dxa"/>
              <w:left w:w="120" w:type="dxa"/>
              <w:right w:w="120" w:type="dxa"/>
            </w:tcMar>
          </w:tcPr>
          <w:p>
            <w:r>
              <w:rPr>
                <w:color w:val="0F172A"/>
                <w:sz w:val="19"/>
              </w:rPr>
              <w:t>3. Sales Invoice Issued (B2B Tax Invoice)</w:t>
            </w:r>
          </w:p>
        </w:tc>
        <w:tc>
          <w:tcPr>
            <w:tcW w:type="dxa" w:w="2592"/>
            <w:shd w:fill="FFFFFF"/>
            <w:tcMar>
              <w:top w:w="80" w:type="dxa"/>
              <w:bottom w:w="80" w:type="dxa"/>
              <w:left w:w="120" w:type="dxa"/>
              <w:right w:w="120" w:type="dxa"/>
            </w:tcMar>
          </w:tcPr>
          <w:p>
            <w:r>
              <w:rPr>
                <w:color w:val="0F172A"/>
                <w:sz w:val="19"/>
              </w:rPr>
              <w:t>Customer Account (Sundry Debtors / AR)</w:t>
            </w:r>
          </w:p>
        </w:tc>
        <w:tc>
          <w:tcPr>
            <w:tcW w:type="dxa" w:w="2592"/>
            <w:shd w:fill="FFFFFF"/>
            <w:tcMar>
              <w:top w:w="80" w:type="dxa"/>
              <w:bottom w:w="80" w:type="dxa"/>
              <w:left w:w="120" w:type="dxa"/>
              <w:right w:w="120" w:type="dxa"/>
            </w:tcMar>
          </w:tcPr>
          <w:p>
            <w:r>
              <w:rPr>
                <w:color w:val="0F172A"/>
                <w:sz w:val="19"/>
              </w:rPr>
              <w:t>1. Sales Revenue Account</w:t>
              <w:br/>
              <w:t>2. CGST Output Payable</w:t>
              <w:br/>
              <w:t>3. SGST Output Payable</w:t>
            </w:r>
          </w:p>
        </w:tc>
        <w:tc>
          <w:tcPr>
            <w:tcW w:type="dxa" w:w="2304"/>
            <w:shd w:fill="FFFFFF"/>
            <w:tcMar>
              <w:top w:w="80" w:type="dxa"/>
              <w:bottom w:w="80" w:type="dxa"/>
              <w:left w:w="120" w:type="dxa"/>
              <w:right w:w="120" w:type="dxa"/>
            </w:tcMar>
          </w:tcPr>
          <w:p>
            <w:r>
              <w:rPr>
                <w:color w:val="0F172A"/>
                <w:sz w:val="19"/>
              </w:rPr>
              <w:t>Asset (Receivables) created; revenue and statutory tax liability recognized.</w:t>
            </w:r>
          </w:p>
        </w:tc>
      </w:tr>
      <w:tr>
        <w:tc>
          <w:tcPr>
            <w:tcW w:type="dxa" w:w="1872"/>
            <w:shd w:fill="F8FAFC"/>
            <w:tcMar>
              <w:top w:w="80" w:type="dxa"/>
              <w:bottom w:w="80" w:type="dxa"/>
              <w:left w:w="120" w:type="dxa"/>
              <w:right w:w="120" w:type="dxa"/>
            </w:tcMar>
          </w:tcPr>
          <w:p>
            <w:r>
              <w:rPr>
                <w:color w:val="0F172A"/>
                <w:sz w:val="19"/>
              </w:rPr>
              <w:t>4. Payment Receipt (Cash / Bank)</w:t>
            </w:r>
          </w:p>
        </w:tc>
        <w:tc>
          <w:tcPr>
            <w:tcW w:type="dxa" w:w="2592"/>
            <w:shd w:fill="F8FAFC"/>
            <w:tcMar>
              <w:top w:w="80" w:type="dxa"/>
              <w:bottom w:w="80" w:type="dxa"/>
              <w:left w:w="120" w:type="dxa"/>
              <w:right w:w="120" w:type="dxa"/>
            </w:tcMar>
          </w:tcPr>
          <w:p>
            <w:r>
              <w:rPr>
                <w:color w:val="0F172A"/>
                <w:sz w:val="19"/>
              </w:rPr>
              <w:t>Bank / Cash Account</w:t>
            </w:r>
          </w:p>
        </w:tc>
        <w:tc>
          <w:tcPr>
            <w:tcW w:type="dxa" w:w="2592"/>
            <w:shd w:fill="F8FAFC"/>
            <w:tcMar>
              <w:top w:w="80" w:type="dxa"/>
              <w:bottom w:w="80" w:type="dxa"/>
              <w:left w:w="120" w:type="dxa"/>
              <w:right w:w="120" w:type="dxa"/>
            </w:tcMar>
          </w:tcPr>
          <w:p>
            <w:r>
              <w:rPr>
                <w:color w:val="0F172A"/>
                <w:sz w:val="19"/>
              </w:rPr>
              <w:t>Customer Account (Sundry Debtors / AR)</w:t>
            </w:r>
          </w:p>
        </w:tc>
        <w:tc>
          <w:tcPr>
            <w:tcW w:type="dxa" w:w="2304"/>
            <w:shd w:fill="F8FAFC"/>
            <w:tcMar>
              <w:top w:w="80" w:type="dxa"/>
              <w:bottom w:w="80" w:type="dxa"/>
              <w:left w:w="120" w:type="dxa"/>
              <w:right w:w="120" w:type="dxa"/>
            </w:tcMar>
          </w:tcPr>
          <w:p>
            <w:r>
              <w:rPr>
                <w:color w:val="0F172A"/>
                <w:sz w:val="19"/>
              </w:rPr>
              <w:t>Cash asset increases; Customer receivable is cleared.</w:t>
            </w:r>
          </w:p>
        </w:tc>
      </w:tr>
      <w:tr>
        <w:tc>
          <w:tcPr>
            <w:tcW w:type="dxa" w:w="1872"/>
            <w:shd w:fill="FFFFFF"/>
            <w:tcMar>
              <w:top w:w="80" w:type="dxa"/>
              <w:bottom w:w="80" w:type="dxa"/>
              <w:left w:w="120" w:type="dxa"/>
              <w:right w:w="120" w:type="dxa"/>
            </w:tcMar>
          </w:tcPr>
          <w:p>
            <w:r>
              <w:rPr>
                <w:color w:val="0F172A"/>
                <w:sz w:val="19"/>
              </w:rPr>
              <w:t>5. Cash Discount Allowed (If early payment)</w:t>
            </w:r>
          </w:p>
        </w:tc>
        <w:tc>
          <w:tcPr>
            <w:tcW w:type="dxa" w:w="2592"/>
            <w:shd w:fill="FFFFFF"/>
            <w:tcMar>
              <w:top w:w="80" w:type="dxa"/>
              <w:bottom w:w="80" w:type="dxa"/>
              <w:left w:w="120" w:type="dxa"/>
              <w:right w:w="120" w:type="dxa"/>
            </w:tcMar>
          </w:tcPr>
          <w:p>
            <w:r>
              <w:rPr>
                <w:color w:val="0F172A"/>
                <w:sz w:val="19"/>
              </w:rPr>
              <w:t>Discount Allowed (Indirect Expense)</w:t>
            </w:r>
          </w:p>
        </w:tc>
        <w:tc>
          <w:tcPr>
            <w:tcW w:type="dxa" w:w="2592"/>
            <w:shd w:fill="FFFFFF"/>
            <w:tcMar>
              <w:top w:w="80" w:type="dxa"/>
              <w:bottom w:w="80" w:type="dxa"/>
              <w:left w:w="120" w:type="dxa"/>
              <w:right w:w="120" w:type="dxa"/>
            </w:tcMar>
          </w:tcPr>
          <w:p>
            <w:r>
              <w:rPr>
                <w:color w:val="0F172A"/>
                <w:sz w:val="19"/>
              </w:rPr>
              <w:t>Customer Account</w:t>
            </w:r>
          </w:p>
        </w:tc>
        <w:tc>
          <w:tcPr>
            <w:tcW w:type="dxa" w:w="2304"/>
            <w:shd w:fill="FFFFFF"/>
            <w:tcMar>
              <w:top w:w="80" w:type="dxa"/>
              <w:bottom w:w="80" w:type="dxa"/>
              <w:left w:w="120" w:type="dxa"/>
              <w:right w:w="120" w:type="dxa"/>
            </w:tcMar>
          </w:tcPr>
          <w:p>
            <w:r>
              <w:rPr>
                <w:color w:val="0F172A"/>
                <w:sz w:val="19"/>
              </w:rPr>
              <w:t>Expense booked; remaining balance cleared.</w:t>
            </w:r>
          </w:p>
        </w:tc>
      </w:tr>
    </w:tbl>
    <w:p>
      <w:pPr>
        <w:pStyle w:val="Heading2"/>
        <w:spacing w:before="280" w:after="80"/>
      </w:pPr>
      <w:r>
        <w:rPr>
          <w:b/>
          <w:color w:val="2563EB"/>
          <w:sz w:val="28"/>
        </w:rPr>
        <w:t>Workflow B: Procure-to-Pay (P2P) / Purchase &amp; GR/IR Clearing Cycle</w:t>
      </w:r>
    </w:p>
    <w:p>
      <w:r>
        <w:t>Enterprise ERPs handle purchase bills using a GR/IR (Goods Receipt / Invoice Receipt) clearing account to handle timing differences between the arrival of physical stock and the vendor's invoice:</w:t>
      </w:r>
    </w:p>
    <w:tbl>
      <w:tblPr>
        <w:tblW w:type="auto" w:w="0"/>
        <w:jc w:val="center"/>
        <w:tblLook w:firstColumn="1" w:firstRow="1" w:lastColumn="0" w:lastRow="0" w:noHBand="0" w:noVBand="1" w:val="04A0"/>
      </w:tblPr>
      <w:tblGrid>
        <w:gridCol w:w="2340"/>
        <w:gridCol w:w="2340"/>
        <w:gridCol w:w="2340"/>
        <w:gridCol w:w="2340"/>
      </w:tblGrid>
      <w:tr>
        <w:tc>
          <w:tcPr>
            <w:tcW w:type="dxa" w:w="1872"/>
            <w:shd w:fill="1E3A8A"/>
            <w:tcMar>
              <w:top w:w="100" w:type="dxa"/>
              <w:bottom w:w="100" w:type="dxa"/>
              <w:left w:w="120" w:type="dxa"/>
              <w:right w:w="120" w:type="dxa"/>
            </w:tcMar>
          </w:tcPr>
          <w:p>
            <w:r>
              <w:rPr>
                <w:b/>
                <w:color w:val="FFFFFF"/>
                <w:sz w:val="19"/>
              </w:rPr>
              <w:t>Trigger Event</w:t>
            </w:r>
          </w:p>
        </w:tc>
        <w:tc>
          <w:tcPr>
            <w:tcW w:type="dxa" w:w="2592"/>
            <w:shd w:fill="1E3A8A"/>
            <w:tcMar>
              <w:top w:w="100" w:type="dxa"/>
              <w:bottom w:w="100" w:type="dxa"/>
              <w:left w:w="120" w:type="dxa"/>
              <w:right w:w="120" w:type="dxa"/>
            </w:tcMar>
          </w:tcPr>
          <w:p>
            <w:r>
              <w:rPr>
                <w:b/>
                <w:color w:val="FFFFFF"/>
                <w:sz w:val="19"/>
              </w:rPr>
              <w:t>Debit (Dr)</w:t>
            </w:r>
          </w:p>
        </w:tc>
        <w:tc>
          <w:tcPr>
            <w:tcW w:type="dxa" w:w="2592"/>
            <w:shd w:fill="1E3A8A"/>
            <w:tcMar>
              <w:top w:w="100" w:type="dxa"/>
              <w:bottom w:w="100" w:type="dxa"/>
              <w:left w:w="120" w:type="dxa"/>
              <w:right w:w="120" w:type="dxa"/>
            </w:tcMar>
          </w:tcPr>
          <w:p>
            <w:r>
              <w:rPr>
                <w:b/>
                <w:color w:val="FFFFFF"/>
                <w:sz w:val="19"/>
              </w:rPr>
              <w:t>Credit (Cr)</w:t>
            </w:r>
          </w:p>
        </w:tc>
        <w:tc>
          <w:tcPr>
            <w:tcW w:type="dxa" w:w="2304"/>
            <w:shd w:fill="1E3A8A"/>
            <w:tcMar>
              <w:top w:w="100" w:type="dxa"/>
              <w:bottom w:w="100" w:type="dxa"/>
              <w:left w:w="120" w:type="dxa"/>
              <w:right w:w="120" w:type="dxa"/>
            </w:tcMar>
          </w:tcPr>
          <w:p>
            <w:r>
              <w:rPr>
                <w:b/>
                <w:color w:val="FFFFFF"/>
                <w:sz w:val="19"/>
              </w:rPr>
              <w:t>Financial Impact</w:t>
            </w:r>
          </w:p>
        </w:tc>
      </w:tr>
      <w:tr>
        <w:tc>
          <w:tcPr>
            <w:tcW w:type="dxa" w:w="1872"/>
            <w:shd w:fill="FFFFFF"/>
            <w:tcMar>
              <w:top w:w="80" w:type="dxa"/>
              <w:bottom w:w="80" w:type="dxa"/>
              <w:left w:w="120" w:type="dxa"/>
              <w:right w:w="120" w:type="dxa"/>
            </w:tcMar>
          </w:tcPr>
          <w:p>
            <w:r>
              <w:rPr>
                <w:color w:val="0F172A"/>
                <w:sz w:val="19"/>
              </w:rPr>
              <w:t>1. Purchase Order Placed</w:t>
            </w:r>
          </w:p>
        </w:tc>
        <w:tc>
          <w:tcPr>
            <w:tcW w:type="dxa" w:w="2592"/>
            <w:shd w:fill="FFFFFF"/>
            <w:tcMar>
              <w:top w:w="80" w:type="dxa"/>
              <w:bottom w:w="80" w:type="dxa"/>
              <w:left w:w="120" w:type="dxa"/>
              <w:right w:w="120" w:type="dxa"/>
            </w:tcMar>
          </w:tcPr>
          <w:p>
            <w:r>
              <w:rPr>
                <w:color w:val="0F172A"/>
                <w:sz w:val="19"/>
              </w:rPr>
              <w:t>None</w:t>
            </w:r>
          </w:p>
        </w:tc>
        <w:tc>
          <w:tcPr>
            <w:tcW w:type="dxa" w:w="2592"/>
            <w:shd w:fill="FFFFFF"/>
            <w:tcMar>
              <w:top w:w="80" w:type="dxa"/>
              <w:bottom w:w="80" w:type="dxa"/>
              <w:left w:w="120" w:type="dxa"/>
              <w:right w:w="120" w:type="dxa"/>
            </w:tcMar>
          </w:tcPr>
          <w:p>
            <w:r>
              <w:rPr>
                <w:color w:val="0F172A"/>
                <w:sz w:val="19"/>
              </w:rPr>
              <w:t>None</w:t>
            </w:r>
          </w:p>
        </w:tc>
        <w:tc>
          <w:tcPr>
            <w:tcW w:type="dxa" w:w="2304"/>
            <w:shd w:fill="FFFFFF"/>
            <w:tcMar>
              <w:top w:w="80" w:type="dxa"/>
              <w:bottom w:w="80" w:type="dxa"/>
              <w:left w:w="120" w:type="dxa"/>
              <w:right w:w="120" w:type="dxa"/>
            </w:tcMar>
          </w:tcPr>
          <w:p>
            <w:r>
              <w:rPr>
                <w:color w:val="0F172A"/>
                <w:sz w:val="19"/>
              </w:rPr>
              <w:t>Legal commitment created.</w:t>
            </w:r>
          </w:p>
        </w:tc>
      </w:tr>
      <w:tr>
        <w:tc>
          <w:tcPr>
            <w:tcW w:type="dxa" w:w="1872"/>
            <w:shd w:fill="F8FAFC"/>
            <w:tcMar>
              <w:top w:w="80" w:type="dxa"/>
              <w:bottom w:w="80" w:type="dxa"/>
              <w:left w:w="120" w:type="dxa"/>
              <w:right w:w="120" w:type="dxa"/>
            </w:tcMar>
          </w:tcPr>
          <w:p>
            <w:r>
              <w:rPr>
                <w:color w:val="0F172A"/>
                <w:sz w:val="19"/>
              </w:rPr>
              <w:t>2. Goods Receipt Note (GRN)</w:t>
            </w:r>
          </w:p>
        </w:tc>
        <w:tc>
          <w:tcPr>
            <w:tcW w:type="dxa" w:w="2592"/>
            <w:shd w:fill="F8FAFC"/>
            <w:tcMar>
              <w:top w:w="80" w:type="dxa"/>
              <w:bottom w:w="80" w:type="dxa"/>
              <w:left w:w="120" w:type="dxa"/>
              <w:right w:w="120" w:type="dxa"/>
            </w:tcMar>
          </w:tcPr>
          <w:p>
            <w:r>
              <w:rPr>
                <w:color w:val="0F172A"/>
                <w:sz w:val="19"/>
              </w:rPr>
              <w:t>Stock-in-Hand (Current Asset)</w:t>
            </w:r>
          </w:p>
        </w:tc>
        <w:tc>
          <w:tcPr>
            <w:tcW w:type="dxa" w:w="2592"/>
            <w:shd w:fill="F8FAFC"/>
            <w:tcMar>
              <w:top w:w="80" w:type="dxa"/>
              <w:bottom w:w="80" w:type="dxa"/>
              <w:left w:w="120" w:type="dxa"/>
              <w:right w:w="120" w:type="dxa"/>
            </w:tcMar>
          </w:tcPr>
          <w:p>
            <w:r>
              <w:rPr>
                <w:color w:val="0F172A"/>
                <w:sz w:val="19"/>
              </w:rPr>
              <w:t>GR/IR Clearing (Provisional Liability)</w:t>
            </w:r>
          </w:p>
        </w:tc>
        <w:tc>
          <w:tcPr>
            <w:tcW w:type="dxa" w:w="2304"/>
            <w:shd w:fill="F8FAFC"/>
            <w:tcMar>
              <w:top w:w="80" w:type="dxa"/>
              <w:bottom w:w="80" w:type="dxa"/>
              <w:left w:w="120" w:type="dxa"/>
              <w:right w:w="120" w:type="dxa"/>
            </w:tcMar>
          </w:tcPr>
          <w:p>
            <w:r>
              <w:rPr>
                <w:color w:val="0F172A"/>
                <w:sz w:val="19"/>
              </w:rPr>
              <w:t>Inventory increases instantly; liability accrued before bill arrives.</w:t>
            </w:r>
          </w:p>
        </w:tc>
      </w:tr>
      <w:tr>
        <w:tc>
          <w:tcPr>
            <w:tcW w:type="dxa" w:w="1872"/>
            <w:shd w:fill="FFFFFF"/>
            <w:tcMar>
              <w:top w:w="80" w:type="dxa"/>
              <w:bottom w:w="80" w:type="dxa"/>
              <w:left w:w="120" w:type="dxa"/>
              <w:right w:w="120" w:type="dxa"/>
            </w:tcMar>
          </w:tcPr>
          <w:p>
            <w:r>
              <w:rPr>
                <w:color w:val="0F172A"/>
                <w:sz w:val="19"/>
              </w:rPr>
              <w:t>3. Vendor Invoice Received</w:t>
            </w:r>
          </w:p>
        </w:tc>
        <w:tc>
          <w:tcPr>
            <w:tcW w:type="dxa" w:w="2592"/>
            <w:shd w:fill="FFFFFF"/>
            <w:tcMar>
              <w:top w:w="80" w:type="dxa"/>
              <w:bottom w:w="80" w:type="dxa"/>
              <w:left w:w="120" w:type="dxa"/>
              <w:right w:w="120" w:type="dxa"/>
            </w:tcMar>
          </w:tcPr>
          <w:p>
            <w:r>
              <w:rPr>
                <w:color w:val="0F172A"/>
                <w:sz w:val="19"/>
              </w:rPr>
              <w:t>1. GR/IR Clearing Account</w:t>
              <w:br/>
              <w:t>2. GST Input Tax Credit (ITC)</w:t>
            </w:r>
          </w:p>
        </w:tc>
        <w:tc>
          <w:tcPr>
            <w:tcW w:type="dxa" w:w="2592"/>
            <w:shd w:fill="FFFFFF"/>
            <w:tcMar>
              <w:top w:w="80" w:type="dxa"/>
              <w:bottom w:w="80" w:type="dxa"/>
              <w:left w:w="120" w:type="dxa"/>
              <w:right w:w="120" w:type="dxa"/>
            </w:tcMar>
          </w:tcPr>
          <w:p>
            <w:r>
              <w:rPr>
                <w:color w:val="0F172A"/>
                <w:sz w:val="19"/>
              </w:rPr>
              <w:t>Vendor Account (Sundry Creditors / AP)</w:t>
            </w:r>
          </w:p>
        </w:tc>
        <w:tc>
          <w:tcPr>
            <w:tcW w:type="dxa" w:w="2304"/>
            <w:shd w:fill="FFFFFF"/>
            <w:tcMar>
              <w:top w:w="80" w:type="dxa"/>
              <w:bottom w:w="80" w:type="dxa"/>
              <w:left w:w="120" w:type="dxa"/>
              <w:right w:w="120" w:type="dxa"/>
            </w:tcMar>
          </w:tcPr>
          <w:p>
            <w:r>
              <w:rPr>
                <w:color w:val="0F172A"/>
                <w:sz w:val="19"/>
              </w:rPr>
              <w:t>Clearing account settles to zero; statutory tax asset and actual AP liability booked.</w:t>
            </w:r>
          </w:p>
        </w:tc>
      </w:tr>
      <w:tr>
        <w:tc>
          <w:tcPr>
            <w:tcW w:type="dxa" w:w="1872"/>
            <w:shd w:fill="F8FAFC"/>
            <w:tcMar>
              <w:top w:w="80" w:type="dxa"/>
              <w:bottom w:w="80" w:type="dxa"/>
              <w:left w:w="120" w:type="dxa"/>
              <w:right w:w="120" w:type="dxa"/>
            </w:tcMar>
          </w:tcPr>
          <w:p>
            <w:r>
              <w:rPr>
                <w:color w:val="0F172A"/>
                <w:sz w:val="19"/>
              </w:rPr>
              <w:t>4. Vendor Payment Made</w:t>
            </w:r>
          </w:p>
        </w:tc>
        <w:tc>
          <w:tcPr>
            <w:tcW w:type="dxa" w:w="2592"/>
            <w:shd w:fill="F8FAFC"/>
            <w:tcMar>
              <w:top w:w="80" w:type="dxa"/>
              <w:bottom w:w="80" w:type="dxa"/>
              <w:left w:w="120" w:type="dxa"/>
              <w:right w:w="120" w:type="dxa"/>
            </w:tcMar>
          </w:tcPr>
          <w:p>
            <w:r>
              <w:rPr>
                <w:color w:val="0F172A"/>
                <w:sz w:val="19"/>
              </w:rPr>
              <w:t>Vendor Account (Sundry Creditors / AP)</w:t>
            </w:r>
          </w:p>
        </w:tc>
        <w:tc>
          <w:tcPr>
            <w:tcW w:type="dxa" w:w="2592"/>
            <w:shd w:fill="F8FAFC"/>
            <w:tcMar>
              <w:top w:w="80" w:type="dxa"/>
              <w:bottom w:w="80" w:type="dxa"/>
              <w:left w:w="120" w:type="dxa"/>
              <w:right w:w="120" w:type="dxa"/>
            </w:tcMar>
          </w:tcPr>
          <w:p>
            <w:r>
              <w:rPr>
                <w:color w:val="0F172A"/>
                <w:sz w:val="19"/>
              </w:rPr>
              <w:t>Bank Account (e.g. HDFC / SBI)</w:t>
            </w:r>
          </w:p>
        </w:tc>
        <w:tc>
          <w:tcPr>
            <w:tcW w:type="dxa" w:w="2304"/>
            <w:shd w:fill="F8FAFC"/>
            <w:tcMar>
              <w:top w:w="80" w:type="dxa"/>
              <w:bottom w:w="80" w:type="dxa"/>
              <w:left w:w="120" w:type="dxa"/>
              <w:right w:w="120" w:type="dxa"/>
            </w:tcMar>
          </w:tcPr>
          <w:p>
            <w:r>
              <w:rPr>
                <w:color w:val="0F172A"/>
                <w:sz w:val="19"/>
              </w:rPr>
              <w:t>Liability cleared; cash asset decreases.</w:t>
            </w:r>
          </w:p>
        </w:tc>
      </w:tr>
      <w:tr>
        <w:tc>
          <w:tcPr>
            <w:tcW w:type="dxa" w:w="1872"/>
            <w:shd w:fill="FFFFFF"/>
            <w:tcMar>
              <w:top w:w="80" w:type="dxa"/>
              <w:bottom w:w="80" w:type="dxa"/>
              <w:left w:w="120" w:type="dxa"/>
              <w:right w:w="120" w:type="dxa"/>
            </w:tcMar>
          </w:tcPr>
          <w:p>
            <w:r>
              <w:rPr>
                <w:color w:val="0F172A"/>
                <w:sz w:val="19"/>
              </w:rPr>
              <w:t>5. Purchase Return / Debit Note</w:t>
            </w:r>
          </w:p>
        </w:tc>
        <w:tc>
          <w:tcPr>
            <w:tcW w:type="dxa" w:w="2592"/>
            <w:shd w:fill="FFFFFF"/>
            <w:tcMar>
              <w:top w:w="80" w:type="dxa"/>
              <w:bottom w:w="80" w:type="dxa"/>
              <w:left w:w="120" w:type="dxa"/>
              <w:right w:w="120" w:type="dxa"/>
            </w:tcMar>
          </w:tcPr>
          <w:p>
            <w:r>
              <w:rPr>
                <w:color w:val="0F172A"/>
                <w:sz w:val="19"/>
              </w:rPr>
              <w:t>Vendor Account (AP)</w:t>
            </w:r>
          </w:p>
        </w:tc>
        <w:tc>
          <w:tcPr>
            <w:tcW w:type="dxa" w:w="2592"/>
            <w:shd w:fill="FFFFFF"/>
            <w:tcMar>
              <w:top w:w="80" w:type="dxa"/>
              <w:bottom w:w="80" w:type="dxa"/>
              <w:left w:w="120" w:type="dxa"/>
              <w:right w:w="120" w:type="dxa"/>
            </w:tcMar>
          </w:tcPr>
          <w:p>
            <w:r>
              <w:rPr>
                <w:color w:val="0F172A"/>
                <w:sz w:val="19"/>
              </w:rPr>
              <w:t>1. Purchase Returns / Stock</w:t>
              <w:br/>
              <w:t>2. GST ITC Reversal</w:t>
            </w:r>
          </w:p>
        </w:tc>
        <w:tc>
          <w:tcPr>
            <w:tcW w:type="dxa" w:w="2304"/>
            <w:shd w:fill="FFFFFF"/>
            <w:tcMar>
              <w:top w:w="80" w:type="dxa"/>
              <w:bottom w:w="80" w:type="dxa"/>
              <w:left w:w="120" w:type="dxa"/>
              <w:right w:w="120" w:type="dxa"/>
            </w:tcMar>
          </w:tcPr>
          <w:p>
            <w:r>
              <w:rPr>
                <w:color w:val="0F172A"/>
                <w:sz w:val="19"/>
              </w:rPr>
              <w:t>Vendor liability reduced; inventory and tax credits adjusted.</w:t>
            </w:r>
          </w:p>
        </w:tc>
      </w:tr>
    </w:tbl>
    <w:p>
      <w:pPr>
        <w:pStyle w:val="Heading2"/>
        <w:spacing w:before="280" w:after="80"/>
      </w:pPr>
      <w:r>
        <w:rPr>
          <w:b/>
          <w:color w:val="2563EB"/>
          <w:sz w:val="28"/>
        </w:rPr>
        <w:t>Workflow C: Inventory Valuation &amp; Breakage/Expiry Accounting</w:t>
      </w:r>
    </w:p>
    <w:p>
      <w:r>
        <w:t>How ERPs record damaged, expired, or spoiled pharma inventory:</w:t>
      </w:r>
    </w:p>
    <w:tbl>
      <w:tblPr>
        <w:tblW w:type="auto" w:w="0"/>
        <w:jc w:val="center"/>
        <w:tblLook w:firstColumn="1" w:firstRow="1" w:lastColumn="0" w:lastRow="0" w:noHBand="0" w:noVBand="1" w:val="04A0"/>
      </w:tblPr>
      <w:tblGrid>
        <w:gridCol w:w="2340"/>
        <w:gridCol w:w="2340"/>
        <w:gridCol w:w="2340"/>
        <w:gridCol w:w="2340"/>
      </w:tblGrid>
      <w:tr>
        <w:tc>
          <w:tcPr>
            <w:tcW w:type="dxa" w:w="2016"/>
            <w:shd w:fill="1E3A8A"/>
            <w:tcMar>
              <w:top w:w="100" w:type="dxa"/>
              <w:bottom w:w="100" w:type="dxa"/>
              <w:left w:w="120" w:type="dxa"/>
              <w:right w:w="120" w:type="dxa"/>
            </w:tcMar>
          </w:tcPr>
          <w:p>
            <w:r>
              <w:rPr>
                <w:b/>
                <w:color w:val="FFFFFF"/>
                <w:sz w:val="19"/>
              </w:rPr>
              <w:t>Event</w:t>
            </w:r>
          </w:p>
        </w:tc>
        <w:tc>
          <w:tcPr>
            <w:tcW w:type="dxa" w:w="2592"/>
            <w:shd w:fill="1E3A8A"/>
            <w:tcMar>
              <w:top w:w="100" w:type="dxa"/>
              <w:bottom w:w="100" w:type="dxa"/>
              <w:left w:w="120" w:type="dxa"/>
              <w:right w:w="120" w:type="dxa"/>
            </w:tcMar>
          </w:tcPr>
          <w:p>
            <w:r>
              <w:rPr>
                <w:b/>
                <w:color w:val="FFFFFF"/>
                <w:sz w:val="19"/>
              </w:rPr>
              <w:t>Debit (Dr)</w:t>
            </w:r>
          </w:p>
        </w:tc>
        <w:tc>
          <w:tcPr>
            <w:tcW w:type="dxa" w:w="2448"/>
            <w:shd w:fill="1E3A8A"/>
            <w:tcMar>
              <w:top w:w="100" w:type="dxa"/>
              <w:bottom w:w="100" w:type="dxa"/>
              <w:left w:w="120" w:type="dxa"/>
              <w:right w:w="120" w:type="dxa"/>
            </w:tcMar>
          </w:tcPr>
          <w:p>
            <w:r>
              <w:rPr>
                <w:b/>
                <w:color w:val="FFFFFF"/>
                <w:sz w:val="19"/>
              </w:rPr>
              <w:t>Credit (Cr)</w:t>
            </w:r>
          </w:p>
        </w:tc>
        <w:tc>
          <w:tcPr>
            <w:tcW w:type="dxa" w:w="2304"/>
            <w:shd w:fill="1E3A8A"/>
            <w:tcMar>
              <w:top w:w="100" w:type="dxa"/>
              <w:bottom w:w="100" w:type="dxa"/>
              <w:left w:w="120" w:type="dxa"/>
              <w:right w:w="120" w:type="dxa"/>
            </w:tcMar>
          </w:tcPr>
          <w:p>
            <w:r>
              <w:rPr>
                <w:b/>
                <w:color w:val="FFFFFF"/>
                <w:sz w:val="19"/>
              </w:rPr>
              <w:t>Accounting Purpose</w:t>
            </w:r>
          </w:p>
        </w:tc>
      </w:tr>
      <w:tr>
        <w:tc>
          <w:tcPr>
            <w:tcW w:type="dxa" w:w="2016"/>
            <w:shd w:fill="FFFFFF"/>
            <w:tcMar>
              <w:top w:w="80" w:type="dxa"/>
              <w:bottom w:w="80" w:type="dxa"/>
              <w:left w:w="120" w:type="dxa"/>
              <w:right w:w="120" w:type="dxa"/>
            </w:tcMar>
          </w:tcPr>
          <w:p>
            <w:r>
              <w:rPr>
                <w:color w:val="0F172A"/>
                <w:sz w:val="19"/>
              </w:rPr>
              <w:t>Breakage / Expiry Write-Off</w:t>
            </w:r>
          </w:p>
        </w:tc>
        <w:tc>
          <w:tcPr>
            <w:tcW w:type="dxa" w:w="2592"/>
            <w:shd w:fill="FFFFFF"/>
            <w:tcMar>
              <w:top w:w="80" w:type="dxa"/>
              <w:bottom w:w="80" w:type="dxa"/>
              <w:left w:w="120" w:type="dxa"/>
              <w:right w:w="120" w:type="dxa"/>
            </w:tcMar>
          </w:tcPr>
          <w:p>
            <w:r>
              <w:rPr>
                <w:color w:val="0F172A"/>
                <w:sz w:val="19"/>
              </w:rPr>
              <w:t>Loss on Expired Goods (Direct/Indirect Expense)</w:t>
            </w:r>
          </w:p>
        </w:tc>
        <w:tc>
          <w:tcPr>
            <w:tcW w:type="dxa" w:w="2448"/>
            <w:shd w:fill="FFFFFF"/>
            <w:tcMar>
              <w:top w:w="80" w:type="dxa"/>
              <w:bottom w:w="80" w:type="dxa"/>
              <w:left w:w="120" w:type="dxa"/>
              <w:right w:w="120" w:type="dxa"/>
            </w:tcMar>
          </w:tcPr>
          <w:p>
            <w:r>
              <w:rPr>
                <w:color w:val="0F172A"/>
                <w:sz w:val="19"/>
              </w:rPr>
              <w:t>Stock-in-Hand (Asset)</w:t>
            </w:r>
          </w:p>
        </w:tc>
        <w:tc>
          <w:tcPr>
            <w:tcW w:type="dxa" w:w="2304"/>
            <w:shd w:fill="FFFFFF"/>
            <w:tcMar>
              <w:top w:w="80" w:type="dxa"/>
              <w:bottom w:w="80" w:type="dxa"/>
              <w:left w:w="120" w:type="dxa"/>
              <w:right w:w="120" w:type="dxa"/>
            </w:tcMar>
          </w:tcPr>
          <w:p>
            <w:r>
              <w:rPr>
                <w:color w:val="0F172A"/>
                <w:sz w:val="19"/>
              </w:rPr>
              <w:t>Removes dead inventory from valuation; records business loss.</w:t>
            </w:r>
          </w:p>
        </w:tc>
      </w:tr>
      <w:tr>
        <w:tc>
          <w:tcPr>
            <w:tcW w:type="dxa" w:w="2016"/>
            <w:shd w:fill="F8FAFC"/>
            <w:tcMar>
              <w:top w:w="80" w:type="dxa"/>
              <w:bottom w:w="80" w:type="dxa"/>
              <w:left w:w="120" w:type="dxa"/>
              <w:right w:w="120" w:type="dxa"/>
            </w:tcMar>
          </w:tcPr>
          <w:p>
            <w:r>
              <w:rPr>
                <w:color w:val="0F172A"/>
                <w:sz w:val="19"/>
              </w:rPr>
              <w:t>Supplier Compensation for Expiry</w:t>
            </w:r>
          </w:p>
        </w:tc>
        <w:tc>
          <w:tcPr>
            <w:tcW w:type="dxa" w:w="2592"/>
            <w:shd w:fill="F8FAFC"/>
            <w:tcMar>
              <w:top w:w="80" w:type="dxa"/>
              <w:bottom w:w="80" w:type="dxa"/>
              <w:left w:w="120" w:type="dxa"/>
              <w:right w:w="120" w:type="dxa"/>
            </w:tcMar>
          </w:tcPr>
          <w:p>
            <w:r>
              <w:rPr>
                <w:color w:val="0F172A"/>
                <w:sz w:val="19"/>
              </w:rPr>
              <w:t>Vendor Account / Claims Receivable</w:t>
            </w:r>
          </w:p>
        </w:tc>
        <w:tc>
          <w:tcPr>
            <w:tcW w:type="dxa" w:w="2448"/>
            <w:shd w:fill="F8FAFC"/>
            <w:tcMar>
              <w:top w:w="80" w:type="dxa"/>
              <w:bottom w:w="80" w:type="dxa"/>
              <w:left w:w="120" w:type="dxa"/>
              <w:right w:w="120" w:type="dxa"/>
            </w:tcMar>
          </w:tcPr>
          <w:p>
            <w:r>
              <w:rPr>
                <w:color w:val="0F172A"/>
                <w:sz w:val="19"/>
              </w:rPr>
              <w:t>Loss on Expired Goods</w:t>
            </w:r>
          </w:p>
        </w:tc>
        <w:tc>
          <w:tcPr>
            <w:tcW w:type="dxa" w:w="2304"/>
            <w:shd w:fill="F8FAFC"/>
            <w:tcMar>
              <w:top w:w="80" w:type="dxa"/>
              <w:bottom w:w="80" w:type="dxa"/>
              <w:left w:w="120" w:type="dxa"/>
              <w:right w:w="120" w:type="dxa"/>
            </w:tcMar>
          </w:tcPr>
          <w:p>
            <w:r>
              <w:rPr>
                <w:color w:val="0F172A"/>
                <w:sz w:val="19"/>
              </w:rPr>
              <w:t>Offsets the write-off loss when distributor or manufacturer credits the expiry.</w:t>
            </w:r>
          </w:p>
        </w:tc>
      </w:tr>
    </w:tbl>
    <w:p>
      <w:pPr>
        <w:pStyle w:val="Heading1"/>
        <w:spacing w:before="360" w:after="120"/>
      </w:pPr>
      <w:r>
        <w:rPr>
          <w:b/>
          <w:color w:val="1E3A8A"/>
          <w:sz w:val="36"/>
        </w:rPr>
        <w:t>4. Statutory Tax Engine &amp; GST Settlement Mechanics</w:t>
      </w:r>
    </w:p>
    <w:p>
      <w:r>
        <w:t>In systems complying with Indian GST (or international VAT), taxes are separated into Input (Receivable/Asset) and Output (Payable/Liability) sub-ledgers. At month-end, the ERP executes a Tax Settlement Run: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before="40" w:after="40"/>
            </w:pPr>
            <w:r>
              <w:rPr>
                <w:b/>
                <w:color w:val="1E3A8A"/>
                <w:sz w:val="21"/>
              </w:rPr>
              <w:t>📌 INDIAN GST SETTLEMENT CASCADE</w:t>
              <w:br/>
            </w:r>
            <w:r>
              <w:rPr>
                <w:color w:val="0F172A"/>
                <w:sz w:val="20"/>
              </w:rPr>
              <w:t>Month-End GST Offset Rules:</w:t>
              <w:br/>
              <w:t>1. IGST Input Credit offsets IGST Output, then CGST Output, then SGST Output.</w:t>
              <w:br/>
              <w:t>2. CGST Input Credit offsets CGST Output, then IGST Output (cannot offset SGST).</w:t>
              <w:br/>
              <w:t>3. SGST Input Credit offsets SGST Output, then IGST Output (cannot offset CGST).</w:t>
              <w:br/>
              <w:t>4. Net remaining Output is paid via Bank (Payment Voucher to GST Challan).</w:t>
            </w:r>
          </w:p>
        </w:tc>
      </w:tr>
    </w:tbl>
    <w:p>
      <w:pPr>
        <w:spacing w:after="80"/>
      </w:pPr>
    </w:p>
    <w:p>
      <w:pPr>
        <w:pStyle w:val="Heading1"/>
        <w:spacing w:before="360" w:after="120"/>
      </w:pPr>
      <w:r>
        <w:rPr>
          <w:b/>
          <w:color w:val="1E3A8A"/>
          <w:sz w:val="36"/>
        </w:rPr>
        <w:t>5. Period-End Closing &amp; Fiscal Year Rollover Architecture</w:t>
      </w:r>
    </w:p>
    <w:p>
      <w:r>
        <w:t>How does an ERP transition from Fiscal Year 2025-26 to 2026-27? Unlike basic spreadsheet software, enterprise ERPs enforce strict immutability and fiscal boundary isolation:</w:t>
      </w:r>
    </w:p>
    <w:p>
      <w:r>
        <w:rPr>
          <w:b/>
        </w:rPr>
        <w:t xml:space="preserve">1. Period Lock / Hard Lock: </w:t>
      </w:r>
      <w:r>
        <w:t>Prevents back-dated entries into closed months. Any audit adjustment requires an explicit Adjusting Journal Voucher (AJV).</w:t>
        <w:br/>
      </w:r>
      <w:r>
        <w:rPr>
          <w:b/>
        </w:rPr>
        <w:t xml:space="preserve">2. P&amp;L Retained Earnings Sweep: </w:t>
      </w:r>
      <w:r>
        <w:t>Income and Expense accounts (nominal accounts) are reset to zero for the new fiscal year. The net difference (Net Profit or Net Loss) is transferred to the 'Reserves &amp; Surplus / Retained Earnings' equity account on the Balance Sheet.</w:t>
        <w:br/>
      </w:r>
      <w:r>
        <w:rPr>
          <w:b/>
        </w:rPr>
        <w:t xml:space="preserve">3. Balance Sheet Carry Forward: </w:t>
      </w:r>
      <w:r>
        <w:t>All Real and Personal accounts (Assets, Liabilities, Bank, Cash, Debtors, Creditors) carry their exact closing balances forward as the Opening Balances of the new Fiscal Year.</w:t>
        <w:br/>
      </w:r>
      <w:r>
        <w:rPr>
          <w:b/>
        </w:rPr>
        <w:t xml:space="preserve">4. Voucher Sequence Reset: </w:t>
      </w:r>
      <w:r>
        <w:t>Voucher numbering series reset with the new year identifier (e.g., PAY/26-27/0001, SLS/26-27/0001).</w:t>
      </w:r>
    </w:p>
    <w:p>
      <w:pPr>
        <w:pStyle w:val="Heading1"/>
        <w:spacing w:before="360" w:after="120"/>
      </w:pPr>
      <w:r>
        <w:rPr>
          <w:b/>
          <w:color w:val="1E3A8A"/>
          <w:sz w:val="36"/>
        </w:rPr>
        <w:t>6. Comparative Analysis of Leading ERP Architectures</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20" w:type="dxa"/>
              <w:right w:w="120" w:type="dxa"/>
            </w:tcMar>
          </w:tcPr>
          <w:p>
            <w:r>
              <w:rPr>
                <w:b/>
                <w:color w:val="FFFFFF"/>
                <w:sz w:val="19"/>
              </w:rPr>
              <w:t>Dimension</w:t>
            </w:r>
          </w:p>
        </w:tc>
        <w:tc>
          <w:tcPr>
            <w:tcW w:type="dxa" w:w="2592"/>
            <w:shd w:fill="1E3A8A"/>
            <w:tcMar>
              <w:top w:w="100" w:type="dxa"/>
              <w:bottom w:w="100" w:type="dxa"/>
              <w:left w:w="120" w:type="dxa"/>
              <w:right w:w="120" w:type="dxa"/>
            </w:tcMar>
          </w:tcPr>
          <w:p>
            <w:r>
              <w:rPr>
                <w:b/>
                <w:color w:val="FFFFFF"/>
                <w:sz w:val="19"/>
              </w:rPr>
              <w:t>SAP S/4HANA</w:t>
            </w:r>
          </w:p>
        </w:tc>
        <w:tc>
          <w:tcPr>
            <w:tcW w:type="dxa" w:w="2592"/>
            <w:shd w:fill="1E3A8A"/>
            <w:tcMar>
              <w:top w:w="100" w:type="dxa"/>
              <w:bottom w:w="100" w:type="dxa"/>
              <w:left w:w="120" w:type="dxa"/>
              <w:right w:w="120" w:type="dxa"/>
            </w:tcMar>
          </w:tcPr>
          <w:p>
            <w:r>
              <w:rPr>
                <w:b/>
                <w:color w:val="FFFFFF"/>
                <w:sz w:val="19"/>
              </w:rPr>
              <w:t>Oracle NetSuite</w:t>
            </w:r>
          </w:p>
        </w:tc>
        <w:tc>
          <w:tcPr>
            <w:tcW w:type="dxa" w:w="2016"/>
            <w:shd w:fill="1E3A8A"/>
            <w:tcMar>
              <w:top w:w="100" w:type="dxa"/>
              <w:bottom w:w="100" w:type="dxa"/>
              <w:left w:w="120" w:type="dxa"/>
              <w:right w:w="120" w:type="dxa"/>
            </w:tcMar>
          </w:tcPr>
          <w:p>
            <w:r>
              <w:rPr>
                <w:b/>
                <w:color w:val="FFFFFF"/>
                <w:sz w:val="19"/>
              </w:rPr>
              <w:t>Tally / Marg / Our ERP</w:t>
            </w:r>
          </w:p>
        </w:tc>
      </w:tr>
      <w:tr>
        <w:tc>
          <w:tcPr>
            <w:tcW w:type="dxa" w:w="2160"/>
            <w:shd w:fill="FFFFFF"/>
            <w:tcMar>
              <w:top w:w="80" w:type="dxa"/>
              <w:bottom w:w="80" w:type="dxa"/>
              <w:left w:w="120" w:type="dxa"/>
              <w:right w:w="120" w:type="dxa"/>
            </w:tcMar>
          </w:tcPr>
          <w:p>
            <w:r>
              <w:rPr>
                <w:color w:val="0F172A"/>
                <w:sz w:val="19"/>
              </w:rPr>
              <w:t>Underlying Data Model</w:t>
            </w:r>
          </w:p>
        </w:tc>
        <w:tc>
          <w:tcPr>
            <w:tcW w:type="dxa" w:w="2592"/>
            <w:shd w:fill="FFFFFF"/>
            <w:tcMar>
              <w:top w:w="80" w:type="dxa"/>
              <w:bottom w:w="80" w:type="dxa"/>
              <w:left w:w="120" w:type="dxa"/>
              <w:right w:w="120" w:type="dxa"/>
            </w:tcMar>
          </w:tcPr>
          <w:p>
            <w:r>
              <w:rPr>
                <w:color w:val="0F172A"/>
                <w:sz w:val="19"/>
              </w:rPr>
              <w:t>ACDOCA (Universal Journal with 400+ fields per entry)</w:t>
            </w:r>
          </w:p>
        </w:tc>
        <w:tc>
          <w:tcPr>
            <w:tcW w:type="dxa" w:w="2592"/>
            <w:shd w:fill="FFFFFF"/>
            <w:tcMar>
              <w:top w:w="80" w:type="dxa"/>
              <w:bottom w:w="80" w:type="dxa"/>
              <w:left w:w="120" w:type="dxa"/>
              <w:right w:w="120" w:type="dxa"/>
            </w:tcMar>
          </w:tcPr>
          <w:p>
            <w:r>
              <w:rPr>
                <w:color w:val="0F172A"/>
                <w:sz w:val="19"/>
              </w:rPr>
              <w:t>Transaction &amp; TransactionLine (Multi-entity consolidated)</w:t>
            </w:r>
          </w:p>
        </w:tc>
        <w:tc>
          <w:tcPr>
            <w:tcW w:type="dxa" w:w="2016"/>
            <w:shd w:fill="FFFFFF"/>
            <w:tcMar>
              <w:top w:w="80" w:type="dxa"/>
              <w:bottom w:w="80" w:type="dxa"/>
              <w:left w:w="120" w:type="dxa"/>
              <w:right w:w="120" w:type="dxa"/>
            </w:tcMar>
          </w:tcPr>
          <w:p>
            <w:r>
              <w:rPr>
                <w:color w:val="0F172A"/>
                <w:sz w:val="19"/>
              </w:rPr>
              <w:t>Vouchers &amp; VoucherEntries (Clean normalized double-entry)</w:t>
            </w:r>
          </w:p>
        </w:tc>
      </w:tr>
      <w:tr>
        <w:tc>
          <w:tcPr>
            <w:tcW w:type="dxa" w:w="2160"/>
            <w:shd w:fill="F8FAFC"/>
            <w:tcMar>
              <w:top w:w="80" w:type="dxa"/>
              <w:bottom w:w="80" w:type="dxa"/>
              <w:left w:w="120" w:type="dxa"/>
              <w:right w:w="120" w:type="dxa"/>
            </w:tcMar>
          </w:tcPr>
          <w:p>
            <w:r>
              <w:rPr>
                <w:color w:val="0F172A"/>
                <w:sz w:val="19"/>
              </w:rPr>
              <w:t>Posting Trigger</w:t>
            </w:r>
          </w:p>
        </w:tc>
        <w:tc>
          <w:tcPr>
            <w:tcW w:type="dxa" w:w="2592"/>
            <w:shd w:fill="F8FAFC"/>
            <w:tcMar>
              <w:top w:w="80" w:type="dxa"/>
              <w:bottom w:w="80" w:type="dxa"/>
              <w:left w:w="120" w:type="dxa"/>
              <w:right w:w="120" w:type="dxa"/>
            </w:tcMar>
          </w:tcPr>
          <w:p>
            <w:r>
              <w:rPr>
                <w:color w:val="0F172A"/>
                <w:sz w:val="19"/>
              </w:rPr>
              <w:t>Real-time synchronous with background document flow</w:t>
            </w:r>
          </w:p>
        </w:tc>
        <w:tc>
          <w:tcPr>
            <w:tcW w:type="dxa" w:w="2592"/>
            <w:shd w:fill="F8FAFC"/>
            <w:tcMar>
              <w:top w:w="80" w:type="dxa"/>
              <w:bottom w:w="80" w:type="dxa"/>
              <w:left w:w="120" w:type="dxa"/>
              <w:right w:w="120" w:type="dxa"/>
            </w:tcMar>
          </w:tcPr>
          <w:p>
            <w:r>
              <w:rPr>
                <w:color w:val="0F172A"/>
                <w:sz w:val="19"/>
              </w:rPr>
              <w:t>Real-time GL posting on document approval</w:t>
            </w:r>
          </w:p>
        </w:tc>
        <w:tc>
          <w:tcPr>
            <w:tcW w:type="dxa" w:w="2016"/>
            <w:shd w:fill="F8FAFC"/>
            <w:tcMar>
              <w:top w:w="80" w:type="dxa"/>
              <w:bottom w:w="80" w:type="dxa"/>
              <w:left w:w="120" w:type="dxa"/>
              <w:right w:w="120" w:type="dxa"/>
            </w:tcMar>
          </w:tcPr>
          <w:p>
            <w:r>
              <w:rPr>
                <w:color w:val="0F172A"/>
                <w:sz w:val="19"/>
              </w:rPr>
              <w:t>Real-time auto-posting hook on invoice save</w:t>
            </w:r>
          </w:p>
        </w:tc>
      </w:tr>
      <w:tr>
        <w:tc>
          <w:tcPr>
            <w:tcW w:type="dxa" w:w="2160"/>
            <w:shd w:fill="FFFFFF"/>
            <w:tcMar>
              <w:top w:w="80" w:type="dxa"/>
              <w:bottom w:w="80" w:type="dxa"/>
              <w:left w:w="120" w:type="dxa"/>
              <w:right w:w="120" w:type="dxa"/>
            </w:tcMar>
          </w:tcPr>
          <w:p>
            <w:r>
              <w:rPr>
                <w:color w:val="0F172A"/>
                <w:sz w:val="19"/>
              </w:rPr>
              <w:t>Immutability Policy</w:t>
            </w:r>
          </w:p>
        </w:tc>
        <w:tc>
          <w:tcPr>
            <w:tcW w:type="dxa" w:w="2592"/>
            <w:shd w:fill="FFFFFF"/>
            <w:tcMar>
              <w:top w:w="80" w:type="dxa"/>
              <w:bottom w:w="80" w:type="dxa"/>
              <w:left w:w="120" w:type="dxa"/>
              <w:right w:w="120" w:type="dxa"/>
            </w:tcMar>
          </w:tcPr>
          <w:p>
            <w:r>
              <w:rPr>
                <w:color w:val="0F172A"/>
                <w:sz w:val="19"/>
              </w:rPr>
              <w:t>Zero record deletion; reversals strictly through credit memo or reversal document</w:t>
            </w:r>
          </w:p>
        </w:tc>
        <w:tc>
          <w:tcPr>
            <w:tcW w:type="dxa" w:w="2592"/>
            <w:shd w:fill="FFFFFF"/>
            <w:tcMar>
              <w:top w:w="80" w:type="dxa"/>
              <w:bottom w:w="80" w:type="dxa"/>
              <w:left w:w="120" w:type="dxa"/>
              <w:right w:w="120" w:type="dxa"/>
            </w:tcMar>
          </w:tcPr>
          <w:p>
            <w:r>
              <w:rPr>
                <w:color w:val="0F172A"/>
                <w:sz w:val="19"/>
              </w:rPr>
              <w:t>Void transaction generates reversing journal</w:t>
            </w:r>
          </w:p>
        </w:tc>
        <w:tc>
          <w:tcPr>
            <w:tcW w:type="dxa" w:w="2016"/>
            <w:shd w:fill="FFFFFF"/>
            <w:tcMar>
              <w:top w:w="80" w:type="dxa"/>
              <w:bottom w:w="80" w:type="dxa"/>
              <w:left w:w="120" w:type="dxa"/>
              <w:right w:w="120" w:type="dxa"/>
            </w:tcMar>
          </w:tcPr>
          <w:p>
            <w:r>
              <w:rPr>
                <w:color w:val="0F172A"/>
                <w:sz w:val="19"/>
              </w:rPr>
              <w:t>Voucher status 'Cancelled' + exact balance reversal impact</w:t>
            </w:r>
          </w:p>
        </w:tc>
      </w:tr>
      <w:tr>
        <w:tc>
          <w:tcPr>
            <w:tcW w:type="dxa" w:w="2160"/>
            <w:shd w:fill="F8FAFC"/>
            <w:tcMar>
              <w:top w:w="80" w:type="dxa"/>
              <w:bottom w:w="80" w:type="dxa"/>
              <w:left w:w="120" w:type="dxa"/>
              <w:right w:w="120" w:type="dxa"/>
            </w:tcMar>
          </w:tcPr>
          <w:p>
            <w:r>
              <w:rPr>
                <w:color w:val="0F172A"/>
                <w:sz w:val="19"/>
              </w:rPr>
              <w:t>Multi-Currency</w:t>
            </w:r>
          </w:p>
        </w:tc>
        <w:tc>
          <w:tcPr>
            <w:tcW w:type="dxa" w:w="2592"/>
            <w:shd w:fill="F8FAFC"/>
            <w:tcMar>
              <w:top w:w="80" w:type="dxa"/>
              <w:bottom w:w="80" w:type="dxa"/>
              <w:left w:w="120" w:type="dxa"/>
              <w:right w:w="120" w:type="dxa"/>
            </w:tcMar>
          </w:tcPr>
          <w:p>
            <w:r>
              <w:rPr>
                <w:color w:val="0F172A"/>
                <w:sz w:val="19"/>
              </w:rPr>
              <w:t>Company Code currency + Group currency + Hard currency</w:t>
            </w:r>
          </w:p>
        </w:tc>
        <w:tc>
          <w:tcPr>
            <w:tcW w:type="dxa" w:w="2592"/>
            <w:shd w:fill="F8FAFC"/>
            <w:tcMar>
              <w:top w:w="80" w:type="dxa"/>
              <w:bottom w:w="80" w:type="dxa"/>
              <w:left w:w="120" w:type="dxa"/>
              <w:right w:w="120" w:type="dxa"/>
            </w:tcMar>
          </w:tcPr>
          <w:p>
            <w:r>
              <w:rPr>
                <w:color w:val="0F172A"/>
                <w:sz w:val="19"/>
              </w:rPr>
              <w:t>Base currency + Transaction currency with automated FX revaluation</w:t>
            </w:r>
          </w:p>
        </w:tc>
        <w:tc>
          <w:tcPr>
            <w:tcW w:type="dxa" w:w="2016"/>
            <w:shd w:fill="F8FAFC"/>
            <w:tcMar>
              <w:top w:w="80" w:type="dxa"/>
              <w:bottom w:w="80" w:type="dxa"/>
              <w:left w:w="120" w:type="dxa"/>
              <w:right w:w="120" w:type="dxa"/>
            </w:tcMar>
          </w:tcPr>
          <w:p>
            <w:r>
              <w:rPr>
                <w:color w:val="0F172A"/>
                <w:sz w:val="19"/>
              </w:rPr>
              <w:t>Single primary operational currency (INR) with base decimal precision</w:t>
            </w:r>
          </w:p>
        </w:tc>
      </w:tr>
    </w:tbl>
    <w:p>
      <w:pPr>
        <w:pStyle w:val="Heading1"/>
        <w:spacing w:before="360" w:after="120"/>
      </w:pPr>
      <w:r>
        <w:rPr>
          <w:b/>
          <w:color w:val="1E3A8A"/>
          <w:sz w:val="36"/>
        </w:rPr>
        <w:t>7. Blueprint &amp; Best Practices for Our ERP Implementation</w:t>
      </w:r>
    </w:p>
    <w:p>
      <w:r>
        <w:t>Based on the enterprise standards analyzed above, here is how our ERP's Finance &amp; Accounting module is optimized: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before="40" w:after="40"/>
            </w:pPr>
            <w:r>
              <w:rPr>
                <w:b/>
                <w:color w:val="1E3A8A"/>
                <w:sz w:val="21"/>
              </w:rPr>
              <w:t>📌 OUR ARCHITECTURAL STANDARDS</w:t>
              <w:br/>
            </w:r>
            <w:r>
              <w:rPr>
                <w:color w:val="0F172A"/>
                <w:sz w:val="20"/>
              </w:rPr>
              <w:t>Key Design Decisions Implemented in our Finance Engine:</w:t>
              <w:br/>
              <w:t>• ACID-Compliant Double-Entry: Every invoice auto-generates a balanced VoucherEntry pair (Dr = Cr).</w:t>
              <w:br/>
              <w:t>• Row-Level Locking: Voucher sequences use PostgreSQL 'SELECT FOR UPDATE' to prevent duplicate numbering during high-concurrency billing.</w:t>
              <w:br/>
              <w:t>• Fiscal Year Isolation: Ledger balances are stored per Fiscal Year (`LedgerBalance` table) to ensure that transactions in FY 2026-27 never corrupt historical FY 2025-26 reports.</w:t>
              <w:br/>
              <w:t>• Safe Cancellation Architecture: Invoices and vouchers are never hard-deleted; status transitions to 'Cancelled' with automatic reverse balance adjustments, preserving complete statutory audit trails.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