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p>
      <w:pPr>
        <w:spacing w:before="160" w:after="40"/>
        <w:jc w:val="center"/>
      </w:pPr>
      <w:r>
        <w:drawing>
          <wp:inline xmlns:a="http://schemas.openxmlformats.org/drawingml/2006/main" xmlns:pic="http://schemas.openxmlformats.org/drawingml/2006/picture">
            <wp:extent cx="5669280" cy="2982153"/>
            <wp:docPr id="37" name="Picture 37"/>
            <wp:cNvGraphicFramePr>
              <a:graphicFrameLocks noChangeAspect="1"/>
            </wp:cNvGraphicFramePr>
            <a:graphic>
              <a:graphicData uri="http://schemas.openxmlformats.org/drawingml/2006/picture">
                <pic:pic>
                  <pic:nvPicPr>
                    <pic:cNvPr id="0" name="verified_principal_claim_from_shift.png"/>
                    <pic:cNvPicPr/>
                  </pic:nvPicPr>
                  <pic:blipFill>
                    <a:blip r:embed="rId45"/>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28.4: Principal Claims Desk (/principal) displaying linked Claim CLM-PRN-2026-0006 originating from Stock Shift SHF-2026-0001 for automated debit note recovery.</w:t>
      </w:r>
    </w:p>
    <w:p>
      <w:r>
        <w:br w:type="page"/>
      </w:r>
    </w:p>
    <w:p>
      <w:pPr>
        <w:keepNext/>
        <w:spacing w:before="360" w:after="160"/>
      </w:pPr>
      <w:r>
        <w:rPr>
          <w:rFonts w:ascii="Segoe UI" w:hAnsi="Segoe UI"/>
          <w:b/>
          <w:i w:val="0"/>
          <w:color w:val="1B4332"/>
          <w:sz w:val="36"/>
        </w:rPr>
        <w:t>Chapter 29: Master Screen-by-Screen UI Element &amp; Operational Hotkey Directory</w:t>
      </w:r>
    </w:p>
    <w:p>
      <w:pPr>
        <w:keepNext/>
        <w:spacing w:before="280" w:after="120"/>
      </w:pPr>
      <w:r>
        <w:rPr>
          <w:rFonts w:ascii="Segoe UI" w:hAnsi="Segoe UI"/>
          <w:b/>
          <w:i w:val="0"/>
          <w:color w:val="2D6A4F"/>
          <w:sz w:val="27"/>
        </w:rPr>
        <w:t>29.1 Architecture of the 10 Top-Level Parent Menus</w:t>
      </w:r>
    </w:p>
    <w:p>
      <w:pPr>
        <w:spacing w:before="0" w:after="120" w:line="276" w:lineRule="auto"/>
        <w:jc w:val="left"/>
      </w:pPr>
      <w:r>
        <w:rPr>
          <w:rFonts w:ascii="Segoe UI" w:hAnsi="Segoe UI"/>
          <w:b w:val="0"/>
          <w:i w:val="0"/>
          <w:color w:val="1E293B"/>
          <w:sz w:val="21"/>
        </w:rPr>
        <w:t>To ensure zero screen overflow on standard desktop monitors (1366x768, 1440x900, 1920x1080), the ERP navigation bar is engineered with 10 streamlined parent categories with full keyboard arrow traversal (ArrowLeft, ArrowRight, ArrowDown, ArrowUp), Enter navigation, and universal Esc dismissal:</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Top Menu</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Route / Primary Submenus</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Key Capabilities &amp; Roles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 (HomeScreen)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Counter Workbench, quick operational launcher tiles, and Esc exit modal.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Ledger, Business Partners, Salt, Company, HSN, State, Series, Schemes, Pricing</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Core configuration, business partners master, alphanumeric series continuation, and pricing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Payment, Receipt, Journal, Contra, Day Book, BRS, Fixed Assets, Expenses, P&amp;L, BS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ACID double-entry general ledger, FIFO settlement allocation, statutory financial statements.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Product Create/Modify, View Stock, Brk/Exp Stock, Expiry Cockpit, Stock Shift, Replenishment</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Multi-godown inventory management, real-time shelf-life surveillance, and atomic stock shift reallocation.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Sales Bill, Challan, Purchase Bill, Credit Note, Debit Note, Brk Receive, Brk Issue, Orders, GRN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Complete 6 transaction voucher modules, fast counter billing, barcode scanning, and PO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Carrying &amp; Forwarding operations, 4-pillar commercial deal terms, carrier rate cards, and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Approval Inbox, Rule Designer, SLA Monitor, Audit Trail Explorer, Data Governance Console</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Maker-checker approval hierarchy, SHA-256 tamper-evident event stream, and statutory retention policies.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GSTR-1, GSTR-2, GSTR-3B, Finance Reports, E-Invoice Desk, Signed Ledger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Statutory GST returns, government offline JSON utility export, and digital invoice signing.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Bulletin, Settings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Multi-tenant tenant management, product brand assignment, company-wide circulars, and system settings.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Report Viewer, Custom Report Designer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Management analytics, drill-down company sales, and visual semantic report query designer.</w:t>
            </w:r>
          </w:p>
        </w:tc>
      </w:tr>
    </w:tbl>
    <w:p>
      <w:pPr>
        <w:spacing w:after="160"/>
      </w:pPr>
    </w:p>
    <w:p>
      <w:pPr>
        <w:keepNext/>
        <w:spacing w:before="280" w:after="120"/>
      </w:pPr>
      <w:r>
        <w:rPr>
          <w:rFonts w:ascii="Segoe UI" w:hAnsi="Segoe UI"/>
          <w:b/>
          <w:i w:val="0"/>
          <w:color w:val="2D6A4F"/>
          <w:sz w:val="27"/>
        </w:rPr>
        <w:t>29.2 Master UI Element &amp; Selector Directory Across All 35 Routes</w:t>
      </w:r>
    </w:p>
    <w:p>
      <w:pPr>
        <w:spacing w:before="0" w:after="120" w:line="276" w:lineRule="auto"/>
        <w:jc w:val="left"/>
      </w:pPr>
      <w:r>
        <w:rPr>
          <w:rFonts w:ascii="Segoe UI" w:hAnsi="Segoe UI"/>
          <w:b w:val="0"/>
          <w:i w:val="0"/>
          <w:color w:val="1E293B"/>
          <w:sz w:val="21"/>
        </w:rPr>
        <w:t>The following master reference catalog details the functional selectors, IDs, and hotkey bindings for software developers and quality assurance engineers: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Context</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UI Selector / Element ID</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Functionality &amp; Business Invariant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Marg-speed counter billing desk with sequential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logistics consignment Kanban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carrier contracts and freight rating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[Ctrl+3]</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Principal operations, custody stock, and claims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C&amp;F Commission Engine &amp; Client Billing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#hub-btn-admin-tracking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Enterprise Multi-Client Operations Radar.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Application exit confirmation dialog with Enter exit and Esc cancel.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Executes 1-click FIFO allocation across open customer invoices.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FIFO allocation across open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#btn-auto-balance-gl</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[Ctrl+B]</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Auto-calculates and inserts balancing Dr/Cr line.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#check-schedule-accrual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Schedules automatic 1st-of-month general ledger reversal.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 Desk (/finance/expenses)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#btn-post-expense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Posts direct cash/bank operational expense debiting P&amp;L immediately.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Bank Recon (/finance/bank-reconciliation)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#btn-cash-drawer-tally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RBI currency denomination counter and cash discrepancy report.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#btn-export-gstn-json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Offline Utility JSON file for gst.gov.in.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Traverses sequential SHA-256 hash blocks certifying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Slide-over before/after JSON diff comparison drawer.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Registers consignment with IATA volumetric CBM auto-calculation.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Master (/freight/contracts)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#tab-btn-sandbox</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[F4]</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Evaluates deterministic freight calculation with formula trace.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Desk (/principal)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Principal breakage/damage claim modal with [Esc] dismissal.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#tab-btn-client-billing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Client Management C&amp;F Commission &amp; Expense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#btn-autofetch-client-telemetry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Auto-Fetch pulling client turnover and depot operating expenses.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#check-dual-post-purchase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dual-posting into the client company inward purchase register.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#btn-generate-client-bill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creates outward service bill (CF-BILL-) and inward purchase bill (PUR-CF-).</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#select-tracking-scope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between Consolidated multi-client view and single-client isolation.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#tab-btn-scorecards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comparative client scorecards matrix with 1-click drilldown.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#card-main-stock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real-time Main Saleable Stock Value and Healthy Units 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#card-quarantine-stock</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Quarantined Stock Value and Segregated Units count in brk_exp_stock.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#card-near-expiry-risk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90-Day Near-Expiry Risk Valuation across 4 critical risk buckets.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#card-claim-exposure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active Principal Claims &amp; Debit Note exposure.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#tab-btn-radar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Expiry Radar table with alert pills and search filters.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#btn-shift-selected-action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Shifts chosen batches to quarantine and routes to /stock-shift.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#select-from-godown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Selects source godown (Main Saleable Godown).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#select-to-godown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Selects destination godown (Quarantine / Expiry Godown).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#check-auto-claim</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generation of official Principal Expiry Claim (CLM-PRN-).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#btn-save-shift-voucher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atomic stock shift reallocation and files debit note claim.</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#stock-shift-success-card</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generated voucher (SHF-2026-XXXX) and claim reference.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#card-qualifying-invoices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qualifying outbound consignments (≥ ₹50,000) and gross consignment value.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#card-pending-eway</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consignments pending Part B vehicle transport delivery slips.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#card-generated-irn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consignments verified with cryptographic IRN and digital QR codes.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#card-compliance-rate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live percentage statutory compliance progress bar.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#btn-open-transport-modal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Transporter &amp; Vehicle Assignment modal (#modal-transport-assignment).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#btn-export-nic-json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NIC Schema 1.1 Bulk Upload JSON 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#btn-confirm-generate-compliance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generation of 64-char IRN, 15-digit Ack No, 12-digit E-Way 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#btn-print-slip-dialog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Print trigger for official Government of India CBIC two-part delivery slip.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#tab-gstr2b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Activates GSTR-2B ITC Matching Engine workbench.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#metric-2b-total-itc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Total Inward ITC present in GSTR-2B statements.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#metric-2b-safe-itc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Safe &amp; Claimable ITC meeting Section 16(2)(aa) rules.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#metric-2b-at-risk-itc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At-Risk Blocked ITC missing in 2B or with tax mismatches.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#metric-2b-unclaimed-itc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Unclaimed Credit in 2B omitted in internal accounting ledgers.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#btn-tolerance-1 / 5 / 10</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3-tier differential matching tolerance switcher (±₹1, ±₹5, ±₹10).</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#btn-bulk-approve-itc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bulk approval of matched records for monthly GSTR-3B Table 4(A)(5).</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#modal-supplier-dunning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Section 16(2)(aa) notice generator with direct WhatsApp dispatch.</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#modal-ingest-portal-2b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Official Government GST Portal GSTR-2B JSON return statement ingestion.</w:t>
            </w:r>
          </w:p>
        </w:tc>
      </w:tr>
    </w:tbl>
    <w:p>
      <w:pPr>
        <w:spacing w:after="160"/>
      </w:pPr>
    </w:p>
    <w:p>
      <w:r>
        <w:br w:type="page"/>
      </w:r>
    </w:p>
    <w:p>
      <w:pPr>
        <w:keepNext/>
        <w:spacing w:before="360" w:after="160"/>
      </w:pPr>
      <w:r>
        <w:rPr>
          <w:rFonts w:ascii="Segoe UI" w:hAnsi="Segoe UI"/>
          <w:b/>
          <w:i w:val="0"/>
          <w:color w:val="1B4332"/>
          <w:sz w:val="36"/>
        </w:rPr>
        <w:t>Chapter 30: Statutory GST E-Way Bill &amp; E-Invoice (IRN) Generation Desk (DOC-42)</w:t>
      </w:r>
    </w:p>
    <w:p>
      <w:pPr>
        <w:keepNext/>
        <w:spacing w:before="280" w:after="120"/>
      </w:pPr>
      <w:r>
        <w:rPr>
          <w:rFonts w:ascii="Segoe UI" w:hAnsi="Segoe UI"/>
          <w:b/>
          <w:i w:val="0"/>
          <w:color w:val="2D6A4F"/>
          <w:sz w:val="27"/>
        </w:rPr>
        <w:t>30.1 Statutory Transit Mandates &amp; Regulatory Overview</w:t>
      </w:r>
    </w:p>
    <w:p>
      <w:pPr>
        <w:spacing w:before="0" w:after="120" w:line="276" w:lineRule="auto"/>
        <w:jc w:val="left"/>
      </w:pPr>
      <w:r>
        <w:rPr>
          <w:rFonts w:ascii="Segoe UI" w:hAnsi="Segoe UI"/>
          <w:b w:val="0"/>
          <w:i w:val="0"/>
          <w:color w:val="1E293B"/>
          <w:sz w:val="21"/>
        </w:rPr>
        <w:t>Under Rule 138 of the Central Goods and Services Tax (CGST) Rules, 2017 and Rule 48(4) statutory E-Invoicing mandates, all registered pharmaceutical distribution enterprises dispatching consignments with invoice valuations exceeding ₹50,000 (and all inter-state movements) must obtain statutory transit clearances prior to physical goods dispatch: a 64-character cryptographic Invoice Reference Number (IRN) certified by the Government Invoice Registration Portal (IRP), a signed digital QR code token, and a 12-digit Electronic Way Bill (E-Way Bill) comprising Part A (Consignment metadata) and Part B (Vehicle conveyance registration number, transport mode, and transporter identification).</w:t>
      </w:r>
    </w:p>
    <w:p>
      <w:pPr>
        <w:keepNext/>
        <w:spacing w:before="280" w:after="120"/>
      </w:pPr>
      <w:r>
        <w:rPr>
          <w:rFonts w:ascii="Segoe UI" w:hAnsi="Segoe UI"/>
          <w:b/>
          <w:i w:val="0"/>
          <w:color w:val="2D6A4F"/>
          <w:sz w:val="27"/>
        </w:rPr>
        <w:t>30.2 4-Pillar Compliance Generation &amp; Transport Conveyance Matrix</w:t>
      </w:r>
    </w:p>
    <w:p>
      <w:pPr>
        <w:spacing w:before="0" w:after="120" w:line="276" w:lineRule="auto"/>
        <w:jc w:val="left"/>
      </w:pPr>
      <w:r>
        <w:rPr>
          <w:rFonts w:ascii="Segoe UI" w:hAnsi="Segoe UI"/>
          <w:b w:val="0"/>
          <w:i w:val="0"/>
          <w:color w:val="1E293B"/>
          <w:sz w:val="21"/>
        </w:rPr>
        <w:t>The end-to-end statutory transit clearance engine operates across four integrated functional pillars: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Statutory Invariant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Real-Time Consignment Detection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Telemetry Scorecards\nRoute: /compliance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outbound B2B sales invoices with grand_total ≥ ₹50,000, calculating gross qualifying valuation, consignments pending Part B conveyance, generated IRNs, and live percentage statutory compliance progress bar.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Transporter &amp; Conveyance Assignment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Transport Modal (#modal-transport-assignment)\nHotkey: [F7]</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Captures commercial transporter profiles, vehicle registration number (e.g. DL-01-AB-1234), distance in KM with automatic CBIC validity calculation (1 day per 200 KM), transport mode (Road/Rail/Air/Ship), and vehicle type (Regular/ODC).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1-Click Cryptographic IRN &amp; EWB Engine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Generation Desk (POST /api/compliance/generate-eway-irn)\nAction: [Confirm &amp; Generate]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computes 64-char SHA-256 IRN hash, 15-digit Ack No, 12-digit E-Way Bill No (starting with 24), signed digital QR code string, sets models.EinvoiceEwayLog to SUCCESS, and updates invoice compliance status.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CBIC Slips &amp; NIC Schema 1.1 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Printable Slip Modal &amp; JSON Center\nHotkey: [F8]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Generates official Government of India CBIC two-part delivery slips (Part A &amp; Part B) with high-contrast signed digital QR code for driver handover, and exports official NIC Schema 1.1 bulk JSON payloads for direct upload to einvoice1.gst.gov.in.</w:t>
            </w:r>
          </w:p>
        </w:tc>
      </w:tr>
    </w:tbl>
    <w:p>
      <w:pPr>
        <w:spacing w:after="160"/>
      </w:pPr>
    </w:p>
    <w:p>
      <w:pPr>
        <w:keepNext/>
        <w:spacing w:before="280" w:after="120"/>
      </w:pPr>
      <w:r>
        <w:rPr>
          <w:rFonts w:ascii="Segoe UI" w:hAnsi="Segoe UI"/>
          <w:b/>
          <w:i w:val="0"/>
          <w:color w:val="2D6A4F"/>
          <w:sz w:val="27"/>
        </w:rPr>
        <w:t>30.3 Visual Photographic Evidence: Transporter Modal, Cockpit &amp; CBIC Slips</w:t>
      </w:r>
    </w:p>
    <w:p>
      <w:pPr>
        <w:spacing w:before="0" w:after="120" w:line="276" w:lineRule="auto"/>
        <w:jc w:val="left"/>
      </w:pPr>
      <w:r>
        <w:rPr>
          <w:rFonts w:ascii="Segoe UI" w:hAnsi="Segoe UI"/>
          <w:b w:val="0"/>
          <w:i w:val="0"/>
          <w:color w:val="1E293B"/>
          <w:sz w:val="21"/>
        </w:rPr>
        <w:t>The automated Selenium test suite (test_gst_einvoice_eway_selenium.py) verifies all 13 stages with 100% Exit Code 0:</w:t>
      </w:r>
    </w:p>
    <w:p>
      <w:r>
        <w:br w:type="page"/>
      </w:r>
    </w:p>
    <w:p>
      <w:pPr>
        <w:keepNext/>
        <w:spacing w:before="360" w:after="160"/>
      </w:pPr>
      <w:r>
        <w:rPr>
          <w:rFonts w:ascii="Segoe UI" w:hAnsi="Segoe UI"/>
          <w:b/>
          <w:i w:val="0"/>
          <w:color w:val="1B4332"/>
          <w:sz w:val="36"/>
        </w:rPr>
        <w:t>Chapter 31: Statutory Multi-State GSTR-1, GSTR-2B &amp; GSTR-3B Reconciliation Cockpit with Section 16(2)(aa) 2B ITC Matching Engine (DOC-43)</w:t>
      </w:r>
    </w:p>
    <w:p>
      <w:pPr>
        <w:keepNext/>
        <w:spacing w:before="280" w:after="120"/>
      </w:pPr>
      <w:r>
        <w:rPr>
          <w:rFonts w:ascii="Segoe UI" w:hAnsi="Segoe UI"/>
          <w:b/>
          <w:i w:val="0"/>
          <w:color w:val="2D6A4F"/>
          <w:sz w:val="27"/>
        </w:rPr>
        <w:t>31.1 Legislative Framework: Section 16(2)(aa) &amp; Rule 37A ITC Compliance</w:t>
      </w:r>
    </w:p>
    <w:p>
      <w:pPr>
        <w:spacing w:before="0" w:after="120" w:line="276" w:lineRule="auto"/>
        <w:jc w:val="left"/>
      </w:pPr>
      <w:r>
        <w:rPr>
          <w:rFonts w:ascii="Segoe UI" w:hAnsi="Segoe UI"/>
          <w:b w:val="0"/>
          <w:i w:val="0"/>
          <w:color w:val="1E293B"/>
          <w:sz w:val="21"/>
        </w:rPr>
        <w:t>Under Section 16(2)(aa) of the Central Goods and Services Tax (CGST) Act, 2017 (notified w.e.f. 1 January 2022), registered businesses are strictly prohibited from availing Input Tax Credit (ITC) in their monthly GSTR-3B returns unless the underlying invoice has been furnished by the supplier in their outward statement (Form GSTR-1 or Invoice Furnishing Facility - IFF) and communicated to the recipient in auto-drafted Form GSTR-2B. Availing credit without GSTR-2B reflection triggers automated Form GST DRC-01B disparity notices, mandatory 18% per annum interest, and statutory credit reversals under Rule 37A.</w:t>
      </w:r>
    </w:p>
    <w:p>
      <w:pPr>
        <w:keepNext/>
        <w:spacing w:before="280" w:after="120"/>
      </w:pPr>
      <w:r>
        <w:rPr>
          <w:rFonts w:ascii="Segoe UI" w:hAnsi="Segoe UI"/>
          <w:b/>
          <w:i w:val="0"/>
          <w:color w:val="2D6A4F"/>
          <w:sz w:val="27"/>
        </w:rPr>
        <w:t>31.2 4-Way Matching Matrix &amp; Tolerance Differential Engine</w:t>
      </w:r>
    </w:p>
    <w:p>
      <w:pPr>
        <w:spacing w:before="0" w:after="120" w:line="276" w:lineRule="auto"/>
        <w:jc w:val="left"/>
      </w:pPr>
      <w:r>
        <w:rPr>
          <w:rFonts w:ascii="Segoe UI" w:hAnsi="Segoe UI"/>
          <w:b w:val="0"/>
          <w:i w:val="0"/>
          <w:color w:val="1E293B"/>
          <w:sz w:val="21"/>
        </w:rPr>
        <w:t>The reconciliation engine correlates internal purchase vouchers against portal GSTR-2B records across a dual-ledger side-by-side table, applying fuzzy/exact invoice number normalization (stripping special characters and leading zeros) and 3-tier differential tolerance (±₹1, ±₹5, ±₹10):</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Reconciliation Category</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Status &amp; Audit Criteria</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Operational &amp; Compliance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MATCHED (Safe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Invoice present in both Books &amp; GSTR-2B with Tax Variance &lt;= Tolerance (e.g. +-Rs.10).</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Auto-cleared under Section 16(2)(aa). Operators execute 1-Click Bulk Approval (#btn-bulk-approve-itc) to unlock credit for monthly GSTR-3B Table 4(A)(5) availing.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TAX MISMATCH</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present in both ledgers, but tax discrepancy exceeds configured tolerance.</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orange warning displayed with exact rupee tax and taxable differential. Operators issue vendor debit notes or request invoice amendments.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MISSING IN 2B (At-Risk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Purchase voucher recorded in ERP internal books, but absent from Government GST Portal GSTR-2B statement.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Credit is legally blocked. Operators launch Supplier Dunning Modal (#modal-supplier-dunning) to dispatch Section 16(2)(aa) statutory notice via direct WhatsApp API.</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MISSING IN BOOKS (Unclaimed Credit)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auto-drafted on GSTR-2B portal, but unrecorded in internal accounting purchase ledgers.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Represents genuine unclaimed ITC. Operators click 'Book Inward' (#btn-force-row-{idx}) to generate inward purchase vouchers without manual re-keying.</w:t>
            </w:r>
          </w:p>
        </w:tc>
      </w:tr>
    </w:tbl>
    <w:p>
      <w:pPr>
        <w:spacing w:after="160"/>
      </w:pPr>
    </w:p>
    <w:p>
      <w:pPr>
        <w:keepNext/>
        <w:spacing w:before="280" w:after="120"/>
      </w:pPr>
      <w:r>
        <w:rPr>
          <w:rFonts w:ascii="Segoe UI" w:hAnsi="Segoe UI"/>
          <w:b/>
          <w:i w:val="0"/>
          <w:color w:val="2D6A4F"/>
          <w:sz w:val="27"/>
        </w:rPr>
        <w:t>31.3 Visual Photographic Evidence: Scorecards, Dunning Modal, Ingest &amp; Workbench</w:t>
      </w:r>
    </w:p>
    <w:p>
      <w:pPr>
        <w:spacing w:before="0" w:after="120" w:line="276" w:lineRule="auto"/>
        <w:jc w:val="left"/>
      </w:pPr>
      <w:r>
        <w:rPr>
          <w:rFonts w:ascii="Segoe UI" w:hAnsi="Segoe UI"/>
          <w:b w:val="0"/>
          <w:i w:val="0"/>
          <w:color w:val="1E293B"/>
          <w:sz w:val="21"/>
        </w:rPr>
        <w:t>The automated Selenium test suite (test_gstr2b_reconciliation_selenium.py) verifies all 13 stages with 100% Exit Code 0:</w:t>
      </w:r>
    </w:p>
    <w:p>
      <w:r>
        <w:br w:type="page"/>
      </w:r>
    </w:p>
    <w:p>
      <w:pPr>
        <w:keepNext/>
        <w:spacing w:before="360" w:after="160"/>
      </w:pPr>
      <w:r>
        <w:rPr>
          <w:rFonts w:ascii="Segoe UI" w:hAnsi="Segoe UI"/>
          <w:b/>
          <w:i w:val="0"/>
          <w:color w:val="1B4332"/>
          <w:sz w:val="36"/>
        </w:rPr>
        <w:t>Chapter 32: Enterprise Cloud Authentication, Multi-Tenant Session Recovery &amp; Production Client Onboarding Desk (DOC-44)</w:t>
      </w:r>
    </w:p>
    <w:p>
      <w:pPr>
        <w:keepNext/>
        <w:spacing w:before="280" w:after="120"/>
      </w:pPr>
      <w:r>
        <w:rPr>
          <w:rFonts w:ascii="Segoe UI" w:hAnsi="Segoe UI"/>
          <w:b/>
          <w:i w:val="0"/>
          <w:color w:val="2D6A4F"/>
          <w:sz w:val="27"/>
        </w:rPr>
        <w:t>32.1 Architectural Overview &amp; Root-Cause Diagnosis</w:t>
      </w:r>
    </w:p>
    <w:p>
      <w:pPr>
        <w:spacing w:before="0" w:after="120" w:line="276" w:lineRule="auto"/>
        <w:jc w:val="left"/>
      </w:pPr>
      <w:r>
        <w:rPr>
          <w:rFonts w:ascii="Segoe UI" w:hAnsi="Segoe UI"/>
          <w:b w:val="0"/>
          <w:i w:val="0"/>
          <w:color w:val="1E293B"/>
          <w:sz w:val="21"/>
        </w:rPr>
        <w:t>In enterprise multi-tenant cloud deployments, secure authentication bridges the client Single Page Application (hosted on the Vercel Edge Network at https://erp-rho-three.vercel.app) and the high-concurrency FastAPI core service (hosted on Render at https://erp-backend-liaw.onrender.com), backed by Neon Serverless PostgreSQL. During production operations, client registration and administrative tenant onboarding require cryptographically verified JWT bearer tokens with active database sessions.</w:t>
      </w:r>
    </w:p>
    <w:p>
      <w:pPr>
        <w:spacing w:before="0" w:after="120" w:line="276" w:lineRule="auto"/>
        <w:jc w:val="left"/>
      </w:pPr>
      <w:r>
        <w:rPr>
          <w:rFonts w:ascii="Segoe UI" w:hAnsi="Segoe UI"/>
          <w:b w:val="0"/>
          <w:i w:val="0"/>
          <w:color w:val="1E293B"/>
          <w:sz w:val="21"/>
        </w:rPr>
        <w:t>A critical regression was identified during live Vercel operations: the '1-Click Demo Access' shortcut previously assigned a client-side mock string ('demo-preview-jwt-token') in browser localStorage. While adequate for offline navigational simulation, this synthetic string lacked a corresponding cryptographic session in PostgreSQL. Consequently, attempting to register new client companies via POST /api/organizations/register resulted in HTTP 401 Unauthorized errors from the live cloud backend.</w:t>
      </w:r>
    </w:p>
    <w:p>
      <w:pPr>
        <w:keepNext/>
        <w:spacing w:before="280" w:after="120"/>
      </w:pPr>
      <w:r>
        <w:rPr>
          <w:rFonts w:ascii="Segoe UI" w:hAnsi="Segoe UI"/>
          <w:b/>
          <w:i w:val="0"/>
          <w:color w:val="2D6A4F"/>
          <w:sz w:val="27"/>
        </w:rPr>
        <w:t>32.2 Dual-Layered Architectural Resolution: Live JWT Acquisition &amp; Session Self-Healing</w:t>
      </w:r>
    </w:p>
    <w:p>
      <w:pPr>
        <w:spacing w:before="0" w:after="120" w:line="276" w:lineRule="auto"/>
        <w:jc w:val="left"/>
      </w:pPr>
      <w:r>
        <w:rPr>
          <w:rFonts w:ascii="Segoe UI" w:hAnsi="Segoe UI"/>
          <w:b w:val="0"/>
          <w:i w:val="0"/>
          <w:color w:val="1E293B"/>
          <w:sz w:val="21"/>
        </w:rPr>
        <w:t>To achieve 100% production resilience without compromising the rapid 1-click evaluation workflow, a dual-layered architectural solution was implemented:</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Layer / Subsystem</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Technical Implementation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Operational Benefit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Live Cloud Demo Authentication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handleDemoLogin() upgraded to execute an asynchronous REST call to POST /api/auth/token against the live Render gateway using verified cloud credentials ('AM-0001' / 'admin' / 'Admin@123'). On success, an authentic 8-hour JWT Bearer token and full tenant profile are committed to localStorage.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Eliminates mock tokens entirely during live cloud sessions; enables instant access to production features while preserving full database authorization.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Transparent Session Self-Healing (RegisterClientModal &amp; ClientManagement)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Embedded proactive session guard (ensureLiveCloudAuthSession) that inspects the active token prior to modal launch and payload submission. If a legacy mock token is detected, it automatically exchanges credentials for a fresh cloud JWT without interrupting user workflow.</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Zero operational friction for operators; protects onboarding workflows against stale tokens, session timeouts, and cold-start authentication lapses.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1-Click Credential Quick-Fill Presets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Rendered interactive quick-fill chips on the login card: '#btn-quick-fill-admin' (pre-populating AM-0001 / admin / Admin@123) and '#btn-quick-fill-client' (pre-populating CM-0001 / manager / Pass@123).</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Permits instant manual credential verification and automated Selenium UI test targeting with zero keyboard typing overhead.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Pydantic Validation &amp; Normalization (backend/routers/organizations.py)</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Normalized organization code extraction, added default boolean fallback for is_admin_company: bool = False in schema models, and extended Axios network timeout from 30s to 60s in src/lib/api.ts to absorb Render cold-starts.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Prevents schema parsing exceptions and handles cloud container spin-up delays gracefully.</w:t>
            </w:r>
          </w:p>
        </w:tc>
      </w:tr>
    </w:tbl>
    <w:p>
      <w:pPr>
        <w:spacing w:after="160"/>
      </w:pPr>
    </w:p>
    <w:p>
      <w:pPr>
        <w:keepNext/>
        <w:spacing w:before="280" w:after="120"/>
      </w:pPr>
      <w:r>
        <w:rPr>
          <w:rFonts w:ascii="Segoe UI" w:hAnsi="Segoe UI"/>
          <w:b/>
          <w:i w:val="0"/>
          <w:color w:val="2D6A4F"/>
          <w:sz w:val="27"/>
        </w:rPr>
        <w:t>32.3 Multi-Tenant Client Registration Modal &amp; DOM Inventory</w:t>
      </w:r>
    </w:p>
    <w:p>
      <w:pPr>
        <w:spacing w:before="0" w:after="120" w:line="276" w:lineRule="auto"/>
        <w:jc w:val="left"/>
      </w:pPr>
      <w:r>
        <w:rPr>
          <w:rFonts w:ascii="Segoe UI" w:hAnsi="Segoe UI"/>
          <w:b w:val="0"/>
          <w:i w:val="0"/>
          <w:color w:val="1E293B"/>
          <w:sz w:val="21"/>
        </w:rPr>
        <w:t>The Client Management console (/admin/clients) provides enterprise administrators with complete lifecycle control over tenant organizations. The registration drawer (#btn-register-new-client) presents an exhaustive input specification backed by unique semantic DOM identifiers: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Element Type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Field Label / Role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Validation &amp; Business Logic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#btn-register-new-client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Register Client Trigger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initializes auto-generated tenant code, and verifies cloud session.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#input-client-org-name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Organization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Legal corporate or pharmacy entity name; minimum 3 characters.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#input-client-org-code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Organization Code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Unique 4-10 character tenant prefix (e.g. 'AMC-F5BA'); auto-uppercased.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Full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Primary tenant administrator full name; auto-creates user record.</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#input-client-admin-username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Admin Username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System login handle for tenant administrator; checked for global uniqueness.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#input-client-admin-password</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(password)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Password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Initial login secret; minimum 6 characters with secure masking.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#btn-submit-register-client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Submit Registration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Dispatches POST /api/organizations/register with active JWT Bearer header.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#btn-quick-fill-admin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Preset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Quick-fills Head Office credentials on Login screen.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#btn-quick-fill-client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Client Preset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Quick-fills Branch Client credentials on Login screen.</w:t>
            </w:r>
          </w:p>
        </w:tc>
      </w:tr>
    </w:tbl>
    <w:p>
      <w:pPr>
        <w:spacing w:after="160"/>
      </w:pPr>
    </w:p>
    <w:p>
      <w:pPr>
        <w:keepNext/>
        <w:spacing w:before="280" w:after="120"/>
      </w:pPr>
      <w:r>
        <w:rPr>
          <w:rFonts w:ascii="Segoe UI" w:hAnsi="Segoe UI"/>
          <w:b/>
          <w:i w:val="0"/>
          <w:color w:val="2D6A4F"/>
          <w:sz w:val="27"/>
        </w:rPr>
        <w:t>32.4 Automated Selenium Verification Suite &amp; Live Production Evidence</w:t>
      </w:r>
    </w:p>
    <w:p>
      <w:pPr>
        <w:spacing w:before="0" w:after="120" w:line="276" w:lineRule="auto"/>
        <w:jc w:val="left"/>
      </w:pPr>
      <w:r>
        <w:rPr>
          <w:rFonts w:ascii="Segoe UI" w:hAnsi="Segoe UI"/>
          <w:b w:val="0"/>
          <w:i w:val="0"/>
          <w:color w:val="1E293B"/>
          <w:sz w:val="21"/>
        </w:rPr>
        <w:t>Verification of the cloud client registration and authentication pipeline is fully automated via verify_live_vercel_client_creation.py (Suite 19). The test executes against the live production environment (https://erp-rho-three.vercel.app), validating login presets, session acquisition, modal invocation, dynamic client generation, and database grid rendering:</w:t>
      </w:r>
    </w:p>
    <w:p>
      <w:pPr>
        <w:spacing w:before="160" w:after="40"/>
        <w:jc w:val="center"/>
      </w:pPr>
      <w:r>
        <w:drawing>
          <wp:inline xmlns:a="http://schemas.openxmlformats.org/drawingml/2006/main" xmlns:pic="http://schemas.openxmlformats.org/drawingml/2006/picture">
            <wp:extent cx="5669280" cy="3218087"/>
            <wp:docPr id="38" name="Picture 38"/>
            <wp:cNvGraphicFramePr>
              <a:graphicFrameLocks noChangeAspect="1"/>
            </wp:cNvGraphicFramePr>
            <a:graphic>
              <a:graphicData uri="http://schemas.openxmlformats.org/drawingml/2006/picture">
                <pic:pic>
                  <pic:nvPicPr>
                    <pic:cNvPr id="0" name="verified_live_vercel_login_chips.png"/>
                    <pic:cNvPicPr/>
                  </pic:nvPicPr>
                  <pic:blipFill>
                    <a:blip r:embed="rId4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32.1: Production Login Screen on Vercel (https://erp-rho-three.vercel.app) displaying 1-Click Credential Quick-Fill Presets (#btn-quick-fill-admin and #btn-quick-fill-client) and Live Asynchronous Demo Access button.</w:t>
      </w:r>
    </w:p>
    <w:p>
      <w:pPr>
        <w:spacing w:before="160" w:after="40"/>
        <w:jc w:val="center"/>
      </w:pPr>
      <w:r>
        <w:drawing>
          <wp:inline xmlns:a="http://schemas.openxmlformats.org/drawingml/2006/main" xmlns:pic="http://schemas.openxmlformats.org/drawingml/2006/picture">
            <wp:extent cx="5669280" cy="3218087"/>
            <wp:docPr id="39" name="Picture 39"/>
            <wp:cNvGraphicFramePr>
              <a:graphicFrameLocks noChangeAspect="1"/>
            </wp:cNvGraphicFramePr>
            <a:graphic>
              <a:graphicData uri="http://schemas.openxmlformats.org/drawingml/2006/picture">
                <pic:pic>
                  <pic:nvPicPr>
                    <pic:cNvPr id="0" name="verified_live_vercel_client_registered.png"/>
                    <pic:cNvPicPr/>
                  </pic:nvPicPr>
                  <pic:blipFill>
                    <a:blip r:embed="rId4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32.2: Live Client Registration Modal (#btn-register-new-client) populated with dynamic tenant metadata (Apex MedCorp F5BA / AMC-F5BA) and administrator credentials, submitting to live Render FastAPI gateway.</w:t>
      </w:r>
    </w:p>
    <w:p>
      <w:pPr>
        <w:spacing w:before="160" w:after="40"/>
        <w:jc w:val="center"/>
      </w:pPr>
      <w:r>
        <w:drawing>
          <wp:inline xmlns:a="http://schemas.openxmlformats.org/drawingml/2006/main" xmlns:pic="http://schemas.openxmlformats.org/drawingml/2006/picture">
            <wp:extent cx="5669280" cy="3218087"/>
            <wp:docPr id="40" name="Picture 40"/>
            <wp:cNvGraphicFramePr>
              <a:graphicFrameLocks noChangeAspect="1"/>
            </wp:cNvGraphicFramePr>
            <a:graphic>
              <a:graphicData uri="http://schemas.openxmlformats.org/drawingml/2006/picture">
                <pic:pic>
                  <pic:nvPicPr>
                    <pic:cNvPr id="0" name="verified_live_vercel_clients_grid.png"/>
                    <pic:cNvPicPr/>
                  </pic:nvPicPr>
                  <pic:blipFill>
                    <a:blip r:embed="rId48"/>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32.3: Live Neon PostgreSQL Multi-Tenant Client Directory Grid (/admin/clients) displaying the newly created client 'Apex MedCorp F5BA (AMC-F5BA)' in Active status with tenant impersonation and operations controls.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