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p>
      <w:pPr>
        <w:keepNext/>
        <w:spacing w:before="360" w:after="160"/>
      </w:pPr>
      <w:r>
        <w:rPr>
          <w:rFonts w:ascii="Segoe UI" w:hAnsi="Segoe UI"/>
          <w:b/>
          <w:i w:val="0"/>
          <w:color w:val="1B4332"/>
          <w:sz w:val="36"/>
        </w:rPr>
        <w:t>16. Universal Escape Key Navigation &amp; Application Lifecycle Architecture</w:t>
      </w:r>
    </w:p>
    <w:p>
      <w:pPr>
        <w:spacing w:before="0" w:after="120" w:line="276" w:lineRule="auto"/>
        <w:jc w:val="left"/>
      </w:pPr>
      <w:r>
        <w:rPr>
          <w:rFonts w:ascii="Segoe UI" w:hAnsi="Segoe UI"/>
          <w:b w:val="0"/>
          <w:i w:val="0"/>
          <w:color w:val="1E293B"/>
          <w:sz w:val="21"/>
        </w:rPr>
        <w:t>The ERP implements a hierarchical, multi-level [Esc] key lifecycle designed to provide high-speed keyboard operators with seamless backward navigation, instantaneous modal dismissal, and graceful application termination: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ESCAPE LIFECYCLE RULE: </w:t>
            </w:r>
            <w:r>
              <w:rPr>
                <w:rFonts w:ascii="Segoe UI" w:hAnsi="Segoe UI"/>
                <w:b w:val="0"/>
                <w:i w:val="0"/>
                <w:color w:val="1E293B"/>
                <w:sz w:val="19"/>
              </w:rPr>
              <w:t>Hierarchical Escape Handling Architecture:</w:t>
              <w:br/>
              <w:t>- Level 1 (Topmost Modal / Drawer): Pressing [Esc] dismisses active slide-over inspection drawers (Consignment Drawer, Audit Diff Drawer), batch/party modals ([F3]/[F7]), or discount/settlement popups ([End]) without triggering any route change.</w:t>
              <w:br/>
              <w:t>- Level 2 (Sub-Page Navigation): On any dedicated transaction or financial screen (/sales, /purchase, /cargo, /audit, /receipt, /payment), pressing [Esc] safely exits the module and returns the operator to the Home Counter Workbench (HomeScreen at '/').</w:t>
              <w:br/>
              <w:t>- Level 3 (Home Screen Exit Modal): On the Counter Workbench (/), pressing [Esc] invokes the high-contrast Application Exit Modal (#modal-exit-app). Pressing [Enter] or clicking 'Exit Application' closes the window (or redirects to /login), while pressing [Esc] or clicking 'Cancel [Esc]' returns focus immediately to counter operations.</w:t>
            </w:r>
          </w:p>
        </w:tc>
      </w:tr>
    </w:tbl>
    <w:p>
      <w:pPr>
        <w:spacing w:after="80"/>
      </w:pPr>
    </w:p>
    <w:p>
      <w:pPr>
        <w:keepNext/>
        <w:spacing w:before="280" w:after="120"/>
      </w:pPr>
      <w:r>
        <w:rPr>
          <w:rFonts w:ascii="Segoe UI" w:hAnsi="Segoe UI"/>
          <w:b/>
          <w:i w:val="0"/>
          <w:color w:val="2D6A4F"/>
          <w:sz w:val="27"/>
        </w:rPr>
        <w:t>16.1 Workflows Header Dropdown &amp; Quick Actions</w:t>
      </w:r>
    </w:p>
    <w:p>
      <w:pPr>
        <w:spacing w:before="0" w:after="120" w:line="276" w:lineRule="auto"/>
        <w:jc w:val="left"/>
      </w:pPr>
      <w:r>
        <w:rPr>
          <w:rFonts w:ascii="Segoe UI" w:hAnsi="Segoe UI"/>
          <w:b w:val="0"/>
          <w:i w:val="0"/>
          <w:color w:val="1E293B"/>
          <w:sz w:val="21"/>
        </w:rPr>
        <w:t>The primary application header features a unified 'Workflows [F4]' dropdown grouping all operational and logistics pipelines: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Workflow Action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Route / 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Capability &amp; Role Authorization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Approvals Inbox</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/workflow/inbox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Multi-tier approval queue with SLA countdowns, 1-click Approve/Reject, and Maker-Checker 403 enforcement.</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No-Code Workflow Designer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/workflow/designer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builder for threshold rules, approval stages, roles, SLAs, and sandbox amount simulator.</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Real-Time SLA Monitor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/workflow/monitor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Enterprise TAT benchmarks, SLA adherence rate (94.2%), bottleneck analysis, and SHA-256 idempotency locks.</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Cargo Consignment 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 ([Ctrl+1])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Kanban tracking, alphanumeric series continuation (CN-YYYY-XXXX), and volumetric CBM package calculation.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Cargo Costs Allocation Center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/cargo/costs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Admin-borne vs Client-borne logistics cost bifurcation with combined multi-client reporting toggle.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POD &amp; Exceptions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/cargo/pod-exceptions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Four-eyes physical delivery sign-off, shortage/damage logging, and transit claims resolution.</w:t>
            </w:r>
          </w:p>
        </w:tc>
      </w:tr>
    </w:tbl>
    <w:p>
      <w:pPr>
        <w:spacing w:after="160"/>
      </w:pPr>
    </w:p>
    <w:p>
      <w:pPr>
        <w:keepNext/>
        <w:spacing w:before="360" w:after="160"/>
      </w:pPr>
      <w:r>
        <w:rPr>
          <w:rFonts w:ascii="Segoe UI" w:hAnsi="Segoe UI"/>
          <w:b/>
          <w:i w:val="0"/>
          <w:color w:val="1B4332"/>
          <w:sz w:val="36"/>
        </w:rPr>
        <w:t>17. Customer Receipt &amp; Supplier Payment Luxury Architecture</w:t>
      </w:r>
    </w:p>
    <w:p>
      <w:pPr>
        <w:spacing w:before="0" w:after="120" w:line="276" w:lineRule="auto"/>
        <w:jc w:val="left"/>
      </w:pPr>
      <w:r>
        <w:rPr>
          <w:rFonts w:ascii="Segoe UI" w:hAnsi="Segoe UI"/>
          <w:b w:val="0"/>
          <w:i w:val="0"/>
          <w:color w:val="1E293B"/>
          <w:sz w:val="21"/>
        </w:rPr>
        <w:t>The Receipt (/receipt) and Payment (/payment) voucher modules have been overhauled with a high-density Marg-inspired luxury green interface, delivering real-time telemetry, party lookup modals, FIFO bill-by-bill allocation, and sequential series continuation:</w:t>
      </w:r>
    </w:p>
    <w:p>
      <w:pPr>
        <w:keepNext/>
        <w:spacing w:before="280" w:after="120"/>
      </w:pPr>
      <w:r>
        <w:rPr>
          <w:rFonts w:ascii="Segoe UI" w:hAnsi="Segoe UI"/>
          <w:b/>
          <w:i w:val="0"/>
          <w:color w:val="2D6A4F"/>
          <w:sz w:val="27"/>
        </w:rPr>
        <w:t>17.1 3-Card Financial Telemetry Strip</w:t>
      </w:r>
    </w:p>
    <w:p>
      <w:pPr>
        <w:spacing w:before="0" w:after="120" w:line="276" w:lineRule="auto"/>
        <w:jc w:val="left"/>
      </w:pPr>
      <w:r>
        <w:rPr>
          <w:rFonts w:ascii="Segoe UI" w:hAnsi="Segoe UI"/>
          <w:b w:val="0"/>
          <w:i w:val="0"/>
          <w:color w:val="1E293B"/>
          <w:sz w:val="21"/>
        </w:rPr>
        <w:t>Immediately above the voucher entry form, a responsive 3-card telemetry strip provides live financial situational awareness: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Telemetry Card</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DOM Selector</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Metric &amp; Financial Context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Active Ledger Balance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#kpi-active-balance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real-time outstanding balance of the selected customer (Debtor Dr) or supplier (Creditor Cr). Updates dynamically upon party selection.</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Total Settlement Allocation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#kpi-total-allocated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Live running sum of all amounts allocated across unpaid bills in the settlement grid. Displays exact match status against voucher amount.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Unallocated Floating Credit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#kpi-unallocated-credit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Calculates difference between entered voucher amount and total allocated bills. Any positive balance automatically records as on-account advance credit.</w:t>
            </w:r>
          </w:p>
        </w:tc>
      </w:tr>
    </w:tbl>
    <w:p>
      <w:pPr>
        <w:spacing w:after="160"/>
      </w:pPr>
    </w:p>
    <w:p>
      <w:pPr>
        <w:keepNext/>
        <w:spacing w:before="280" w:after="120"/>
      </w:pPr>
      <w:r>
        <w:rPr>
          <w:rFonts w:ascii="Segoe UI" w:hAnsi="Segoe UI"/>
          <w:b/>
          <w:i w:val="0"/>
          <w:color w:val="2D6A4F"/>
          <w:sz w:val="27"/>
        </w:rPr>
        <w:t>17.2 Party Lookup Modal &amp; Keyboard Operations</w:t>
      </w:r>
    </w:p>
    <w:p>
      <w:pPr>
        <w:spacing w:before="0" w:after="120" w:line="276" w:lineRule="auto"/>
        <w:jc w:val="left"/>
      </w:pPr>
      <w:r>
        <w:rPr>
          <w:rFonts w:ascii="Segoe UI" w:hAnsi="Segoe UI"/>
          <w:b w:val="0"/>
          <w:i w:val="0"/>
          <w:color w:val="1E293B"/>
          <w:sz w:val="21"/>
        </w:rPr>
        <w:t>Pressing [F7] or clicking the party search button opens the modal dialog (#modal-party-picker) featuring real-time debounce search across ledgers, outstanding balances, drug licenses, and contact numbers. Operators navigate via [ArrowUp] / [ArrowDown] and commit selection with [Enter].</w:t>
      </w:r>
    </w:p>
    <w:p>
      <w:pPr>
        <w:keepNext/>
        <w:spacing w:before="280" w:after="120"/>
      </w:pPr>
      <w:r>
        <w:rPr>
          <w:rFonts w:ascii="Segoe UI" w:hAnsi="Segoe UI"/>
          <w:b/>
          <w:i w:val="0"/>
          <w:color w:val="2D6A4F"/>
          <w:sz w:val="27"/>
        </w:rPr>
        <w:t>17.3 Bill-by-Bill FIFO Allocation Engine (DOC-07)</w:t>
      </w:r>
    </w:p>
    <w:p>
      <w:pPr>
        <w:spacing w:before="0" w:after="120" w:line="276" w:lineRule="auto"/>
        <w:jc w:val="left"/>
      </w:pPr>
      <w:r>
        <w:rPr>
          <w:rFonts w:ascii="Segoe UI" w:hAnsi="Segoe UI"/>
          <w:b w:val="0"/>
          <w:i w:val="0"/>
          <w:color w:val="1E293B"/>
          <w:sz w:val="21"/>
        </w:rPr>
        <w:t>When a party with unpaid invoices is selected, the system fetches all pending invoices via /api/sales/invoices/by-customer/{id} or /api/sales/invoices/by-supplier/{id}:</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ALLOCATION &amp; CONTINUATION ENGINE: </w:t>
            </w:r>
            <w:r>
              <w:rPr>
                <w:rFonts w:ascii="Segoe UI" w:hAnsi="Segoe UI"/>
                <w:b w:val="0"/>
                <w:i w:val="0"/>
                <w:color w:val="1E293B"/>
                <w:sz w:val="19"/>
              </w:rPr>
              <w:t>- 1-Click FIFO Auto-Allocation ([Alt+A]): Pressing [Alt+A] or clicking 'Auto-Allocate (FIFO)' runs a deterministic chronological allocation algorithm that settles oldest overdue invoices first.</w:t>
              <w:br/>
              <w:t>- Manual Grid Adjustment: Operators can navigate into each bill row to specify exact allocation amounts, partial payments, or full settlements.</w:t>
              <w:br/>
              <w:t>- Marg Alphanumeric Series Continuation: Receipt numbers increment sequentially (e.g. REC-2026-0001 -&gt; REC-2026-0002) and Payment numbers increment sequentially (PAY-2026-0001 -&gt; PAY-2026-0002), preserving user custom series overrides across sessions.</w:t>
            </w:r>
          </w:p>
        </w:tc>
      </w:tr>
    </w:tbl>
    <w:p>
      <w:pPr>
        <w:spacing w:after="80"/>
      </w:pPr>
    </w:p>
    <w:p>
      <w:pPr>
        <w:keepNext/>
        <w:spacing w:before="360" w:after="160"/>
      </w:pPr>
      <w:r>
        <w:rPr>
          <w:rFonts w:ascii="Segoe UI" w:hAnsi="Segoe UI"/>
          <w:b/>
          <w:i w:val="0"/>
          <w:color w:val="1B4332"/>
          <w:sz w:val="36"/>
        </w:rPr>
        <w:t>18. Cryptographic SHA-256 Audit Trail Explorer &amp; Data Governance Console</w:t>
      </w:r>
    </w:p>
    <w:p>
      <w:pPr>
        <w:spacing w:before="0" w:after="120" w:line="276" w:lineRule="auto"/>
        <w:jc w:val="left"/>
      </w:pPr>
      <w:r>
        <w:rPr>
          <w:rFonts w:ascii="Segoe UI" w:hAnsi="Segoe UI"/>
          <w:b w:val="0"/>
          <w:i w:val="0"/>
          <w:color w:val="1E293B"/>
          <w:sz w:val="21"/>
        </w:rPr>
        <w:t>The compliance architecture provides statutory audit logging satisfying Ministry of Corporate Affairs (MCA) Audit Trail mandates and US FDA 21 CFR Part 11 requirements:</w:t>
      </w:r>
    </w:p>
    <w:p>
      <w:pPr>
        <w:keepNext/>
        <w:spacing w:before="280" w:after="120"/>
      </w:pPr>
      <w:r>
        <w:rPr>
          <w:rFonts w:ascii="Segoe UI" w:hAnsi="Segoe UI"/>
          <w:b/>
          <w:i w:val="0"/>
          <w:color w:val="2D6A4F"/>
          <w:sz w:val="27"/>
        </w:rPr>
        <w:t>18.1 Audit Trail Explorer (/audit)</w:t>
      </w:r>
    </w:p>
    <w:p>
      <w:pPr>
        <w:spacing w:before="0" w:after="120" w:line="276" w:lineRule="auto"/>
        <w:jc w:val="left"/>
      </w:pPr>
      <w:r>
        <w:rPr>
          <w:rFonts w:ascii="Segoe UI" w:hAnsi="Segoe UI"/>
          <w:b w:val="0"/>
          <w:i w:val="0"/>
          <w:color w:val="1E293B"/>
          <w:sz w:val="21"/>
        </w:rPr>
        <w:t>The Audit Explorer provides a high-density, real-time forensic view into every transactional state change across the ERP:</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Audit Feature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UI Element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Forensic Capability &amp; Security Assurance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Top Forensic KPIs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#kpi-total-audited, #kpi-chain-integrity, #kpi-active-holds, #kpi-terminal-hash</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Real-time cards reporting total audited events, cryptographic chain integrity, active legal holds, and latest SHA-256 terminal hash.</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 Chain Banner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#banner-chain-integrity</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High-visibility green badge certifying unbroken sequential SHA-256 hash chaining (prev_hash -&gt; event_hash). Includes 'Verify Chain Integrity'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Slide-Over Diff Drawer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Detailed side-by-side comparison of before/after states with ADDED, MODIFIED, REMOVED badges and automatic masking of sensitive credentials ([REDACTED_SENSITIVE]).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Auditor Evidence Pack Exporter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Produces cryptographically sealed, digitally signed JSON compliance evidence packs with SHA-256 root manifests for MCA/GST inspectors.</w:t>
            </w:r>
          </w:p>
        </w:tc>
      </w:tr>
    </w:tbl>
    <w:p>
      <w:pPr>
        <w:spacing w:after="160"/>
      </w:pPr>
    </w:p>
    <w:p>
      <w:pPr>
        <w:keepNext/>
        <w:spacing w:before="280" w:after="120"/>
      </w:pPr>
      <w:r>
        <w:rPr>
          <w:rFonts w:ascii="Segoe UI" w:hAnsi="Segoe UI"/>
          <w:b/>
          <w:i w:val="0"/>
          <w:color w:val="2D6A4F"/>
          <w:sz w:val="27"/>
        </w:rPr>
        <w:t>18.2 Data Governance &amp; Regulatory Compliance Console (/audit/governance)</w:t>
      </w:r>
    </w:p>
    <w:p>
      <w:pPr>
        <w:spacing w:before="0" w:after="120" w:line="276" w:lineRule="auto"/>
        <w:jc w:val="left"/>
      </w:pPr>
      <w:r>
        <w:rPr>
          <w:rFonts w:ascii="Segoe UI" w:hAnsi="Segoe UI"/>
          <w:b w:val="0"/>
          <w:i w:val="0"/>
          <w:color w:val="1E293B"/>
          <w:sz w:val="21"/>
        </w:rPr>
        <w:t>The Data Governance Console provides multi-tab compliance controls: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DATA GOVERNANCE CONTROLS: </w:t>
            </w:r>
            <w:r>
              <w:rPr>
                <w:rFonts w:ascii="Segoe UI" w:hAnsi="Segoe UI"/>
                <w:b w:val="0"/>
                <w:i w:val="0"/>
                <w:color w:val="1E293B"/>
                <w:sz w:val="19"/>
              </w:rPr>
              <w:t>1. Statutory Retention Policies Tab: Pre-configured with MCA &amp; CGST 8-year standard retention (2,920 days) across INVOICE, VOUCHER, AUDIT_EVENT, and PARTY tables with audit-logged schedule adjustments.</w:t>
              <w:br/>
              <w:t>2. Litigation Legal Holds Tab: Apply statutory preservation holds freezing targeted records against disposal during tax audits or legal inquiry (#modal-apply-hold) with mandatory release justification.</w:t>
              <w:br/>
              <w:t>3. Forensic Anomaly Radar: Evaluates 5 automated heuristic signals: MASS_EDITS (velocity spikes), REPEATED_REVERSALS (cancellation spikes), AFTER_HOURS (10pm-6am postings), ACTIVE_LEGAL_HOLDS, and CHAIN_INTEGRITY.</w:t>
              <w:br/>
              <w:t>4. Auditor Evidence Pack Generator: 1-click generation of immutable evidence bundles certified with SHA-256 root seals.</w:t>
            </w:r>
          </w:p>
        </w:tc>
      </w:tr>
    </w:tbl>
    <w:p>
      <w:pPr>
        <w:spacing w:after="80"/>
      </w:pPr>
    </w:p>
    <w:p>
      <w:pPr>
        <w:keepNext/>
        <w:spacing w:before="360" w:after="160"/>
      </w:pPr>
      <w:r>
        <w:rPr>
          <w:rFonts w:ascii="Segoe UI" w:hAnsi="Segoe UI"/>
          <w:b/>
          <w:i w:val="0"/>
          <w:color w:val="1B4332"/>
          <w:sz w:val="36"/>
        </w:rPr>
        <w:t>19. Master Screen-by-Screen UI Element &amp; Selector Catalog</w:t>
      </w:r>
    </w:p>
    <w:p>
      <w:pPr>
        <w:spacing w:before="0" w:after="120" w:line="276" w:lineRule="auto"/>
        <w:jc w:val="left"/>
      </w:pPr>
      <w:r>
        <w:rPr>
          <w:rFonts w:ascii="Segoe UI" w:hAnsi="Segoe UI"/>
          <w:b w:val="0"/>
          <w:i w:val="0"/>
          <w:color w:val="1E293B"/>
          <w:sz w:val="21"/>
        </w:rPr>
        <w:t>To guarantee zero missing elements and complete testability for software developers, the following catalog indexes all interactive DOM selectors, inputs, buttons, and keyboard hotkeys across newly modernized screens: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Route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Element Selector / ID</w:t>
            </w:r>
          </w:p>
        </w:tc>
        <w:tc>
          <w:tcPr>
            <w:tcW w:type="dxa" w:w="1584"/>
            <w:shd w:fill="1B4332"/>
            <w:tcMar>
              <w:top w:w="140" w:type="dxa"/>
              <w:bottom w:w="140" w:type="dxa"/>
              <w:left w:w="160" w:type="dxa"/>
              <w:right w:w="160" w:type="dxa"/>
            </w:tcMar>
          </w:tcPr>
          <w:p>
            <w:pPr>
              <w:jc w:val="left"/>
            </w:pPr>
            <w:r>
              <w:rPr>
                <w:rFonts w:ascii="Segoe UI" w:hAnsi="Segoe UI"/>
                <w:b/>
                <w:i w:val="0"/>
                <w:color w:val="FFFFFF"/>
                <w:sz w:val="19"/>
              </w:rPr>
              <w:t>Type &amp; Hotkey</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Functional Description &amp; Expected Behavior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Counter Sales Billing screen with sequential invoice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screen.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[F5]</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screen.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[Ctrl+1]</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Launches Cargo &amp; Consignment Management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#hub-btn-audit-trail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Cryptographic SHA-256 Audit Trail Explorer.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Modal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Application exit confirmation dialog with Exit [Enter] and Cancel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Workflows Dropdown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#btn-workflow-dropdown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Dropdown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Expands workflows menu with Inbox, Designer, Monitor, Cargo, Costs, POD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and allows editing of current receipt continuation series (REC-YYYY-XXXX).</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Triggers Party Search modal with live debtor balance and drug license.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#voucher-amount-input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Enters receipt amount; recalculates unallocated floating credit dynamically.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customer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#btn-post-voucher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[Ctrl+S]</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Posts receipt voucher to GL, updates ledger balances, increments series.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and allows editing of current payment continuation series (PAY-YYYY-XXXX).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Triggers Party Search modal with live creditor balance and bank account.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#input-audit-search</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[Ctrl+F]</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Fuzzy search across audit trail by document number, actor, or reason.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Traverses cryptographic SHA-256 hash chain and certifies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 [Enter]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Slides over before/after field diff with sensitive data masking.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Generates auditor-compliant sealed JSON evidence pack.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#tab-retention-policies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Tab</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statutory retention schedules and 2,920-day MCA/GST policies.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#btn-apply-legal-hold</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establish statutory preservation legal hold (#modal-apply-hold).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#grid-forensic-anomalies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Grid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real-time anomaly detection radar for velocity and after-hours edits.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consignment registration modal with volumetric CBM calculator.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#drawer-consignment-detail</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Slide-over drawer showing package barcodes, weights, and status advance.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Costs (/cargo/costs)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#toggle-combined-reporting</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Toggle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Switches between single-tenant and aggregated multi-client MIS view.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POD Desk (/cargo/pod-exceptions)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#btn-record-delivery-pod</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quantity validation.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 launcher navigating to Freight &amp; Rates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tiered slabs.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Tab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Executes live rate resolution and displays formula breakdown.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register new freight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transporter statement count and three-way match 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enter manual transporter invoice for audit (#modal-enter-transporter-bill).</w:t>
            </w:r>
          </w:p>
        </w:tc>
      </w:tr>
    </w:tbl>
    <w:p>
      <w:pPr>
        <w:spacing w:after="160"/>
      </w:pPr>
    </w:p>
    <w:p>
      <w:pPr>
        <w:keepNext/>
        <w:spacing w:before="360" w:after="160"/>
      </w:pPr>
      <w:r>
        <w:rPr>
          <w:rFonts w:ascii="Segoe UI" w:hAnsi="Segoe UI"/>
          <w:b/>
          <w:i w:val="0"/>
          <w:color w:val="1B4332"/>
          <w:sz w:val="36"/>
        </w:rPr>
        <w:t>20. Comprehensive Verification Matrix &amp; Headless Selenium End-to-End Test Registry</w:t>
      </w:r>
    </w:p>
    <w:p>
      <w:pPr>
        <w:spacing w:before="0" w:after="120" w:line="276" w:lineRule="auto"/>
        <w:jc w:val="left"/>
      </w:pPr>
      <w:r>
        <w:rPr>
          <w:rFonts w:ascii="Segoe UI" w:hAnsi="Segoe UI"/>
          <w:b w:val="0"/>
          <w:i w:val="0"/>
          <w:color w:val="1E293B"/>
          <w:sz w:val="21"/>
        </w:rPr>
        <w:t>The software platform maintains 100% automated pass coverage across 15 comprehensive headless Chrome Selenium test suites and continuous live Vercel production audits: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Test Suite / Verification Script</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Scope &amp; Stages</w:t>
            </w:r>
          </w:p>
        </w:tc>
        <w:tc>
          <w:tcPr>
            <w:tcW w:type="dxa" w:w="4464"/>
            <w:shd w:fill="1B4332"/>
            <w:tcMar>
              <w:top w:w="140" w:type="dxa"/>
              <w:bottom w:w="140" w:type="dxa"/>
              <w:left w:w="160" w:type="dxa"/>
              <w:right w:w="160" w:type="dxa"/>
            </w:tcMar>
          </w:tcPr>
          <w:p>
            <w:pPr>
              <w:jc w:val="left"/>
            </w:pPr>
            <w:r>
              <w:rPr>
                <w:rFonts w:ascii="Segoe UI" w:hAnsi="Segoe UI"/>
                <w:b/>
                <w:i w:val="0"/>
                <w:color w:val="FFFFFF"/>
                <w:sz w:val="19"/>
              </w:rPr>
              <w:t>Target Assertions &amp; Status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(All 6 core billing modules)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Sales Bill, Purchase Bill, Supplier Debit Note, Customer Credit Note, Breakage Issue, Breakage Receive with series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(Financial accounting suite)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Day Book, Ledger Statement, Trial Balance, P&amp;L, Balance Sheet, Bank Reconciliation, Report Designer.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11 Stages (Statutory tax compliance)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(Settlement &amp; FIFO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auto-allocation [Alt+A], Supplier payments [F5], Ageing analysis.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(Multi-leg journal cockpit)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Multi-leg entry, [Ctrl+B] Auto-Balance, accrual scheduler, 1-click reversal.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(Operational expense desk)</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5 Stages (Fixed assets &amp; depreciation)</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(BRS &amp; cash drawer control)</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7 Stages (Executive BI control center)</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territory map modal.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(Workflow automation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(Audit trail &amp; data governance)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(Cargo &amp; consignment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test_esc_navigation_and_cargo_flow_selenium.py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(Escape lifecycle &amp; workflows)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Universal Esc key navigation, Home Screen exit modal, header workflows dropdown, and quick launcher tiles.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test_freight_logistics_selenium.py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(Freight &amp; logistics cost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Rate contracts, tiered slabs, deterministic calculation, Admin GL 5200 segregation, 3-way transporter reconciliation, [Esc] lifecycle.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test_principal_operations_selenium.py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(Principal &amp; C&amp;F operations engine)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Agreement catalog, stock custody segregation, breakage claims workflow, 3-way reconciliation match, reconstructable statement desk, [Esc] lifecycle.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verify_live_vercel_receipt_payment_audit.py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(Live cloud production audit)</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Live production verification on https://erp-rho-three.vercel.app with zero regressions and complete visual screenshot artifacts.</w:t>
            </w:r>
          </w:p>
        </w:tc>
      </w:tr>
    </w:tbl>
    <w:p>
      <w:pPr>
        <w:spacing w:after="240"/>
      </w:pPr>
    </w:p>
    <w:p>
      <w:pPr>
        <w:keepNext/>
        <w:spacing w:before="360" w:after="160"/>
      </w:pPr>
      <w:r>
        <w:rPr>
          <w:rFonts w:ascii="Segoe UI" w:hAnsi="Segoe UI"/>
          <w:b/>
          <w:i w:val="0"/>
          <w:color w:val="1B4332"/>
          <w:sz w:val="36"/>
        </w:rPr>
        <w:t>21. Freight &amp; Logistics Cost &amp; Recovery Engine (DOC-35)</w:t>
      </w:r>
    </w:p>
    <w:p>
      <w:pPr>
        <w:spacing w:before="0" w:after="120" w:line="276" w:lineRule="auto"/>
        <w:jc w:val="left"/>
      </w:pPr>
      <w:r>
        <w:rPr>
          <w:rFonts w:ascii="Segoe UI" w:hAnsi="Segoe UI"/>
          <w:b w:val="0"/>
          <w:i w:val="0"/>
          <w:color w:val="1E293B"/>
          <w:sz w:val="21"/>
        </w:rPr>
        <w:t>DOC-35 defines the centralized calculation, multi-tier rate resolution, cost allocation, commercial recovery, and three-way transporter reconciliation engine for the enterprise ERP system. In pharmaceutical and commercial distribution, freight is often handled under split financial responsibilities: platform administrators, client companies, consignees, and principals. DOC-35 guarantees mathematical determinism, transparent formula explainability, first-class cost-bearer isolation, and automated three-way invoice matching against actual physical dispatches (DOC-34 Cargo Consignments).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DOC-35 CORE MANDATE: </w:t>
            </w:r>
            <w:r>
              <w:rPr>
                <w:rFonts w:ascii="Segoe UI" w:hAnsi="Segoe UI"/>
                <w:b w:val="0"/>
                <w:i w:val="0"/>
                <w:color w:val="1E293B"/>
                <w:sz w:val="19"/>
              </w:rPr>
              <w:t>DOC-35 ARCHITECTURAL INVARIANTS &amp; CORE GOVERNANCE RULES:</w:t>
              <w:br/>
              <w:t>1. Strict Separation of Cost, Recovery, and Logistics Margin: Transporter cost incurred is never conflated with or silently offset by customer/principal recoveries. Cost, recovery, and margin remain separate immutable ledger items.</w:t>
              <w:br/>
              <w:t>2. First-Class Cost Bearer Policy: When Platform Admin is configured as cost bearer for client company dispatches, the accounting expense posts exclusively to Account 5200 in the Platform Admin General Ledger; the Client Company General Ledger maintains zero auto-debits.</w:t>
              <w:br/>
              <w:t>3. Deterministic Explainability Snapshots: Every calculation generates an immutable JSON snapshot with inputs, formula traces, and rule versions, ensuring 100% audit reconstructability.</w:t>
              <w:br/>
              <w:t>4. Three-Way Transporter Billing &amp; Reconciliation: Transporter invoices are audited against system-expected costs with automated variance status tagging (MATCHED, TOLERABLE &lt;= ₹200, UNAPPROVED_EXCESS &gt; ₹200, DISPUTED) and 1-click GL posting to Account 5200.</w:t>
            </w:r>
          </w:p>
        </w:tc>
      </w:tr>
    </w:tbl>
    <w:p>
      <w:pPr>
        <w:spacing w:after="80"/>
      </w:pPr>
    </w:p>
    <w:p>
      <w:pPr>
        <w:keepNext/>
        <w:spacing w:before="280" w:after="120"/>
      </w:pPr>
      <w:r>
        <w:rPr>
          <w:rFonts w:ascii="Segoe UI" w:hAnsi="Segoe UI"/>
          <w:b/>
          <w:i w:val="0"/>
          <w:color w:val="2D6A4F"/>
          <w:sz w:val="27"/>
        </w:rPr>
        <w:t>21.1 Implemented Relational Schema &amp; Relational Models (11 Models)</w:t>
      </w:r>
    </w:p>
    <w:p>
      <w:pPr>
        <w:spacing w:before="0" w:after="120" w:line="276" w:lineRule="auto"/>
        <w:jc w:val="left"/>
      </w:pPr>
      <w:r>
        <w:rPr>
          <w:rFonts w:ascii="Segoe UI" w:hAnsi="Segoe UI"/>
          <w:b w:val="0"/>
          <w:i w:val="0"/>
          <w:color w:val="1E293B"/>
          <w:sz w:val="21"/>
        </w:rPr>
        <w:t>DOC-35 introduces 11 relational entities mapped via SQLAlchemy 2.0 with strict foreign key constraints, multi-tenant scoping, and cryptographic verification snapshots. The schema maps contracts, pricing lanes, tiered weight slabs, ancillary surcharge rules, and three-way reconciliation records: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FreightContract</w:t>
              <w:br/>
              <w:t>(freight_contracts)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br/>
              <w:t>FK: transporter_id -&gt; parties.id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contract_code (String 50)</w:t>
              <w:br/>
              <w:t>contract_name (String 200)</w:t>
              <w:br/>
              <w:t>valid_from, valid_to (DateTime)</w:t>
              <w:br/>
              <w:t>priority (Integer)</w:t>
              <w:br/>
              <w:t>status (ACTIVE, INACTIVE)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carrier agreement defining contracted pricing terms, priority resolution order, and operational status.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FreightLane</w:t>
              <w:br/>
              <w:t>(freight_lanes)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origin_pincode (String 10)</w:t>
              <w:br/>
              <w:t>dest_pincode (String 10)</w:t>
              <w:br/>
              <w:t>origin_zone, dest_zone (String 50)</w:t>
              <w:br/>
              <w:t>transit_days (Integer)</w:t>
              <w:br/>
              <w:t>distance_km (Numeric 10,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Origin-to-destination geographic routing lane defining transit duration expectations and distance matrices.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FreightRateRule</w:t>
              <w:br/>
              <w:t>(freight_rate_rules)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lane_id -&gt; freight_lanes.id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slab_min_kg, slab_max_kg (Numeric 12, 2)</w:t>
              <w:br/>
              <w:t>rate_per_kg (Numeric 12, 2)</w:t>
              <w:br/>
              <w:t>flat_rate (Numeric 12, 2)</w:t>
              <w:br/>
              <w:t>min_charge (Numeric 12, 2)</w:t>
              <w:br/>
              <w:t>calc_mode (PER_KG, FLAT, TIERED)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Tiered chargeable weight slabs and base freight rates (e.g., 0-500kg @ ₹7.00/kg, 501-1,500kg @ ₹6.50/kg, &gt;1,500kg @ ₹5.80/kg).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FreightAncillaryRule</w:t>
              <w:br/>
              <w:t>(freight_ancillary_rules)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charge_code (String 50)</w:t>
              <w:br/>
              <w:t>charge_name (String 100)</w:t>
              <w:br/>
              <w:t>rate_type (FLAT, PERCENT, PER_PACKAGE)</w:t>
              <w:br/>
              <w:t>rate_value (Numeric 12, 2)</w:t>
              <w:br/>
              <w:t>is_mandatory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Dynamic surcharges including Loading/Unloading (₹300 flat), Highway Tolls (₹450 flat), Hamali/Handling (₹15/pkg), and Transit Risk (0.5% declared value).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FreightCostEvent</w:t>
              <w:br/>
              <w:t>(freight_cost_events)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consignment_id</w:t>
              <w:br/>
              <w:t>FK: contract_id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event_type (String 50)</w:t>
              <w:br/>
              <w:t>gross_cost (Numeric 14, 2)</w:t>
              <w:br/>
              <w:t>net_cost (Numeric 14, 2)</w:t>
              <w:br/>
              <w:t>currency (String 10)</w:t>
              <w:br/>
              <w:t>created_at (DateTime)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Immutable fact table recording rated consignment cost occurrences linked directly to DOC-34 consignment dispatches.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FreightCalculationSnapshot</w:t>
              <w:br/>
              <w:t>(freight_calc_snapshots)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input_payload (JSON)</w:t>
              <w:br/>
              <w:t>rate_rule_applied (JSON)</w:t>
              <w:br/>
              <w:t>ancillary_breakdown (JSON)</w:t>
              <w:br/>
              <w:t>formula_trace (Text)</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Frozen explainability payload capturing exact weight inputs, applied slabs, surcharges, and formula steps for regulatory audit.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FreightAllocation</w:t>
              <w:br/>
              <w:t>(freight_allocations)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br/>
              <w:t>FK: invoice_id -&gt; sales_invoices.id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allocation_method (WEIGHT, VALUE, PKG, EQUAL)</w:t>
              <w:br/>
              <w:t>allocated_cost (Numeric 14, 2)</w:t>
              <w:br/>
              <w:t>allocated_pct (Numeric 6, 2)</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Proportional splitting of master consignment freight across multiple sales invoices or stock transfers packed in the same shipment.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FreightRecovery</w:t>
              <w:br/>
              <w:t>(freight_recoveries)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allocation_id -&gt; freight_allocations.id</w:t>
              <w:br/>
              <w:t>FK: customer_id,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recovery_target (CUSTOMER, PRINCIPAL, SUBSIDY)</w:t>
              <w:br/>
              <w:t>recovery_amount (Numeric 14, 2)</w:t>
              <w:br/>
              <w:t>billing_status (PENDING, BILLED, RECOVERED)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Commercial recovery ledger mapping customer freight charges and principal reimbursements without polluting carrier cost ledgers.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FreightReconciliation</w:t>
              <w:br/>
              <w:t>(freight_reconciliations)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statement_ref (String 100)</w:t>
              <w:br/>
              <w:t>carrier_billed_val (Numeric 14, 2)</w:t>
              <w:br/>
              <w:t>system_expected_val (Numeric 14, 2)</w:t>
              <w:br/>
              <w:t>variance_val (Numeric 14, 2)</w:t>
              <w:br/>
              <w:t>status (MATCHED, TOLERABLE, UNAPPROVED_EXCESS, DISPUTED, POSTED)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Three-way audit workbench matching transporter invoices against system estimated costs with automated tolerance evaluation.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FreightCostBearerPolicy</w:t>
              <w:br/>
              <w:t>(freight_cost_bearer_policies)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 (GLOBAL, CLIENT, ROUTE)</w:t>
              <w:br/>
              <w:t>bearer (ADMIN, CLIENT, RECIPIENT)</w:t>
              <w:br/>
              <w:t>gl_account_code (String 20: 5200)</w:t>
              <w:br/>
              <w:t>is_active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Configures cost bearer rules, ensuring Platform Admin-funded cargo routes directly to GL Account 5200 without client ledger debits.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FreightException</w:t>
              <w:br/>
              <w:t>(freight_exceptions)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freight_reconciliations.id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exception_type (RATE_MISMATCH, WEIGHT_VARIANCE, UNAPPROVED_ANCILLARY)</w:t>
              <w:br/>
              <w:t>amount (Numeric 14, 2)</w:t>
              <w:br/>
              <w:t>status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Dispute tracking records for unapproved transporter surcharges requiring carrier credit notes or supervisor waivers.</w:t>
            </w:r>
          </w:p>
        </w:tc>
      </w:tr>
    </w:tbl>
    <w:p>
      <w:pPr>
        <w:spacing w:after="160"/>
      </w:pPr>
    </w:p>
    <w:p>
      <w:pPr>
        <w:keepNext/>
        <w:spacing w:before="280" w:after="120"/>
      </w:pPr>
      <w:r>
        <w:rPr>
          <w:rFonts w:ascii="Segoe UI" w:hAnsi="Segoe UI"/>
          <w:b/>
          <w:i w:val="0"/>
          <w:color w:val="2D6A4F"/>
          <w:sz w:val="27"/>
        </w:rPr>
        <w:t>21.2 RESTful API Directory (/api/freight/*)</w:t>
      </w:r>
    </w:p>
    <w:p>
      <w:pPr>
        <w:spacing w:before="0" w:after="120" w:line="276" w:lineRule="auto"/>
        <w:jc w:val="left"/>
      </w:pPr>
      <w:r>
        <w:rPr>
          <w:rFonts w:ascii="Segoe UI" w:hAnsi="Segoe UI"/>
          <w:b w:val="0"/>
          <w:i w:val="0"/>
          <w:color w:val="1E293B"/>
          <w:sz w:val="21"/>
        </w:rPr>
        <w:t>DOC-35 services are mounted under /api/freight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{active_contracts, total_spend, total_recoveries, logistics_margin, pending_recons_count, tolerable_recons_count}}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Freight Rate Master and Reconciliation Desk, reporting net spend, recoveries, and margin.</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transporter_id (Optional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{contracts: [{id, contract_code, contract_name, priority, lanes: [...], rate_rules: [...], ancillaries: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full transporter rate cards with nested origin/destination lanes, weight slabs, and ancillary surcharge rules.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{contract_code, contract_name, transporter_id, valid_from, valid_to, priority, lanes: [...]}</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contract: {id, contract_code, status: 'ACTIVE'}}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new carrier rate contract with origin-destination pincodes, tiered rate slabs, and mandatory surcharge bindings.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{origin_pincode, dest_pincode, gross_weight_kg, length_cm, width_cm, height_cm, declared_value, ancillary_codes: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{calculated_cost: {gross_cost, base_freight, chargeable_weight, formula_trace, ancillary_breakdown, bearer_policy}}</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Deterministic rate calculation sandbox evaluating volumetric CBM ($L \times W \times H / 1,000,000$), tiered slabs, and ancillary items.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consignment_id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{events: [{id, consignment_id, gross_cost, net_cost, calc_snapshot: {...},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Auditable list of calculated freight cost events with embedded snapshot hashes and formula explainability traces.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/api/freight/allocate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{event_id, allocation_method: 'WEIGHT'|'VALUE'|'PACKAGE'|'EQUAL', invoice_ids: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allocations: [{invoice_id, allocated_amount, allocated_pct}]}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Proportionally distributes consignment freight across individual sales invoices packaged in the same shipment.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status (Optional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statement_ref, carrier_billed_val, system_expected_val, variance_val, status}]}</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transporter billing statements with three-way variance status tagging (MATCHED, TOLERABLE, UNAPPROVED_EXCESS, DISPUTED).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/api/freight/reconciliation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{statement_ref, contract_id, carrier_billed_val, consignment_ids: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variance_val, status: 'TOLERABLE'|'UNAPPROVED_EXCESS'}}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Records transporter invoice for automated three-way matching against system rated costs with variance calculation.</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/api/freight/reconciliation/{id}/action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'APPROVE'|'DISPUTE'|'POST_GL',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reconciliation: {id, status, gl_posting_ref}}</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1-click invoice approval, dispute logging, or automated double-entry GL posting to Platform Admin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{policies: [{id, scope, bearer, gl_account_code: '5200', is_active: true}]}</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active cost-bearer policies confirming Client Company GL protection and Platform Admin GL recognition.</w:t>
            </w:r>
          </w:p>
        </w:tc>
      </w:tr>
    </w:tbl>
    <w:p>
      <w:pPr>
        <w:spacing w:after="160"/>
      </w:pPr>
    </w:p>
    <w:p>
      <w:pPr>
        <w:keepNext/>
        <w:spacing w:before="280" w:after="120"/>
      </w:pPr>
      <w:r>
        <w:rPr>
          <w:rFonts w:ascii="Segoe UI" w:hAnsi="Segoe UI"/>
          <w:b/>
          <w:i w:val="0"/>
          <w:color w:val="2D6A4F"/>
          <w:sz w:val="27"/>
        </w:rPr>
        <w:t>21.3 Terminal Cockpits, Screen Layouts, Hotkeys &amp; UI Element Catalog</w:t>
      </w:r>
    </w:p>
    <w:p>
      <w:pPr>
        <w:spacing w:before="0" w:after="120" w:line="276" w:lineRule="auto"/>
        <w:jc w:val="left"/>
      </w:pPr>
      <w:r>
        <w:rPr>
          <w:rFonts w:ascii="Segoe UI" w:hAnsi="Segoe UI"/>
          <w:b w:val="0"/>
          <w:i w:val="0"/>
          <w:color w:val="1E293B"/>
          <w:sz w:val="21"/>
        </w:rPr>
        <w:t>DOC-35 provides two high-density Marg/Tally terminal cockpits designed for rapid zero-mouse operation:</w:t>
      </w:r>
    </w:p>
    <w:p>
      <w:pPr>
        <w:spacing w:before="0" w:after="120" w:line="276" w:lineRule="auto"/>
        <w:jc w:val="left"/>
      </w:pPr>
      <w:r>
        <w:rPr>
          <w:rFonts w:ascii="Segoe UI" w:hAnsi="Segoe UI"/>
          <w:b w:val="0"/>
          <w:i w:val="0"/>
          <w:color w:val="1E293B"/>
          <w:sz w:val="21"/>
        </w:rPr>
        <w:t>1. Freight Rate Master (/freight/contracts): Features 4 top KPI telemetry cards, rate card matrix, and an interactive Calculation Sandbox [F4] with live parameter inputs and formula breakdown.</w:t>
      </w:r>
    </w:p>
    <w:p>
      <w:pPr>
        <w:spacing w:before="0" w:after="120" w:line="276" w:lineRule="auto"/>
        <w:jc w:val="left"/>
      </w:pPr>
      <w:r>
        <w:rPr>
          <w:rFonts w:ascii="Segoe UI" w:hAnsi="Segoe UI"/>
          <w:b w:val="0"/>
          <w:i w:val="0"/>
          <w:color w:val="1E293B"/>
          <w:sz w:val="21"/>
        </w:rPr>
        <w:t>2. Transporter Billing &amp; Reconciliation Desk (/freight/reconciliation): Features 4 statement status KPI cards, three-way match audit grid, manual bill entry modal [F6], and 1-click GL posting to Account 5200.</w:t>
      </w:r>
    </w:p>
    <w:p>
      <w:pPr>
        <w:spacing w:before="0" w:after="120" w:line="276" w:lineRule="auto"/>
        <w:jc w:val="left"/>
      </w:pPr>
      <w:r>
        <w:rPr>
          <w:rFonts w:ascii="Segoe UI" w:hAnsi="Segoe UI"/>
          <w:b w:val="0"/>
          <w:i w:val="0"/>
          <w:color w:val="1E293B"/>
          <w:sz w:val="21"/>
        </w:rPr>
        <w:t>3. Counter Workbench Launcher: Added #hub-btn-freight-management launcher tile to the Home Screen with global hotkey [Ctrl+2].</w:t>
      </w:r>
    </w:p>
    <w:p>
      <w:pPr>
        <w:spacing w:before="0" w:after="120" w:line="276" w:lineRule="auto"/>
        <w:jc w:val="left"/>
      </w:pPr>
      <w:r>
        <w:rPr>
          <w:rFonts w:ascii="Segoe UI" w:hAnsi="Segoe UI"/>
          <w:b w:val="0"/>
          <w:i w:val="0"/>
          <w:color w:val="1E293B"/>
          <w:sz w:val="21"/>
        </w:rPr>
        <w:t>4. Zero-Mouse Operational Guarantee: 100% keyboard navigable with [F6] New Contract/Bill modal, [F4] Sandbox toggle,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Freight Rate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configured slabs and lanes.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#kpi-freight-spend</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gross freight expense recognized under Platform Admin General Ledger.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#kpi-total-recoveries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aggregate freight recoveries billed to customers and principals.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#kpi-logistics-margin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net logistics margin calculated as Total Recoveries minus Transporter Costs.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 for rating simulations.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#sandbox-origin-pincode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Origin pincode input for automatic lane matching.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#sandbox-dest-pincode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Destination pincode input for automatic lane matching.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#sandbox-weight-input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Consignment gross weight in kg for tiered slab rating.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#sandbox-declared-value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Declared shipment invoice value for percentage-based risk surcharges.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deterministic rate calculation and renders formula breakdown trace.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#card-calc-result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Display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Renders gross calculated freight cost, formula trace, and bound GL Account 5200 badge.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register new carrier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#modal-new-contract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capture contract code, carrier name, lanes, and rate slabs;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total transporter statements queued for three-way audit.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#kpi-recons-matched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verified with exact ₹0.00 variance.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#kpi-recons-tolerable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statements with acceptable variance (&lt;= ₹200.00) eligible for approval.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#kpi-recons-disputed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with unapproved excess charges (&gt; ₹200.00) flagged for dispute.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enter manual transporter invoice for audit (#modal-enter-transporter-bill).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#modal-enter-transporter-bill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enter carrier invoice reference, billed amount, and LR references;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#btn-post-gl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1-click GL journal creation, posting approved freight cost to Account 5200.</w:t>
            </w:r>
          </w:p>
        </w:tc>
      </w:tr>
    </w:tbl>
    <w:p>
      <w:pPr>
        <w:spacing w:after="160"/>
      </w:pPr>
    </w:p>
    <w:p>
      <w:pPr>
        <w:keepNext/>
        <w:spacing w:before="280" w:after="120"/>
      </w:pPr>
      <w:r>
        <w:rPr>
          <w:rFonts w:ascii="Segoe UI" w:hAnsi="Segoe UI"/>
          <w:b/>
          <w:i w:val="0"/>
          <w:color w:val="2D6A4F"/>
          <w:sz w:val="27"/>
        </w:rPr>
        <w:t>21.4 Local Automated Selenium Verification Suite (10 Stages - 100% PASS)</w:t>
      </w:r>
    </w:p>
    <w:p>
      <w:pPr>
        <w:spacing w:before="0" w:after="120" w:line="276" w:lineRule="auto"/>
        <w:jc w:val="left"/>
      </w:pPr>
      <w:r>
        <w:rPr>
          <w:rFonts w:ascii="Segoe UI" w:hAnsi="Segoe UI"/>
          <w:b w:val="0"/>
          <w:i w:val="0"/>
          <w:color w:val="1E293B"/>
          <w:sz w:val="21"/>
        </w:rPr>
        <w:t>DOC-35 was verified using test_freight_logistics_selenium.py executing on headless Chrome (1440x950) against the local backend (Port 8000) and frontend (Port 50005). All 10 stages completed with 100% pass rate:</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token. Validated organization tenant scope and session storage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active contracts &gt;= 2, total spend, total recoveries, and pending reconciliation queues.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Transporter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active contracts (V-Trans Logistics, Safexpress), origin/destination lanes, and tiered slabs.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Deterministic Rating Engine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Calculated 350kg consignment on Lane DEL-MUM. Asserted base freight, surcharges, and formula trace.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Admin Cost Bearer Invariant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Platform Admin bearer policy; confirmed Account 5200 binding and zero client GL debits.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statement matching, tolerance checks (&lt;= ₹200.00), and UNAPPROVED_EXCESS status tags.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 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Launcher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#hub-btn-freight-management launcher tile on Counter Workbench. Captured verified_freight_homescreen_launcher.png.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Rate Master &amp;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4 top KPI cards. Switched to Sandbox [F4], executed calculation, and captured verified_freight_rate_cards_catalog.png &amp; verified_freight_calculation_sandbox.png.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Reconciliation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reconciliation grid, opened #modal-enter-transporter-bill [F6], tested [Esc] dismissal. Captured verified_freight_reconciliation_desk.png.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21.5 Live Vercel Production Cloud Verification Suite (4 Stages - 100% PASS)</w:t>
      </w:r>
    </w:p>
    <w:p>
      <w:pPr>
        <w:spacing w:before="0" w:after="120" w:line="276" w:lineRule="auto"/>
        <w:jc w:val="left"/>
      </w:pPr>
      <w:r>
        <w:rPr>
          <w:rFonts w:ascii="Segoe UI" w:hAnsi="Segoe UI"/>
          <w:b w:val="0"/>
          <w:i w:val="0"/>
          <w:color w:val="1E293B"/>
          <w:sz w:val="21"/>
        </w:rPr>
        <w:t>Following local testing, the live production deployment on Vercel CDN (https://erp-rho-three.vercel.app) was audited via verify_live_vercel_freight_audit.py using the automated demo authentication hook (#btn-demo-login). All 4 stages completed with 100% pass rate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Located #hub-btn-freight-management on live Counter Workbench. Captured live_vercel_freight_homescreen_launcher.png.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Rate Master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https://erp-rho-three.vercel.app/freight/contracts</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4 live telemetry KPI cards (#kpi-active-contracts, #kpi-freight-spend, etc.) on Vercel CDN. Captured live_vercel_freight_rate_master.png.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Calculation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https://erp-rho-three.vercel.app/freight/contracts</w:t>
              <w:br/>
              <w:t>Trigger: [F4] Sandbox Tab</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[F4], input test parameters, clicked #btn-execute-calc, verified formula breakdown. Captured live_vercel_freight_calculation_sandbox.png.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Reconciliation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live statement audit grid, 3-way variance status badges, and GL 5200 posting readiness. Captured live_vercel_freight_reconciliation.png.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21.6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 for DOC-35:</w:t>
      </w:r>
    </w:p>
    <w:p>
      <w:pPr>
        <w:spacing w:before="160" w:after="40"/>
        <w:jc w:val="center"/>
      </w:pPr>
      <w:r>
        <w:drawing>
          <wp:inline xmlns:a="http://schemas.openxmlformats.org/drawingml/2006/main" xmlns:pic="http://schemas.openxmlformats.org/drawingml/2006/picture">
            <wp:extent cx="5669280" cy="3181495"/>
            <wp:docPr id="1" name="Picture 1"/>
            <wp:cNvGraphicFramePr>
              <a:graphicFrameLocks noChangeAspect="1"/>
            </wp:cNvGraphicFramePr>
            <a:graphic>
              <a:graphicData uri="http://schemas.openxmlformats.org/drawingml/2006/picture">
                <pic:pic>
                  <pic:nvPicPr>
                    <pic:cNvPr id="0" name="verified_freight_homescreen_launcher.png"/>
                    <pic:cNvPicPr/>
                  </pic:nvPicPr>
                  <pic:blipFill>
                    <a:blip r:embed="rId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21.1: Local Verified Counter Workbench (/) displaying the dedicated Freight &amp; Logistics Cost Recovery launcher tile (#hub-btn-freight-management) mapped to global hotkey [Ctrl+2].</w:t>
      </w:r>
    </w:p>
    <w:p>
      <w:pPr>
        <w:spacing w:before="160" w:after="40"/>
        <w:jc w:val="center"/>
      </w:pPr>
      <w:r>
        <w:drawing>
          <wp:inline xmlns:a="http://schemas.openxmlformats.org/drawingml/2006/main" xmlns:pic="http://schemas.openxmlformats.org/drawingml/2006/picture">
            <wp:extent cx="5669280" cy="3181495"/>
            <wp:docPr id="2" name="Picture 2"/>
            <wp:cNvGraphicFramePr>
              <a:graphicFrameLocks noChangeAspect="1"/>
            </wp:cNvGraphicFramePr>
            <a:graphic>
              <a:graphicData uri="http://schemas.openxmlformats.org/drawingml/2006/picture">
                <pic:pic>
                  <pic:nvPicPr>
                    <pic:cNvPr id="0" name="verified_freight_rate_cards_catalog.png"/>
                    <pic:cNvPicPr/>
                  </pic:nvPicPr>
                  <pic:blipFill>
                    <a:blip r:embed="rId1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21.2: Local Verified Freight Rate Master (/freight/contracts) displaying 4 top telemetry KPI cards, carrier rate cards, and origin-destination lane pricing matrices.</w:t>
      </w:r>
    </w:p>
    <w:p>
      <w:pPr>
        <w:spacing w:before="160" w:after="40"/>
        <w:jc w:val="center"/>
      </w:pPr>
      <w:r>
        <w:drawing>
          <wp:inline xmlns:a="http://schemas.openxmlformats.org/drawingml/2006/main" xmlns:pic="http://schemas.openxmlformats.org/drawingml/2006/picture">
            <wp:extent cx="5669280" cy="3181495"/>
            <wp:docPr id="3" name="Picture 3"/>
            <wp:cNvGraphicFramePr>
              <a:graphicFrameLocks noChangeAspect="1"/>
            </wp:cNvGraphicFramePr>
            <a:graphic>
              <a:graphicData uri="http://schemas.openxmlformats.org/drawingml/2006/picture">
                <pic:pic>
                  <pic:nvPicPr>
                    <pic:cNvPr id="0" name="verified_freight_calculation_sandbox.png"/>
                    <pic:cNvPicPr/>
                  </pic:nvPicPr>
                  <pic:blipFill>
                    <a:blip r:embed="rId1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21.3: Local Verified Calculation Sandbox [F4] displaying interactive parameter inputs, live tiered slab rating, ancillary breakdown, and formula explainability trace.</w:t>
      </w:r>
    </w:p>
    <w:p>
      <w:pPr>
        <w:spacing w:before="160" w:after="40"/>
        <w:jc w:val="center"/>
      </w:pPr>
      <w:r>
        <w:drawing>
          <wp:inline xmlns:a="http://schemas.openxmlformats.org/drawingml/2006/main" xmlns:pic="http://schemas.openxmlformats.org/drawingml/2006/picture">
            <wp:extent cx="5669280" cy="3181495"/>
            <wp:docPr id="4" name="Picture 4"/>
            <wp:cNvGraphicFramePr>
              <a:graphicFrameLocks noChangeAspect="1"/>
            </wp:cNvGraphicFramePr>
            <a:graphic>
              <a:graphicData uri="http://schemas.openxmlformats.org/drawingml/2006/picture">
                <pic:pic>
                  <pic:nvPicPr>
                    <pic:cNvPr id="0" name="verified_freight_reconciliation_desk.png"/>
                    <pic:cNvPicPr/>
                  </pic:nvPicPr>
                  <pic:blipFill>
                    <a:blip r:embed="rId1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21.4: Local Verified Transporter Billing &amp; Reconciliation Desk (/freight/reconciliation) displaying three-way match statement grid with variance status badges.</w:t>
      </w:r>
    </w:p>
    <w:p>
      <w:pPr>
        <w:spacing w:before="160" w:after="40"/>
        <w:jc w:val="center"/>
      </w:pPr>
      <w:r>
        <w:drawing>
          <wp:inline xmlns:a="http://schemas.openxmlformats.org/drawingml/2006/main" xmlns:pic="http://schemas.openxmlformats.org/drawingml/2006/picture">
            <wp:extent cx="5669280" cy="3181495"/>
            <wp:docPr id="5" name="Picture 5"/>
            <wp:cNvGraphicFramePr>
              <a:graphicFrameLocks noChangeAspect="1"/>
            </wp:cNvGraphicFramePr>
            <a:graphic>
              <a:graphicData uri="http://schemas.openxmlformats.org/drawingml/2006/picture">
                <pic:pic>
                  <pic:nvPicPr>
                    <pic:cNvPr id="0" name="live_vercel_freight_homescreen_launcher.png"/>
                    <pic:cNvPicPr/>
                  </pic:nvPicPr>
                  <pic:blipFill>
                    <a:blip r:embed="rId1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21.5: Live Vercel Production Cloud Verification (https://erp-rho-three.vercel.app/) confirming seamless authentication and Counter Workbench launcher presence on production CDN.</w:t>
      </w:r>
    </w:p>
    <w:p>
      <w:pPr>
        <w:spacing w:before="160" w:after="40"/>
        <w:jc w:val="center"/>
      </w:pPr>
      <w:r>
        <w:drawing>
          <wp:inline xmlns:a="http://schemas.openxmlformats.org/drawingml/2006/main" xmlns:pic="http://schemas.openxmlformats.org/drawingml/2006/picture">
            <wp:extent cx="5669280" cy="3181495"/>
            <wp:docPr id="6" name="Picture 6"/>
            <wp:cNvGraphicFramePr>
              <a:graphicFrameLocks noChangeAspect="1"/>
            </wp:cNvGraphicFramePr>
            <a:graphic>
              <a:graphicData uri="http://schemas.openxmlformats.org/drawingml/2006/picture">
                <pic:pic>
                  <pic:nvPicPr>
                    <pic:cNvPr id="0" name="live_vercel_freight_rate_master.png"/>
                    <pic:cNvPicPr/>
                  </pic:nvPicPr>
                  <pic:blipFill>
                    <a:blip r:embed="rId1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21.6: Live Vercel Production Cloud Freight Rate Master (/freight/contracts) validating live telemetry KPI cards and carrier rate matrices on production CDN.</w:t>
      </w:r>
    </w:p>
    <w:p>
      <w:pPr>
        <w:spacing w:before="160" w:after="40"/>
        <w:jc w:val="center"/>
      </w:pPr>
      <w:r>
        <w:drawing>
          <wp:inline xmlns:a="http://schemas.openxmlformats.org/drawingml/2006/main" xmlns:pic="http://schemas.openxmlformats.org/drawingml/2006/picture">
            <wp:extent cx="5669280" cy="3181495"/>
            <wp:docPr id="7" name="Picture 7"/>
            <wp:cNvGraphicFramePr>
              <a:graphicFrameLocks noChangeAspect="1"/>
            </wp:cNvGraphicFramePr>
            <a:graphic>
              <a:graphicData uri="http://schemas.openxmlformats.org/drawingml/2006/picture">
                <pic:pic>
                  <pic:nvPicPr>
                    <pic:cNvPr id="0" name="live_vercel_freight_calculation_sandbox.png"/>
                    <pic:cNvPicPr/>
                  </pic:nvPicPr>
                  <pic:blipFill>
                    <a:blip r:embed="rId1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21.7: Live Vercel Production Cloud Calculation Sandbox [F4] validating live deterministic rate resolution and formula traces on production CDN.</w:t>
      </w:r>
    </w:p>
    <w:p>
      <w:pPr>
        <w:spacing w:before="160" w:after="40"/>
        <w:jc w:val="center"/>
      </w:pPr>
      <w:r>
        <w:drawing>
          <wp:inline xmlns:a="http://schemas.openxmlformats.org/drawingml/2006/main" xmlns:pic="http://schemas.openxmlformats.org/drawingml/2006/picture">
            <wp:extent cx="5669280" cy="3181495"/>
            <wp:docPr id="8" name="Picture 8"/>
            <wp:cNvGraphicFramePr>
              <a:graphicFrameLocks noChangeAspect="1"/>
            </wp:cNvGraphicFramePr>
            <a:graphic>
              <a:graphicData uri="http://schemas.openxmlformats.org/drawingml/2006/picture">
                <pic:pic>
                  <pic:nvPicPr>
                    <pic:cNvPr id="0" name="live_vercel_freight_reconciliation.png"/>
                    <pic:cNvPicPr/>
                  </pic:nvPicPr>
                  <pic:blipFill>
                    <a:blip r:embed="rId1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21.8: Live Vercel Production Cloud Transporter Reconciliation Desk (/freight/reconciliation) validating three-way audit matching and GL 5200 posting readiness on production CDN.</w:t>
      </w:r>
    </w:p>
    <w:p>
      <w:pPr>
        <w:spacing w:after="240"/>
      </w:pPr>
    </w:p>
    <w:p>
      <w:pPr>
        <w:keepNext/>
        <w:spacing w:before="360" w:after="160"/>
      </w:pPr>
      <w:r>
        <w:rPr>
          <w:rFonts w:ascii="Segoe UI" w:hAnsi="Segoe UI"/>
          <w:b/>
          <w:i w:val="0"/>
          <w:color w:val="1B4332"/>
          <w:sz w:val="36"/>
        </w:rPr>
        <w:t>22. Principal &amp; C&amp;F Operations Management Engine (DOC-36)</w:t>
      </w:r>
    </w:p>
    <w:p>
      <w:pPr>
        <w:spacing w:before="0" w:after="120" w:line="276" w:lineRule="auto"/>
        <w:jc w:val="left"/>
      </w:pPr>
      <w:r>
        <w:rPr>
          <w:rFonts w:ascii="Segoe UI" w:hAnsi="Segoe UI"/>
          <w:b w:val="0"/>
          <w:i w:val="0"/>
          <w:color w:val="1E293B"/>
          <w:sz w:val="21"/>
        </w:rPr>
        <w:t>DOC-36 establishes an institutional-grade operational engine that transforms static Principal and C&amp;F master records into a continuously auditable, traceable, and reconstructable operating position. In modern pharmaceutical distribution networks, Clearing &amp; Forwarding (C&amp;F) agents and super-distributors handle consignment inventories on behalf of multiple pharmaceutical manufacturers (Principals). Operating under diverse commercial agreements, tiered commission rates, strict credit windows, and complex freight recovery policies, enterprises face severe financial and statutory risks if stock ownership commingles or ledger reconciliations drift. DOC-36 solves this challenge by providing end-to-end custody segregation, automated three-way reconciliation, dispute-proof operational claims management, and non-editable reconstructable statements.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DOC-36 CORE MANDATE: </w:t>
            </w:r>
            <w:r>
              <w:rPr>
                <w:rFonts w:ascii="Segoe UI" w:hAnsi="Segoe UI"/>
                <w:b w:val="0"/>
                <w:i w:val="0"/>
                <w:color w:val="1E293B"/>
                <w:sz w:val="19"/>
              </w:rPr>
              <w:t>DOC-36 ARCHITECTURAL INVARIANTS &amp; CORE GOVERNANCE RULES:</w:t>
              <w:br/>
              <w:t>1. Zero Duplicate Engines: DOC-36 orchestrates Principal context across DOC-12 (Master), DOC-14 (Schemes), DOC-16 (Stock Movement), DOC-08 (GL Postings), DOC-07 (Settlements), and DOC-35 (Freight) without duplicate ledgers.</w:t>
              <w:br/>
              <w:t>2. Owner Separation at SKU/Batch Level: Principal ownership is an explicit relational dimension. Multiple Principals can stock identical SKUs in the same warehouse without cross-owner stock pollution or commingling.</w:t>
              <w:br/>
              <w:t>3. Non-Editable Reconstructable Statements: Principal stock statements and commercial balances are mathematically reconstructed from source movements and immutable events. Manual balance overrides are strictly prohibited.</w:t>
              <w:br/>
              <w:t>4. Reconciliation Variance Immutability: Reconciliation cannot alter historical transaction ledgers; variances generate audit trails and follow-up adjustment or claim documents with four-eyes approval.</w:t>
            </w:r>
          </w:p>
        </w:tc>
      </w:tr>
    </w:tbl>
    <w:p>
      <w:pPr>
        <w:spacing w:after="80"/>
      </w:pPr>
    </w:p>
    <w:p>
      <w:pPr>
        <w:keepNext/>
        <w:spacing w:before="280" w:after="120"/>
      </w:pPr>
      <w:r>
        <w:rPr>
          <w:rFonts w:ascii="Segoe UI" w:hAnsi="Segoe UI"/>
          <w:b/>
          <w:i w:val="0"/>
          <w:color w:val="2D6A4F"/>
          <w:sz w:val="27"/>
        </w:rPr>
        <w:t>22.1 Implemented Relational Schema &amp; Relational Models (16 Models)</w:t>
      </w:r>
    </w:p>
    <w:p>
      <w:pPr>
        <w:spacing w:before="0" w:after="120" w:line="276" w:lineRule="auto"/>
        <w:jc w:val="left"/>
      </w:pPr>
      <w:r>
        <w:rPr>
          <w:rFonts w:ascii="Segoe UI" w:hAnsi="Segoe UI"/>
          <w:b w:val="0"/>
          <w:i w:val="0"/>
          <w:color w:val="1E293B"/>
          <w:sz w:val="21"/>
        </w:rPr>
        <w:t>DOC-36 introduces 16 high-performance relational entities mapped via SQLAlchemy 2.0 with strict foreign key constraints, multi-tenant organization scoping, and cryptographic verification hashes. The schema architecture isolates custody from legal ownership, models effective-dated agreement terms, and maintains point-in-time stock snapshots: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PrincipalOperatingContext</w:t>
              <w:br/>
              <w:t>(principal_operating_contexts)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branch_id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agreement_version_id (UUID)</w:t>
              <w:br/>
              <w:t>status (String 40: ACTIVE, SUSPENDED, TERMINATED)</w:t>
              <w:br/>
              <w:t>created_at, updated_at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Primary multi-tenant operational anchor binding client organization to external pharmaceutical principal with branch-level scoping and status control.</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PrincipalAgreementVersion</w:t>
              <w:br/>
              <w:t>(principal_agreement_versions)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agreement_number (String 80)</w:t>
              <w:br/>
              <w:t>version_no (String 20)</w:t>
              <w:br/>
              <w:t>valid_from, valid_to (DateTime)</w:t>
              <w:br/>
              <w:t>terms_json (JSON)</w:t>
              <w:br/>
              <w:t>status (DRAFT, ACTIVE, SUPERSEDED, EXPIRED)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Effective-dated commercial terms, commission percentages (e.g., 6.5%), claim dispute windows, credit periods, and authorized freight allowance models.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PrincipalProductRule</w:t>
              <w:br/>
              <w:t>(principal_product_rules)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branch_id,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sku_code (String 100)</w:t>
              <w:br/>
              <w:t>is_exclusive (Boolean)</w:t>
              <w:br/>
              <w:t>valid_from, valid_to (DateTime)</w:t>
              <w:br/>
              <w:t>status (ACTIVE, INACTIVE, RESTRICTED)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Authorized product catalog constraints, exclusive SKU allocations per branch, and designated depot warehouse storage boundaries.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PrincipalCustomerRule</w:t>
              <w:br/>
              <w:t>(principal_customer_rules)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 customer_id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customer_group (String 100)</w:t>
              <w:br/>
              <w:t>territory_id, territory_name (String)</w:t>
              <w:br/>
              <w:t>valid_from, valid_to (DateTime)</w:t>
              <w:br/>
              <w:t>status (ACTIVE, INACTIVE)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Territory boundaries and customer group eligibility, enforcing authorized distribution channels for principal-consigned products.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PrincipalOwnershipRule</w:t>
              <w:br/>
              <w:t>(principal_ownership_rules)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warehouse_scope (ALL, SPECIFIC_WH)</w:t>
              <w:br/>
              <w:t>mode (CONSIGNMENT_CUSTODY, OUTRIGHT_PURCHASE, PRINCIPAL_OWNED)</w:t>
              <w:br/>
              <w:t>valid_from, valid_to</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Inviolable stock custody classification preventing commingling and inventory pollution when identical generic drugs are stocked across different principals.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PrincipalEvent</w:t>
              <w:br/>
              <w:t>(principal_events)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(String 60)</w:t>
              <w:br/>
              <w:t>event_time (DateTime)</w:t>
              <w:br/>
              <w:t>source_doc_type (String 50)</w:t>
              <w:br/>
              <w:t>source_doc_id (String 100)</w:t>
              <w:br/>
              <w:t>payload_json (JSON)</w:t>
              <w:br/>
              <w:t>payload_hash (String 64: SHA-256)</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Cryptographically hashed append-only commercial event ledger providing mathematical immutability and complete event-sourcing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PrincipalStockSnapshot</w:t>
              <w:br/>
              <w:t>(principal_stock_snapshots)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batch_no (String 100)</w:t>
              <w:br/>
              <w:t>warehouse_name (String 100)</w:t>
              <w:br/>
              <w:t>as_of (DateTime)</w:t>
              <w:br/>
              <w:t>qty_on_hand, qty_reserved, qty_damage</w:t>
              <w:br/>
              <w:t>unit_cost, total_valuation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Point-in-time frozen inventory positions segregated by SKU and batch, supporting instant historical reconstruction and discrepancy auditing.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PrincipalClaim</w:t>
              <w:br/>
              <w:t>(principal_claims)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claim_number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principal_name (String 200)</w:t>
              <w:br/>
              <w:t>claim_type (EXPIRY, BREAKAGE, SHORTAGE, RATE_DIFFERENCE)</w:t>
              <w:br/>
              <w:t>source_doc_id (String 100)</w:t>
              <w:br/>
              <w:t>claimed_qty, claimed_amount, approved_amount</w:t>
              <w:br/>
              <w:t>reason, status (PENDING,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Operational claim document capturing loss events with batch provenance, dispute resolution workflows, and four-eyes settlement authorization.</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PrincipalClaimLine</w:t>
              <w:br/>
              <w:t>(principal_claim_lines)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principal_claims.id</w:t>
              <w:br/>
              <w:t>FK: product_id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source_movement_id (String 100)</w:t>
              <w:br/>
              <w:t>batch_no (String 100)</w:t>
              <w:br/>
              <w:t>expiry_date (DateTime)</w:t>
              <w:br/>
              <w:t>qty, eligible_qty, rate, amount</w:t>
              <w:br/>
              <w:t>approved_amount,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line-item breakdown linking each claimed unit directly to DOC-16 stock movements and batch expiry records.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PrincipalReconciliation</w:t>
              <w:br/>
              <w:t>(principal_reconciliations)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recon_number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system_opening_val, external_opening_val</w:t>
              <w:br/>
              <w:t>system_closing_val, external_closing_val</w:t>
              <w:br/>
              <w:t>net_variance_val, matched_lines_count</w:t>
              <w:br/>
              <w:t>variance_lines_count, status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Automated three-way reconciliation header record comparing system stock valuation against external Principal-submitted statement balances.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PrincipalReconciliationLine</w:t>
              <w:br/>
              <w:t>(principal_reconciliation_lines)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principal_reconciliations.id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source_key (String 100)</w:t>
              <w:br/>
              <w:t>source_type (SALE, INWARD, RETURN, CLAIM)</w:t>
              <w:br/>
              <w:t>system_qty, external_qty, variance_qty</w:t>
              <w:br/>
              <w:t>system_val, external_val, variance_val</w:t>
              <w:br/>
              <w:t>reason_code, status (MATCHED, VARIANCE)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Itemized transaction matching line detecting quantity and valuation discrepancies with automated root-cause reason tagging.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PrincipalStatementRun</w:t>
              <w:br/>
              <w:t>(principal_statement_runs)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run_number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filters_hash (String 64)</w:t>
              <w:br/>
              <w:t>source_versions (String 100)</w:t>
              <w:br/>
              <w:t>opening_stock_val, receipts_val, sales_val</w:t>
              <w:br/>
              <w:t>returns_val, claims_val, freight_val, closing_val</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Authoritative period statement snapshot with dataset hash signature, freezing financial and inventory figures against retroactive tampering.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PrincipalStatementLine</w:t>
              <w:br/>
              <w:t>(principal_statement_lines)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run_id -&gt; principal_statement_runs.id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event_id (UUID)</w:t>
              <w:br/>
              <w:t>source_doc_id (String 100)</w:t>
              <w:br/>
              <w:t>category (OPENING, INWARD, SALE, RETURN, CLAIM, FREIGHT, CLOSING)</w:t>
              <w:br/>
              <w:t>product_name, batch_no, qty, 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Individual transaction line in the reconstructable statement maintaining complete backward audit linkage to source transaction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PrincipalCostAttribution</w:t>
              <w:br/>
              <w:t>(principal_cost_attributions)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br/>
              <w:t>Ref: source_cost_id -&gt; DOC-35</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bearer (ADMIN_COMPANY, PRINCIPAL, CLIENT_COMPANY)</w:t>
              <w:br/>
              <w:t>recovery_target (PRINCIPAL_CLAIM, SUBSIDY)</w:t>
              <w:br/>
              <w:t>amount (Numeric 18, 2)</w:t>
              <w:br/>
              <w:t>policy_version, status (ATTRIBUTED, ABSORBED)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Direct integration with DOC-35 Freight Engine attributing logistics costs, transporter billings, and Admin GL 5200 subsidies to principal accounts.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PrincipalCommissionRef</w:t>
              <w:br/>
              <w:t>(principal_commission_refs)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source_event_id</w:t>
              <w:br/>
              <w:t>Ref: commission_doc_id -&gt; DOC-37</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gross_sales_val (Numeric 18, 2)</w:t>
              <w:br/>
              <w:t>commission_rate_pct (Numeric 6, 2)</w:t>
              <w:br/>
              <w:t>commission_amount (Numeric 18, 2)</w:t>
              <w:br/>
              <w:t>status (ACCRUED, BILLED, SETTLED)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Commercial settlement reference connecting dispatched sales throughput to earned C&amp;F commission without duplicate accounting journals.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PrincipalSyncCheckpoint</w:t>
              <w:br/>
              <w:t>(principal_sync_checkpoints)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scope_key (STOCK, CLAIMS, RECON, EVENTS)</w:t>
              <w:br/>
              <w:t>cursor (String 100)</w:t>
              <w:br/>
              <w:t>hash (String 64: SHA-256)</w:t>
              <w:br/>
              <w:t>synced_at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Distributed state synchronization cursor ensuring complete ledger consistency between central C&amp;F depots and peripheral distribution branches.</w:t>
            </w:r>
          </w:p>
        </w:tc>
      </w:tr>
    </w:tbl>
    <w:p>
      <w:pPr>
        <w:spacing w:after="160"/>
      </w:pPr>
    </w:p>
    <w:p>
      <w:pPr>
        <w:keepNext/>
        <w:spacing w:before="280" w:after="120"/>
      </w:pPr>
      <w:r>
        <w:rPr>
          <w:rFonts w:ascii="Segoe UI" w:hAnsi="Segoe UI"/>
          <w:b/>
          <w:i w:val="0"/>
          <w:color w:val="2D6A4F"/>
          <w:sz w:val="27"/>
        </w:rPr>
        <w:t>22.2 RESTful API Directory (/api/principal/*)</w:t>
      </w:r>
    </w:p>
    <w:p>
      <w:pPr>
        <w:spacing w:before="0" w:after="120" w:line="276" w:lineRule="auto"/>
        <w:jc w:val="left"/>
      </w:pPr>
      <w:r>
        <w:rPr>
          <w:rFonts w:ascii="Segoe UI" w:hAnsi="Segoe UI"/>
          <w:b w:val="0"/>
          <w:i w:val="0"/>
          <w:color w:val="1E293B"/>
          <w:sz w:val="21"/>
        </w:rPr>
        <w:t>All DOC-36 backend services are exposed under the /api/principal namespace with mandatory JWT authentication, organization tenant isolation, and strict parameter validation via Pydantic schemas: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{active_principals_count, total_stock_value, total_stock_quantity, pending_claims_value, approved_reconciliations_count, admin_funded_freight}}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the Control Center. Aggregates custody valuation, open claim liability, and Platform Admin freight subsidies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search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{principals: [{id, principal_code, principal_name, agreement_number, agreement_version, commission_rate_pct, total_stock_val, status}]}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Searchable catalog of registered pharmaceutical principals with active agreement terms, commission percentages, and live stock holding figures.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{position: {principal: {...}, stock_summary: {...}, stock_lines: [...], sales_movements: [...], open_claims: [...], cost_attributions: [...], reconciliations: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Comprehensive operational position retrieving SKU/batch custody segregation, batch expiry dates, recent dispatches, open breakage claims, and freight subsidies.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/api/principal/{id}/statement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w:t>
              <w:br/>
              <w:t>Query: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{statement: {run_number, period, opening_stock, receipts, sales, returns, claims, freight_costs, closing_stock, lines: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Reconstructs non-editable period business statement from source vouchers and immutable event logs; enforces Zero Balance Override invariant.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/api/principal/claims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claim_type, source_doc_type, source_doc_id, product_name, batch_no, claimed_qty, rate, reason, evidence_url}</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claim: {id, claim_number, claimed_amount, status: 'PENDING'}}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operational claim (Expiry, Breakage, Shortage) with automated number generation (CLM-PRN-YYYY-XXXX), batch provenance, and audit logging.</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 claim_id)</w:t>
              <w:br/>
              <w:t>Payload: {action: 'APPROVE'|'DISPUTE'|'PASS_TO_SETTLEMENT'|'REJECT', approved_amount, resolution_notes}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claim: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multi-stage approval workflow on operational claims without historical ledger tampering, updating claim lifecycle state and settlement linkages.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recon_number, period_from, period_to, system_closing_val, external_closing_val, net_variance_val, status, lines_count}]}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historical three-way reconciliation matching runs with net variance metrics, line counts, approval timestamps, and audit status flags.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 external_closing_val, discrepancy_reason}</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recon_number, net_variance_val, matched_lines_count, status: 'APPROVED'}}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automated three-way matching engine comparing system valuation against external principal statements, logging variance items and audit trails.</w:t>
            </w:r>
          </w:p>
        </w:tc>
      </w:tr>
    </w:tbl>
    <w:p>
      <w:pPr>
        <w:spacing w:after="160"/>
      </w:pPr>
    </w:p>
    <w:p>
      <w:pPr>
        <w:keepNext/>
        <w:spacing w:before="280" w:after="120"/>
      </w:pPr>
      <w:r>
        <w:rPr>
          <w:rFonts w:ascii="Segoe UI" w:hAnsi="Segoe UI"/>
          <w:b/>
          <w:i w:val="0"/>
          <w:color w:val="2D6A4F"/>
          <w:sz w:val="27"/>
        </w:rPr>
        <w:t>22.3 Terminal Cockpits, Screen Layouts, Hotkeys &amp; UI Element Catalog</w:t>
      </w:r>
    </w:p>
    <w:p>
      <w:pPr>
        <w:spacing w:before="0" w:after="120" w:line="276" w:lineRule="auto"/>
        <w:jc w:val="left"/>
      </w:pPr>
      <w:r>
        <w:rPr>
          <w:rFonts w:ascii="Segoe UI" w:hAnsi="Segoe UI"/>
          <w:b w:val="0"/>
          <w:i w:val="0"/>
          <w:color w:val="1E293B"/>
          <w:sz w:val="21"/>
        </w:rPr>
        <w:t>DOC-36 features two dedicated high-density terminal cockpits adhering to the system's Marg/Tally keyboard-first design standards, styled with forest green (#15803d) luxury accents and instant zero-mouse navigation:</w:t>
      </w:r>
    </w:p>
    <w:p>
      <w:pPr>
        <w:spacing w:before="0" w:after="120" w:line="276" w:lineRule="auto"/>
        <w:jc w:val="left"/>
      </w:pPr>
      <w:r>
        <w:rPr>
          <w:rFonts w:ascii="Segoe UI" w:hAnsi="Segoe UI"/>
          <w:b w:val="0"/>
          <w:i w:val="0"/>
          <w:color w:val="1E293B"/>
          <w:sz w:val="21"/>
        </w:rPr>
        <w:t>1. Principal Operational Control Center (/principal): Houses 5 top telemetry KPI cards, agreement terms banner, and 5 functional tabs switchable via hotkeys [F2] through [F6]. Includes the New Claim modal dialog triggered via [F7].</w:t>
      </w:r>
    </w:p>
    <w:p>
      <w:pPr>
        <w:spacing w:before="0" w:after="120" w:line="276" w:lineRule="auto"/>
        <w:jc w:val="left"/>
      </w:pPr>
      <w:r>
        <w:rPr>
          <w:rFonts w:ascii="Segoe UI" w:hAnsi="Segoe UI"/>
          <w:b w:val="0"/>
          <w:i w:val="0"/>
          <w:color w:val="1E293B"/>
          <w:sz w:val="21"/>
        </w:rPr>
        <w:t>2. Principal Business Statement Desk (/principal/statement): Full-screen drill-down reconstructable statement workbench with principal selector, transaction category filters, native print formatting, and complete backward audit traceability.</w:t>
      </w:r>
    </w:p>
    <w:p>
      <w:pPr>
        <w:spacing w:before="0" w:after="120" w:line="276" w:lineRule="auto"/>
        <w:jc w:val="left"/>
      </w:pPr>
      <w:r>
        <w:rPr>
          <w:rFonts w:ascii="Segoe UI" w:hAnsi="Segoe UI"/>
          <w:b w:val="0"/>
          <w:i w:val="0"/>
          <w:color w:val="1E293B"/>
          <w:sz w:val="21"/>
        </w:rPr>
        <w:t>3. Counter Workbench Launcher: Added #hub-btn-principal-management tile to the Home Screen with global shortcut [Ctrl+3].</w:t>
      </w:r>
    </w:p>
    <w:p>
      <w:pPr>
        <w:spacing w:before="0" w:after="120" w:line="276" w:lineRule="auto"/>
        <w:jc w:val="left"/>
      </w:pPr>
      <w:r>
        <w:rPr>
          <w:rFonts w:ascii="Segoe UI" w:hAnsi="Segoe UI"/>
          <w:b w:val="0"/>
          <w:i w:val="0"/>
          <w:color w:val="1E293B"/>
          <w:sz w:val="21"/>
        </w:rPr>
        <w:t>4. Hierarchical [Esc] Lifecycle: Universal Escape key listener safely dismisses active modals and slide-over drawers without unintended page redirects.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[Ctrl+3]</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Principal Operational Control Center.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#kpi-active-principals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pharmaceutical principals with registered operational agreements.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#kpi-total-stock-val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aggregate valuation and unit count of consignment custody inventory held across warehouses.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#kpi-pending-claims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open claim liability value across breakage, expiry, and shortage loss events.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#kpi-reconciled-health</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approved three-way reconciliation run count and net variance health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#kpi-freight-attribution</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Admin-funded freight logistics subsidy (GL Account 5200) linked to DOC-35 dispatches.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#tab-btn-stock</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Stock Ownership &amp; Custody Matrix showing SKU/batch segregation and warehouse allocations.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[F3]</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Claims &amp; Returns Desk for tracking operational claims, batch provenance, and approval actions.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#tab-btn-recon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3-Way Reconciliation Workspace for auditing external statements against system 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#tab-btn-statement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[F5]</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embedded Authoritative Reconstructable Statement tab with opening, movements, and closing values.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#tab-btn-mis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Commercial MIS &amp; Operational Profitability dashboard with throughput and commission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modal dialog to register a new operational claim with batch linkage (#modal-new-claim).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#modal-new-claim</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Form capturing claim details (Product, Batch, Qty, Rate, Reason); dismisses cleanly via Escape key.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#select-statement-principal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Select Dropdown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Filters reconstructable business statement by specific pharmaceutical principal entity.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#table-statement-lines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Data Grid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Renders reconstructed transaction lines across Inward, Sales, Returns, Claims, and Freight categories.</w:t>
            </w:r>
          </w:p>
        </w:tc>
      </w:tr>
    </w:tbl>
    <w:p>
      <w:pPr>
        <w:spacing w:after="160"/>
      </w:pPr>
    </w:p>
    <w:p>
      <w:pPr>
        <w:keepNext/>
        <w:spacing w:before="280" w:after="120"/>
      </w:pPr>
      <w:r>
        <w:rPr>
          <w:rFonts w:ascii="Segoe UI" w:hAnsi="Segoe UI"/>
          <w:b/>
          <w:i w:val="0"/>
          <w:color w:val="2D6A4F"/>
          <w:sz w:val="27"/>
        </w:rPr>
        <w:t>22.4 Local Automated Selenium Verification Suite (10 Stages - 100% PASS)</w:t>
      </w:r>
    </w:p>
    <w:p>
      <w:pPr>
        <w:spacing w:before="0" w:after="120" w:line="276" w:lineRule="auto"/>
        <w:jc w:val="left"/>
      </w:pPr>
      <w:r>
        <w:rPr>
          <w:rFonts w:ascii="Segoe UI" w:hAnsi="Segoe UI"/>
          <w:b w:val="0"/>
          <w:i w:val="0"/>
          <w:color w:val="1E293B"/>
          <w:sz w:val="21"/>
        </w:rPr>
        <w:t>The complete full-stack implementation was validated via an automated headless Chrome Selenium verification suite (test_principal_operations_selenium.py) executing at 1440x950 resolution against the live backend (Port 8000) and Vite frontend (Port 50005).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Validated organization ID and session storage auth payload.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&gt;= 2 active principals, ₹105,600.00 custody valuation, 5,400 units, ₹2,450.00 pending claims, and GL 5200 subsidy.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Principal Catalog &amp; Agreements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Asserted 2 principals: Sun Pharma Healthcare Ltd. (AGR-SUN-2026-001, 6.5% comm) and Cipla Therapeutics Ltd. (AGR-CIP-2026-002, 5.0% comm).</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Custody Segregation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SKU/batch custody segregation (Azithromycin 250mg Tablets, Batch B-CIP-812, CONSIGNMENT_CUSTODY mode).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Operational Claims Workflow</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/api/principal/claims</w:t>
              <w:br/>
              <w:t>POST /claims/{id}/action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Created claim CLM-PRN-2026-0004 (BREAKAGE, ₹55.00). Executed APPROVE action; verified status transition without ledger tampering.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Run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automated match against external closing valuation. Asserted net_variance_val == 0.00, generated REC-PRN-2026-0003.</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Integration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#hub-btn-principal-management launcher on Counter Workbench. Captured verified_principal_homescreen_launcher.png.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Control Center &amp; KPI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driver.get('http://localhost:50005/principal')</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all 5 Top KPI telemetry cards (#kpi-active-principals, #kpi-total-stock-val, etc.). Captured verified_principal_control_center.png.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Tabs Switching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[F3], Action [F7], Key [Esc]</w:t>
              <w:br/>
              <w:t>Tabs [F4] &amp; [F5]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Switched to Claims Desk [F3]. Opened #modal-new-claim [F7] and verified clean [Esc] dismissal. Verified Statement [F5] and Recon [F4]. Captured screenshots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22.5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verify_live_vercel_principal_audit.py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#hub-btn-principal-management presence. Captured live_vercel_principal_homescreen_launcher.png.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5 Top KPI cards (#kpi-active-principals, #kpi-total-stock-val, #kpi-pending-claims, #kpi-reconciled-health, #kpi-freight-attribution). Captured live_vercel_principal_control_center.png.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Claims Desk &amp; Hotkey Modal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https://erp-rho-three.vercel.app/principal</w:t>
              <w:br/>
              <w:t>Trigger: #tab-btn-claims &amp; [F7]</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Claims Desk [F3]. Triggered #modal-new-claim [F7]. Verified visibility and verified instant [Esc] dismissal cleanly. Captured live_vercel_principal_claims_desk.png.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Full-Screen Statement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https://erp-rho-three.vercel.app/principal/statement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full-screen authoritative statement desk with #select-statement-principal, transaction line rendering, and zero manual balance overrides. Captured live_vercel_principal_statement_desk.png.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22.6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9" name="Picture 9"/>
            <wp:cNvGraphicFramePr>
              <a:graphicFrameLocks noChangeAspect="1"/>
            </wp:cNvGraphicFramePr>
            <a:graphic>
              <a:graphicData uri="http://schemas.openxmlformats.org/drawingml/2006/picture">
                <pic:pic>
                  <pic:nvPicPr>
                    <pic:cNvPr id="0" name="verified_principal_homescreen_launcher.png"/>
                    <pic:cNvPicPr/>
                  </pic:nvPicPr>
                  <pic:blipFill>
                    <a:blip r:embed="rId1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22.1: Local Verified Counter Workbench (/) displaying the dedicated Principal &amp; C&amp;F Operations Management hub tile (#hub-btn-principal-management) mapped to global hotkey [Ctrl+3].</w:t>
      </w:r>
    </w:p>
    <w:p>
      <w:pPr>
        <w:spacing w:before="160" w:after="40"/>
        <w:jc w:val="center"/>
      </w:pPr>
      <w:r>
        <w:drawing>
          <wp:inline xmlns:a="http://schemas.openxmlformats.org/drawingml/2006/main" xmlns:pic="http://schemas.openxmlformats.org/drawingml/2006/picture">
            <wp:extent cx="5669280" cy="3181495"/>
            <wp:docPr id="10" name="Picture 10"/>
            <wp:cNvGraphicFramePr>
              <a:graphicFrameLocks noChangeAspect="1"/>
            </wp:cNvGraphicFramePr>
            <a:graphic>
              <a:graphicData uri="http://schemas.openxmlformats.org/drawingml/2006/picture">
                <pic:pic>
                  <pic:nvPicPr>
                    <pic:cNvPr id="0" name="verified_principal_control_center.png"/>
                    <pic:cNvPicPr/>
                  </pic:nvPicPr>
                  <pic:blipFill>
                    <a:blip r:embed="rId1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22.2: Local Verified Principal Operational Control Center (/principal) featuring 5 top telemetry KPI cards, agreement terms banner, and the Stock Ownership &amp; Custody Matrix tab [F2].</w:t>
      </w:r>
    </w:p>
    <w:p>
      <w:pPr>
        <w:spacing w:before="160" w:after="40"/>
        <w:jc w:val="center"/>
      </w:pPr>
      <w:r>
        <w:drawing>
          <wp:inline xmlns:a="http://schemas.openxmlformats.org/drawingml/2006/main" xmlns:pic="http://schemas.openxmlformats.org/drawingml/2006/picture">
            <wp:extent cx="5669280" cy="3181495"/>
            <wp:docPr id="11" name="Picture 11"/>
            <wp:cNvGraphicFramePr>
              <a:graphicFrameLocks noChangeAspect="1"/>
            </wp:cNvGraphicFramePr>
            <a:graphic>
              <a:graphicData uri="http://schemas.openxmlformats.org/drawingml/2006/picture">
                <pic:pic>
                  <pic:nvPicPr>
                    <pic:cNvPr id="0" name="verified_principal_claims_desk.png"/>
                    <pic:cNvPicPr/>
                  </pic:nvPicPr>
                  <pic:blipFill>
                    <a:blip r:embed="rId1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22.3: Local Verified Claims &amp; Returns Desk (/principal) displaying the operational claims register, batch provenance tracking, and the New Claim Modal [F7] with [Esc] dismissal.</w:t>
      </w:r>
    </w:p>
    <w:p>
      <w:pPr>
        <w:spacing w:before="160" w:after="40"/>
        <w:jc w:val="center"/>
      </w:pPr>
      <w:r>
        <w:drawing>
          <wp:inline xmlns:a="http://schemas.openxmlformats.org/drawingml/2006/main" xmlns:pic="http://schemas.openxmlformats.org/drawingml/2006/picture">
            <wp:extent cx="5669280" cy="3181495"/>
            <wp:docPr id="12" name="Picture 12"/>
            <wp:cNvGraphicFramePr>
              <a:graphicFrameLocks noChangeAspect="1"/>
            </wp:cNvGraphicFramePr>
            <a:graphic>
              <a:graphicData uri="http://schemas.openxmlformats.org/drawingml/2006/picture">
                <pic:pic>
                  <pic:nvPicPr>
                    <pic:cNvPr id="0" name="verified_principal_reconciliation_statement.png"/>
                    <pic:cNvPicPr/>
                  </pic:nvPicPr>
                  <pic:blipFill>
                    <a:blip r:embed="rId2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22.4: Local Verified 3-Way Reconciliation Workspace and Reconstructable Business Statement with transaction-level backward audit traceability and zero manual overrides.</w:t>
      </w:r>
    </w:p>
    <w:p>
      <w:pPr>
        <w:spacing w:before="160" w:after="40"/>
        <w:jc w:val="center"/>
      </w:pPr>
      <w:r>
        <w:drawing>
          <wp:inline xmlns:a="http://schemas.openxmlformats.org/drawingml/2006/main" xmlns:pic="http://schemas.openxmlformats.org/drawingml/2006/picture">
            <wp:extent cx="5669280" cy="3181495"/>
            <wp:docPr id="13" name="Picture 13"/>
            <wp:cNvGraphicFramePr>
              <a:graphicFrameLocks noChangeAspect="1"/>
            </wp:cNvGraphicFramePr>
            <a:graphic>
              <a:graphicData uri="http://schemas.openxmlformats.org/drawingml/2006/picture">
                <pic:pic>
                  <pic:nvPicPr>
                    <pic:cNvPr id="0" name="live_vercel_principal_homescreen_launcher.png"/>
                    <pic:cNvPicPr/>
                  </pic:nvPicPr>
                  <pic:blipFill>
                    <a:blip r:embed="rId2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14" name="Picture 14"/>
            <wp:cNvGraphicFramePr>
              <a:graphicFrameLocks noChangeAspect="1"/>
            </wp:cNvGraphicFramePr>
            <a:graphic>
              <a:graphicData uri="http://schemas.openxmlformats.org/drawingml/2006/picture">
                <pic:pic>
                  <pic:nvPicPr>
                    <pic:cNvPr id="0" name="live_vercel_principal_control_center.png"/>
                    <pic:cNvPicPr/>
                  </pic:nvPicPr>
                  <pic:blipFill>
                    <a:blip r:embed="rId2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22.6: Live Vercel Production Cloud Control Center (/principal) verifying live telemetry KPI cards, agreement versioning, and custody inventory monitoring.</w:t>
      </w:r>
    </w:p>
    <w:p>
      <w:pPr>
        <w:spacing w:before="160" w:after="40"/>
        <w:jc w:val="center"/>
      </w:pPr>
      <w:r>
        <w:drawing>
          <wp:inline xmlns:a="http://schemas.openxmlformats.org/drawingml/2006/main" xmlns:pic="http://schemas.openxmlformats.org/drawingml/2006/picture">
            <wp:extent cx="5669280" cy="3181495"/>
            <wp:docPr id="15" name="Picture 15"/>
            <wp:cNvGraphicFramePr>
              <a:graphicFrameLocks noChangeAspect="1"/>
            </wp:cNvGraphicFramePr>
            <a:graphic>
              <a:graphicData uri="http://schemas.openxmlformats.org/drawingml/2006/picture">
                <pic:pic>
                  <pic:nvPicPr>
                    <pic:cNvPr id="0" name="live_vercel_principal_claims_desk.png"/>
                    <pic:cNvPicPr/>
                  </pic:nvPicPr>
                  <pic:blipFill>
                    <a:blip r:embed="rId2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22.7: Live Vercel Production Cloud Claims Desk verifying modal dialog rendering and instant [Esc] keyboard dismissal on production CDN.</w:t>
      </w:r>
    </w:p>
    <w:p>
      <w:pPr>
        <w:spacing w:before="160" w:after="40"/>
        <w:jc w:val="center"/>
      </w:pPr>
      <w:r>
        <w:drawing>
          <wp:inline xmlns:a="http://schemas.openxmlformats.org/drawingml/2006/main" xmlns:pic="http://schemas.openxmlformats.org/drawingml/2006/picture">
            <wp:extent cx="5669280" cy="3181495"/>
            <wp:docPr id="16" name="Picture 16"/>
            <wp:cNvGraphicFramePr>
              <a:graphicFrameLocks noChangeAspect="1"/>
            </wp:cNvGraphicFramePr>
            <a:graphic>
              <a:graphicData uri="http://schemas.openxmlformats.org/drawingml/2006/picture">
                <pic:pic>
                  <pic:nvPicPr>
                    <pic:cNvPr id="0" name="live_vercel_principal_statement_desk.png"/>
                    <pic:cNvPicPr/>
                  </pic:nvPicPr>
                  <pic:blipFill>
                    <a:blip r:embed="rId2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22.8: Live Vercel Production Cloud Full-Screen Authoritative Statement Desk (/principal/statement) validating zero manual balance overrides and source-level auditability.</w:t>
      </w:r>
    </w:p>
    <w:p>
      <w:pPr>
        <w:spacing w:after="240"/>
      </w:pPr>
    </w:p>
    <w:p>
      <w:pPr>
        <w:keepNext/>
        <w:spacing w:before="360" w:after="160"/>
      </w:pPr>
      <w:r>
        <w:rPr>
          <w:rFonts w:ascii="Segoe UI" w:hAnsi="Segoe UI"/>
          <w:b/>
          <w:i w:val="0"/>
          <w:color w:val="1B4332"/>
          <w:sz w:val="36"/>
        </w:rPr>
        <w:t>SECTION 23: DOC-37 PRINCIPAL &amp; C&amp;F COMMISSION &amp; RECOVERY ENGINE v2.0</w:t>
      </w:r>
    </w:p>
    <w:p>
      <w:pPr>
        <w:spacing w:before="0" w:after="120" w:line="276" w:lineRule="auto"/>
        <w:jc w:val="left"/>
      </w:pPr>
      <w:r>
        <w:rPr>
          <w:rFonts w:ascii="Segoe UI" w:hAnsi="Segoe UI"/>
          <w:b w:val="0"/>
          <w:i w:val="0"/>
          <w:color w:val="1E293B"/>
          <w:sz w:val="21"/>
        </w:rPr>
        <w:t>DOC-37 establishes the enterprise commercial commission calculation and expense recovery subsystem for Principal and C&amp;F operations. Built strictly adhering to the 4 architectural invariants, it unifies rate contract versioning, deterministic on-the-fly commission calculation, 4-eyes claim submission and approval workflows, service invoice and debit note linking, consolidated periodic recovery statement generation, and immutable SHA-256 audit trails.</w:t>
      </w:r>
    </w:p>
    <w:p>
      <w:pPr>
        <w:keepNext/>
        <w:spacing w:before="280" w:after="120"/>
      </w:pPr>
      <w:r>
        <w:rPr>
          <w:rFonts w:ascii="Segoe UI" w:hAnsi="Segoe UI"/>
          <w:b/>
          <w:i w:val="0"/>
          <w:color w:val="2D6A4F"/>
          <w:sz w:val="27"/>
        </w:rPr>
        <w:t>23.1 Engine Architecture, 4 Architectural Invariants &amp; Relational Schema Directory (14 PostgreSQL Models)</w:t>
      </w:r>
    </w:p>
    <w:p>
      <w:pPr>
        <w:spacing w:before="0" w:after="120" w:line="276" w:lineRule="auto"/>
        <w:jc w:val="left"/>
      </w:pPr>
      <w:r>
        <w:rPr>
          <w:rFonts w:ascii="Segoe UI" w:hAnsi="Segoe UI"/>
          <w:b w:val="0"/>
          <w:i w:val="0"/>
          <w:color w:val="1E293B"/>
          <w:sz w:val="21"/>
        </w:rPr>
        <w:t>DOC-37 is engineered around four non-negotiable architectural invariants designed to prevent financial ledger corruption and ensure total auditability across multi-tier pharmaceutical distribution networks:</w:t>
      </w:r>
    </w:p>
    <w:p>
      <w:pPr>
        <w:spacing w:before="0" w:after="120" w:line="276" w:lineRule="auto"/>
        <w:jc w:val="left"/>
      </w:pPr>
      <w:r>
        <w:rPr>
          <w:rFonts w:ascii="Segoe UI" w:hAnsi="Segoe UI"/>
          <w:b w:val="0"/>
          <w:i w:val="0"/>
          <w:color w:val="1E293B"/>
          <w:sz w:val="21"/>
        </w:rPr>
        <w:t>1. Zero Duplicate Ledgers: DOC-37 never creates shadow accounting ledgers. Calculations, claims, and recovery statements remain operational commercial objects. Financial recognition strictly routes through DOC-08 General Ledger, DOC-29 Statutory Tax, DOC-16 Stock, and DOC-07 Settlements via standard service invoices or credit/debit notes.</w:t>
      </w:r>
    </w:p>
    <w:p>
      <w:pPr>
        <w:spacing w:before="0" w:after="120" w:line="276" w:lineRule="auto"/>
        <w:jc w:val="left"/>
      </w:pPr>
      <w:r>
        <w:rPr>
          <w:rFonts w:ascii="Segoe UI" w:hAnsi="Segoe UI"/>
          <w:b w:val="0"/>
          <w:i w:val="0"/>
          <w:color w:val="1E293B"/>
          <w:sz w:val="21"/>
        </w:rPr>
        <w:t>2. Separation of Earned Commission vs Recoverable Expenses: Turnover commission (commercial income earned on goods sold) is strictly segregated from recoverable expenses (operational recharges for freight, demurrage, loading, and repacking). This guarantees clean taxability and profit-and-loss categorization.</w:t>
      </w:r>
    </w:p>
    <w:p>
      <w:pPr>
        <w:spacing w:before="0" w:after="120" w:line="276" w:lineRule="auto"/>
        <w:jc w:val="left"/>
      </w:pPr>
      <w:r>
        <w:rPr>
          <w:rFonts w:ascii="Segoe UI" w:hAnsi="Segoe UI"/>
          <w:b w:val="0"/>
          <w:i w:val="0"/>
          <w:color w:val="1E293B"/>
          <w:sz w:val="21"/>
        </w:rPr>
        <w:t>3. Deterministic Explainability &amp; SHA-256 Integrity: Every calculation freezes its exact mathematical formula trace, unit rates, slab parameters, and generates an immutable SHA-256 hash. Retroactive changes never overwrite history; they generate explicit delta adjustments (commission_adjustments).</w:t>
      </w:r>
    </w:p>
    <w:p>
      <w:pPr>
        <w:spacing w:before="0" w:after="120" w:line="276" w:lineRule="auto"/>
        <w:jc w:val="left"/>
      </w:pPr>
      <w:r>
        <w:rPr>
          <w:rFonts w:ascii="Segoe UI" w:hAnsi="Segoe UI"/>
          <w:b w:val="0"/>
          <w:i w:val="0"/>
          <w:color w:val="1E293B"/>
          <w:sz w:val="21"/>
        </w:rPr>
        <w:t>4. 4-Eyes Claim Workflow &amp; Dispute Isolation: Recovery claims support partial approval, allowing undisputed amounts to be invoiced immediately while disputed items are isolated into quarantine without blocking periodic settlement runs.</w:t>
      </w:r>
    </w:p>
    <w:p>
      <w:pPr>
        <w:spacing w:before="0" w:after="120" w:line="276" w:lineRule="auto"/>
        <w:jc w:val="left"/>
      </w:pPr>
      <w:r>
        <w:rPr>
          <w:rFonts w:ascii="Segoe UI" w:hAnsi="Segoe UI"/>
          <w:b w:val="0"/>
          <w:i w:val="0"/>
          <w:color w:val="1E293B"/>
          <w:sz w:val="21"/>
        </w:rPr>
        <w:t>The underlying PostgreSQL database schema comprises 14 tightly typed relational models registered in backend/models.py and initialized via backend/init_commission_tables.py:</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Relational Model &amp; Table Name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 Topology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Business Function &amp; Invariant Enforcement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PrincipalCommissionAgreement</w:t>
              <w:br/>
              <w:t>(principal_commission_agreements)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agreement_code (String 80)</w:t>
              <w:br/>
              <w:t>version_no (String 20: v1.0)</w:t>
              <w:br/>
              <w:t>valid_from, valid_to (DateTime)</w:t>
              <w:br/>
              <w:t>status (ACTIVE, SUPERSEDED)</w:t>
              <w:br/>
              <w:t>terms_json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legal agreement binding the principal to specific commercial terms, payment frequencies, dispute grace periods, and minimum guarantee rules.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CommissionRule</w:t>
              <w:br/>
              <w:t>(commission_rules)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agreement_id -&gt; principal_commission_agreements.id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rule_code (String 50)</w:t>
              <w:br/>
              <w:t>rule_name (String 150)</w:t>
              <w:br/>
              <w:t>priority (Integer)</w:t>
              <w:br/>
              <w:t>rule_type (PERCENTAGE, PER_UNIT, FIXED_PERIOD, MINIMUM_GUARANTEE)</w:t>
              <w:br/>
              <w:t>rate_pct, unit_rate, min_guarantee_amount (Numeric)</w:t>
              <w:br/>
              <w:t>formula_config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Defines specific mathematical calculation formulas (e.g. 6.5% Net Turnover, ₹15/package handling, ₹25,000 monthly minimum guarantee floor).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CommissionScope</w:t>
              <w:br/>
              <w:t>(commission_scopes)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rule_id -&gt; commission_rules.id</w:t>
              <w:br/>
              <w:t>FK: branch_id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customer_scope (ALL, TIER, SPECIFIC)</w:t>
              <w:br/>
              <w:t>territory_scope (ALL, REGIONAL)</w:t>
              <w:br/>
              <w:t>scope_filter_json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applicability boundaries restricting commission rules to specific product categories, customer tiers, or geographic territories.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CommissionEvent</w:t>
              <w:br/>
              <w:t>(commission_events)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(SALES_BILL, SALES_RETURN, FREIGHT_COST, STORAGE_CHARGE, LOADING_CHARGE)</w:t>
              <w:br/>
              <w:t>source_doc_type (INVOICE, RETURN, FREIGHT_EVENT, CONSIGNMENT)</w:t>
              <w:br/>
              <w:t>source_doc_id (String 100)</w:t>
              <w:br/>
              <w:t>idempotency_key (String 120 unique)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Idempotent operational event trigger recording source transaction provenance before calculation execution, preventing duplicate calculation runs.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CommissionMeasure</w:t>
              <w:br/>
              <w:t>(commission_measures)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measure_type (NET_SALES_VALUE, GROSS_SALES_VALUE, QUANTITY_UNITS, PACKAGE_COUNT)</w:t>
              <w:br/>
              <w:t>base_amount (Numeric 14, 2)</w:t>
              <w:br/>
              <w:t>base_quantity (Numeric 14, 2)</w:t>
              <w:br/>
              <w:t>uom (String 20: INR, PACKAGES)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Normalized quantitative basis for computation, establishing the exact net sales value or physical handling count.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CommissionCalculation</w:t>
              <w:br/>
              <w:t>(commission_calculations)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br/>
              <w:t>FK: rule_id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calculation_number (String 80 unique)</w:t>
              <w:br/>
              <w:t>category (EARNED_COMMISSION, RECOVERABLE_EXPENSE)</w:t>
              <w:br/>
              <w:t>base_value (Numeric 14, 2)</w:t>
              <w:br/>
              <w:t>rate_applied (Numeric 8, 4)</w:t>
              <w:br/>
              <w:t>calculated_amount (Numeric 14, 2)</w:t>
              <w:br/>
              <w:t>formula_trace (Text)</w:t>
              <w:br/>
              <w:t>state (CALCULATED, APPROVED, BATCHED, RECOVERY_CREATED, DISPUTED)</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Deterministic calculation record storing frozen formula breakdown, state lifecycle, and tamper-evident SHA-256 cryptographic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CommissionAdjustment</w:t>
              <w:br/>
              <w:t>(commission_adjustments)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original_calc_id -&gt; commission_calculations.id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delta_amount (Numeric 14, 2)</w:t>
              <w:br/>
              <w:t>reason_code (RETURN_REDUCTION, RATE_CORRECTION, DISPUTE_RESOLUTION)</w:t>
              <w:br/>
              <w:t>description (Text)</w:t>
              <w:br/>
              <w:t>approved_by_id (UUID)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Audit-preserving delta adjustments recording post-calculation amendments (e.g. sales returns or dispute resolutions) without overwriting historical calculations.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RecoveryClaim</w:t>
              <w:br/>
              <w:t>(recovery_claims)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claim_number (String 80 unique)</w:t>
              <w:br/>
              <w:t>period_from, period_to (DateTime)</w:t>
              <w:br/>
              <w:t>total_earned_commission (Numeric 14, 2)</w:t>
              <w:br/>
              <w:t>total_recoverable_expenses (Numeric 14, 2)</w:t>
              <w:br/>
              <w:t>total_claimed_amount (Numeric 14, 2)</w:t>
              <w:br/>
              <w:t>approved_amount, disputed_amount (Numeric 14, 2)</w:t>
              <w:br/>
              <w:t>status (DRAFT, SUBMITTED, APPROVED, PARTIALLY_APPROVED, RECOVERY_CREATED)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Formal commercial claim package aggregating approved earned commissions and recoverable expenses for 4-eyes principal approval and settlement.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RecoveryClaimLine</w:t>
              <w:br/>
              <w:t>(recovery_claim_lines)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br/>
              <w:t>FK: calc_id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source_doc_type, source_doc_id (String)</w:t>
              <w:br/>
              <w:t>line_description (String 255)</w:t>
              <w:br/>
              <w:t>requested_amount, approved_amount, disputed_amount (Numeric 14, 2)</w:t>
              <w:br/>
              <w:t>status (PENDING, APPROVED, DISPUTED)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itemization of claim components linking back to original calculation events or direct expense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RecoveryDocumentLink</w:t>
              <w:br/>
              <w:t>(recovery_document_links)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document_type (SERVICE_INVOICE, CREDIT_NOTE, DEBIT_NOTE)</w:t>
              <w:br/>
              <w:t>document_number (String 100)</w:t>
              <w:br/>
              <w:t>amount (Numeric 14, 2)</w:t>
              <w:br/>
              <w:t>linked_at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Explicit financial cross-link bridging approved operational claims into DOC-08/DOC-29 General Ledger and Statutory Tax billing.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RecoveryStatement</w:t>
              <w:br/>
              <w:t>(recovery_statements)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statement_number (String 80 unique)</w:t>
              <w:br/>
              <w:t>period_from, period_to (DateTime)</w:t>
              <w:br/>
              <w:t>earned_commission, expense_recovery, approved_commercial, invoiced_total, settled_total, outstanding_balance (Numeric 14, 2)</w:t>
              <w:br/>
              <w:t>statement_hash (String 64)</w:t>
              <w:br/>
              <w:t>status (GENERATED, RECONCILED)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Periodic authoritative commercial statement summarizing turnover earnings, recoverable ancillaries, bank remittances, and outstanding principal balance.</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RecoveryStatementLine</w:t>
              <w:br/>
              <w:t>(recovery_statement_lines)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statement_id -&gt; recovery_statements.id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category (EARNED_COMMISSION, EXPENSE_RECOVERY, SETTLEMENT)</w:t>
              <w:br/>
              <w:t>reference_doc_id (String 100)</w:t>
              <w:br/>
              <w:t>description (String 255)</w:t>
              <w:br/>
              <w:t>amount (Numeric 14,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Reconstructable line-item movement backing the periodic statement balance with full backward source-document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CommissionException</w:t>
              <w:br/>
              <w:t>(commission_exceptions)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source_id (String 100)</w:t>
              <w:br/>
              <w:t>exception_type (UNMAPPED_PRODUCT, EXPIRED_AGREEMENT, MISSING_RATE_CARD)</w:t>
              <w:br/>
              <w:t>severity (INFO, WARNING, ERROR, CRITICAL)</w:t>
              <w:br/>
              <w:t>description (Text)</w:t>
              <w:br/>
              <w:t>state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Operational exception quarantine catching products without rate cards or expired agreements before calculations are batched.</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CommissionAudit</w:t>
              <w:br/>
              <w:t>(commission_audits)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object_type (CALCULATION, CLAIM, STATEMENT, AGREEMENT)</w:t>
              <w:br/>
              <w:t>object_id (String 100)</w:t>
              <w:br/>
              <w:t>action (CALCULATE, APPROVE, DISPUTE, SUBMIT, RECONCILE)</w:t>
              <w:br/>
              <w:t>actor_username (String 100)</w:t>
              <w:br/>
              <w:t>before_hash, after_hash (String 64)</w:t>
              <w:br/>
              <w:t>details_json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Immutable audit trail capturing user actions, before/after SHA-256 hashes, and timestamped forensic evidence for regulatory compliance.</w:t>
            </w:r>
          </w:p>
        </w:tc>
      </w:tr>
    </w:tbl>
    <w:p>
      <w:pPr>
        <w:spacing w:after="160"/>
      </w:pPr>
    </w:p>
    <w:p>
      <w:pPr>
        <w:keepNext/>
        <w:spacing w:before="280" w:after="120"/>
      </w:pPr>
      <w:r>
        <w:rPr>
          <w:rFonts w:ascii="Segoe UI" w:hAnsi="Segoe UI"/>
          <w:b/>
          <w:i w:val="0"/>
          <w:color w:val="2D6A4F"/>
          <w:sz w:val="27"/>
        </w:rPr>
        <w:t>23.2 Complete RESTful API Specification (/api/commission/*)</w:t>
      </w:r>
    </w:p>
    <w:p>
      <w:pPr>
        <w:spacing w:before="0" w:after="120" w:line="276" w:lineRule="auto"/>
        <w:jc w:val="left"/>
      </w:pPr>
      <w:r>
        <w:rPr>
          <w:rFonts w:ascii="Segoe UI" w:hAnsi="Segoe UI"/>
          <w:b w:val="0"/>
          <w:i w:val="0"/>
          <w:color w:val="1E293B"/>
          <w:sz w:val="21"/>
        </w:rPr>
        <w:t>DOC-37 services are mounted under /api/commission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{total_earned_commission, total_recoverable_expenses, net_commercial_total, open_claims_count, open_claims_amount, active_agreements_count, total_settled, total_outstanding}}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Commission Control Center, reporting live commercial position across all principals.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 status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principal_code, principal_name, agreement_code, version_no, status, terms_json, rules: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active agreements with full nested rule definitions (Percentage, Per-Unit, Minimum Floor) and territory/product scopes.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event_type, source_doc_type, source_doc_id, base_value, quantity, category}</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principal_name, category, calculated_amount, formula_trace, sha256_hash,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on-the-fly deterministic calculation, evaluates active agreement rules, generates frozen formula trace and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category, state, limit (default 50)</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calculation_number, principal_name, category, calculated_amount, formula_trace, state, sha256_hash}]}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auditable calculations ledger with filtering by lifecycle state (CALCULATED, APPROVED, BATCHED, DISPUTED).</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'APPROVE'|'DISPUTE'|'ADJUST'|'CANCEL', delta_amount: float, reason: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calculated_amount, state, sha256_hash}}</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lifecycle state transition. If ADJUST, updates amount, creates CommissionAdjustment delta record, and re-computes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status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claim_number, principal_name, period_from, period_to, total_claimed_amount, approved_amount, status, lines: [...], linked_documents: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Lists recovery claims with itemized lines and linked commercial documents (Service Invoices, Debit Notes).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period_from, period_to, calc_ids: [UUID], lines: [...],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claim_number, principal_name, total_claimed_amount, status: 'DRAFT'}}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Batches approved earned commissions and recoverable expenses into a formal recovery claim, updating calc states to BATCHED.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br/>
              <w:t>Payload: {action: 'SUBMIT'|'APPROVE'|'DISPUTE'|'CREATE_DOCUMENT'|'SETTLE', approved_amount, document_type}</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Performs 4-eyes claim actions. CREATE_DOCUMENT generates linked Service Invoice (SINV-2026-XXXX) without duplicating general ledger.</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statement_number, principal_name, earned_commission, expense_recovery, invoiced_total, settled_total, outstanding_balance, statement_hash, lines: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periodic recovery statements reconciling commercial earnings, recoverable expenses, and bank remittances.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statement_number, principal_name, approved_commercial, outstanding_balance, statement_hash}}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Consolidates period calculations and claims into a formal periodic recovery statement with cryptographic integrity hash.</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state (OPEN, RESOLVED)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source_id, exception_type, severity, description,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operational exceptions queue for unmapped products or rate card discrepancies.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/api/commission/exceptions/{id}/resolve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message: 'Exception marked as RESOLVED'}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Resolves an exception record after contract amendment or supervisor clearance.</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/api/commission/audits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limit (default 50)</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object_type, object_id, action, actor_username, before_hash, after_hash,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immutable forensic audit trail records with SHA-256 before/after state hashes.</w:t>
            </w:r>
          </w:p>
        </w:tc>
      </w:tr>
    </w:tbl>
    <w:p>
      <w:pPr>
        <w:spacing w:after="160"/>
      </w:pPr>
    </w:p>
    <w:p>
      <w:pPr>
        <w:keepNext/>
        <w:spacing w:before="280" w:after="120"/>
      </w:pPr>
      <w:r>
        <w:rPr>
          <w:rFonts w:ascii="Segoe UI" w:hAnsi="Segoe UI"/>
          <w:b/>
          <w:i w:val="0"/>
          <w:color w:val="2D6A4F"/>
          <w:sz w:val="27"/>
        </w:rPr>
        <w:t>23.3 Terminal Cockpits, Screen Layouts, Hotkeys &amp; UI Element Catalog</w:t>
      </w:r>
    </w:p>
    <w:p>
      <w:pPr>
        <w:spacing w:before="0" w:after="120" w:line="276" w:lineRule="auto"/>
        <w:jc w:val="left"/>
      </w:pPr>
      <w:r>
        <w:rPr>
          <w:rFonts w:ascii="Segoe UI" w:hAnsi="Segoe UI"/>
          <w:b w:val="0"/>
          <w:i w:val="0"/>
          <w:color w:val="1E293B"/>
          <w:sz w:val="21"/>
        </w:rPr>
        <w:t>DOC-37 provides a high-density Marg/Tally terminal cockpit designed for rapid zero-mouse operation at /commission:</w:t>
      </w:r>
    </w:p>
    <w:p>
      <w:pPr>
        <w:spacing w:before="0" w:after="120" w:line="276" w:lineRule="auto"/>
        <w:jc w:val="left"/>
      </w:pPr>
      <w:r>
        <w:rPr>
          <w:rFonts w:ascii="Segoe UI" w:hAnsi="Segoe UI"/>
          <w:b w:val="0"/>
          <w:i w:val="0"/>
          <w:color w:val="1E293B"/>
          <w:sz w:val="21"/>
        </w:rPr>
        <w:t>1. Commission Control Center (/commission): Features 6 top telemetry KPI cards, 5 functional tab workspaces, and live status monitoring.</w:t>
      </w:r>
    </w:p>
    <w:p>
      <w:pPr>
        <w:spacing w:before="0" w:after="120" w:line="276" w:lineRule="auto"/>
        <w:jc w:val="left"/>
      </w:pPr>
      <w:r>
        <w:rPr>
          <w:rFonts w:ascii="Segoe UI" w:hAnsi="Segoe UI"/>
          <w:b w:val="0"/>
          <w:i w:val="0"/>
          <w:color w:val="1E293B"/>
          <w:sz w:val="21"/>
        </w:rPr>
        <w:t>2. Counter Workbench Hub Tile: Added #hub-btn-commission-management launcher tile to the Home Screen with global hotkey [Ctrl+4].</w:t>
      </w:r>
    </w:p>
    <w:p>
      <w:pPr>
        <w:spacing w:before="0" w:after="120" w:line="276" w:lineRule="auto"/>
        <w:jc w:val="left"/>
      </w:pPr>
      <w:r>
        <w:rPr>
          <w:rFonts w:ascii="Segoe UI" w:hAnsi="Segoe UI"/>
          <w:b w:val="0"/>
          <w:i w:val="0"/>
          <w:color w:val="1E293B"/>
          <w:sz w:val="21"/>
        </w:rPr>
        <w:t>3. Interactive Calculation Sandbox [F3]: Allows instant simulation of sales bill turnover commissions or recoverable ancillaries with deterministic formula trace display.</w:t>
      </w:r>
    </w:p>
    <w:p>
      <w:pPr>
        <w:spacing w:before="0" w:after="120" w:line="276" w:lineRule="auto"/>
        <w:jc w:val="left"/>
      </w:pPr>
      <w:r>
        <w:rPr>
          <w:rFonts w:ascii="Segoe UI" w:hAnsi="Segoe UI"/>
          <w:b w:val="0"/>
          <w:i w:val="0"/>
          <w:color w:val="1E293B"/>
          <w:sz w:val="21"/>
        </w:rPr>
        <w:t>4. 4-Eyes Recovery Claims Desk [F4]: Allows batching of approved calculations into formal recovery claims with 1-click Service Invoice generation.</w:t>
      </w:r>
    </w:p>
    <w:p>
      <w:pPr>
        <w:spacing w:before="0" w:after="120" w:line="276" w:lineRule="auto"/>
        <w:jc w:val="left"/>
      </w:pPr>
      <w:r>
        <w:rPr>
          <w:rFonts w:ascii="Segoe UI" w:hAnsi="Segoe UI"/>
          <w:b w:val="0"/>
          <w:i w:val="0"/>
          <w:color w:val="1E293B"/>
          <w:sz w:val="21"/>
        </w:rPr>
        <w:t>5. Principal Recovery Statements Desk [F5]: Displays consolidated periodic statements reconciling turnover earnings, expense recoveries, payments, and outstanding balances with SHA-256 hash validation.</w:t>
      </w:r>
    </w:p>
    <w:p>
      <w:pPr>
        <w:spacing w:before="0" w:after="120" w:line="276" w:lineRule="auto"/>
        <w:jc w:val="left"/>
      </w:pPr>
      <w:r>
        <w:rPr>
          <w:rFonts w:ascii="Segoe UI" w:hAnsi="Segoe UI"/>
          <w:b w:val="0"/>
          <w:i w:val="0"/>
          <w:color w:val="1E293B"/>
          <w:sz w:val="21"/>
        </w:rPr>
        <w:t>6. Zero-Mouse Operational Guarantee: 100% keyboard navigable with [F2] Agreements, [F3] Sandbox, [F4] Claims Desk, [F5] Statements, [F6] Audits, [F7] New Claim Modal,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312"/>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Hub Tile Button [Ctrl+4]</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Commission Control Center (/commission).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Earned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total turnover commission earned across active distribution agreements.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Recoverable Ancillaries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total recoverable expense recharges for freight, demurrage, loading, and handling.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Net Commercial Total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net commercial value (Earned Commission + Recoverable Expenses).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Open Claims Desk</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pending recovery claims count and aggregate value awaiting principal audit.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Settled Remittances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bank remittances received and outstanding principal balance.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Active 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active principal agreements count with SHA-256 hash validation indicator.</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Calculation Sandbox Tab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#btn-run-sandbox</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Executes deterministic calculation simulation and displays formula trace and SHA-256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Claims Desk Tab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Opens New Claim Batch modal with calculation multi-select checkboxes.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New Claim Modal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#btn-submit-claim-modal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Submits new recovery claim batch and transitions calculations to BATCHED.</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Modal Dialogs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Window Key Listener</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Hotkey [Esc]</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Dismisses active modal cleanly without navigating away from the current tab.</w:t>
            </w:r>
          </w:p>
        </w:tc>
      </w:tr>
    </w:tbl>
    <w:p>
      <w:pPr>
        <w:spacing w:after="160"/>
      </w:pPr>
    </w:p>
    <w:p>
      <w:pPr>
        <w:keepNext/>
        <w:spacing w:before="280" w:after="120"/>
      </w:pPr>
      <w:r>
        <w:rPr>
          <w:rFonts w:ascii="Segoe UI" w:hAnsi="Segoe UI"/>
          <w:b/>
          <w:i w:val="0"/>
          <w:color w:val="2D6A4F"/>
          <w:sz w:val="27"/>
        </w:rPr>
        <w:t>23.4 Automated Local 10-Stage Selenium Verification Suite (100% PASS - Exit Code 0)</w:t>
      </w:r>
    </w:p>
    <w:p>
      <w:pPr>
        <w:spacing w:before="0" w:after="120" w:line="276" w:lineRule="auto"/>
        <w:jc w:val="left"/>
      </w:pPr>
      <w:r>
        <w:rPr>
          <w:rFonts w:ascii="Segoe UI" w:hAnsi="Segoe UI"/>
          <w:b w:val="0"/>
          <w:i w:val="0"/>
          <w:color w:val="1E293B"/>
          <w:sz w:val="21"/>
        </w:rPr>
        <w:t>A dedicated automated 10-stage test suite (test_commission_recovery_selenium.py) was executed against the local environment (Backend: http://localhost:8000, Frontend: http://localhost:50005) using headless Chrome at 1440x950 resolution.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Stage Number &amp; Name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Target Endpoint / UI Selector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Execution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Backend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Received JWT bearer token and verified organization tenancy 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Commission Summary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total_earned_commission &gt; 0, total_recoverable_expenses &gt; 0, active_agreements_count &gt;= 2.</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Agreements &amp;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Sun Pharma (6.5% Net Commission, ₹25k min guarantee) and Cipla (5.0% Gross, ₹15 handling).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On-the-fly Calculation Sandbox</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₹350k bill calculation, verified formula trace and asserted valid 64-character SHA-256 hash.</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Calculation Action (Approve)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Action APPROVE transitioned calculation state to APPROVED with audit log update.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Recovery Claim Batch Workflow</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/api/commission/claims</w:t>
              <w:br/>
              <w:t>POST /claims/{id}/action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Batched calculation into recovery claim, executed SUBMIT -&gt; APPROVE -&gt; Linked to SERVICE_INVOICE.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Statement Generation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Consolidated period earnings and recoveries into RecoveryStatement with statement hash.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Headless Browser Init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Counter Workbench Tile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Located #hub-btn-commission-management launcher on Counter Workbench. Captured verified_commission_homescreen_launcher.png.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Control Center, Sandbox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driver.get('/commission')</w:t>
              <w:br/>
              <w:t>[F3], [F5], [F7],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6 KPI cards, executed Sandbox simulation [F3], verified Statements Desk [F5], tested [F7] modal &amp; [Esc] dismissal cleanly. Captured screenshots 2,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23.5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verify_live_vercel_commission_audit.py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#hub-btn-commission-management presence. Captured live_vercel_commission_homescreen_launcher.png.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6 Top KPI cards (Earned Commission, Recoverable Ancillaries, Net Commercial Total, Open Claims, Settled, Agreements). Captured live_vercel_commission_control_center.png.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Sandbox &amp; Ledger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[F3] &amp; #btn-run-sandbox</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[F3]. Triggered live calculation simulation. Verified formula trace and calculations ledger rendering. Captured live_vercel_commission_sandbox_ledger.png.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Statements Desk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[F5], [F7] &amp;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Statements Desk [F5] with consolidated balances. Triggered New Claim Batch modal [F7] and verified instant [Esc] keyboard dismissal cleanly. Captured live_vercel_commission_statement_desk.png.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23.6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17" name="Picture 17"/>
            <wp:cNvGraphicFramePr>
              <a:graphicFrameLocks noChangeAspect="1"/>
            </wp:cNvGraphicFramePr>
            <a:graphic>
              <a:graphicData uri="http://schemas.openxmlformats.org/drawingml/2006/picture">
                <pic:pic>
                  <pic:nvPicPr>
                    <pic:cNvPr id="0" name="verified_commission_homescreen_launcher.png"/>
                    <pic:cNvPicPr/>
                  </pic:nvPicPr>
                  <pic:blipFill>
                    <a:blip r:embed="rId2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23.1: Local Verified Counter Workbench (/) displaying the dedicated Commission Engine hub tile (#hub-btn-commission-management) mapped to global hotkey [Ctrl+4].</w:t>
      </w:r>
    </w:p>
    <w:p>
      <w:pPr>
        <w:spacing w:before="160" w:after="40"/>
        <w:jc w:val="center"/>
      </w:pPr>
      <w:r>
        <w:drawing>
          <wp:inline xmlns:a="http://schemas.openxmlformats.org/drawingml/2006/main" xmlns:pic="http://schemas.openxmlformats.org/drawingml/2006/picture">
            <wp:extent cx="5669280" cy="3181495"/>
            <wp:docPr id="18" name="Picture 18"/>
            <wp:cNvGraphicFramePr>
              <a:graphicFrameLocks noChangeAspect="1"/>
            </wp:cNvGraphicFramePr>
            <a:graphic>
              <a:graphicData uri="http://schemas.openxmlformats.org/drawingml/2006/picture">
                <pic:pic>
                  <pic:nvPicPr>
                    <pic:cNvPr id="0" name="verified_commission_control_center.png"/>
                    <pic:cNvPicPr/>
                  </pic:nvPicPr>
                  <pic:blipFill>
                    <a:blip r:embed="rId2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23.2: Local Verified Commission Control Center (/commission) featuring 6 top telemetry KPI cards, agreement versioning, and the Agreements &amp; Rate Cards tab [F2].</w:t>
      </w:r>
    </w:p>
    <w:p>
      <w:pPr>
        <w:spacing w:before="160" w:after="40"/>
        <w:jc w:val="center"/>
      </w:pPr>
      <w:r>
        <w:drawing>
          <wp:inline xmlns:a="http://schemas.openxmlformats.org/drawingml/2006/main" xmlns:pic="http://schemas.openxmlformats.org/drawingml/2006/picture">
            <wp:extent cx="5669280" cy="3181495"/>
            <wp:docPr id="19" name="Picture 19"/>
            <wp:cNvGraphicFramePr>
              <a:graphicFrameLocks noChangeAspect="1"/>
            </wp:cNvGraphicFramePr>
            <a:graphic>
              <a:graphicData uri="http://schemas.openxmlformats.org/drawingml/2006/picture">
                <pic:pic>
                  <pic:nvPicPr>
                    <pic:cNvPr id="0" name="verified_commission_sandbox_ledger.png"/>
                    <pic:cNvPicPr/>
                  </pic:nvPicPr>
                  <pic:blipFill>
                    <a:blip r:embed="rId2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23.3: Local Verified Calculation Sandbox &amp; Ledger (/commission) displaying on-the-fly turnover simulation, frozen formula trace, and SHA-256 tamper-evident hash.</w:t>
      </w:r>
    </w:p>
    <w:p>
      <w:pPr>
        <w:spacing w:before="160" w:after="40"/>
        <w:jc w:val="center"/>
      </w:pPr>
      <w:r>
        <w:drawing>
          <wp:inline xmlns:a="http://schemas.openxmlformats.org/drawingml/2006/main" xmlns:pic="http://schemas.openxmlformats.org/drawingml/2006/picture">
            <wp:extent cx="5669280" cy="3181495"/>
            <wp:docPr id="20" name="Picture 20"/>
            <wp:cNvGraphicFramePr>
              <a:graphicFrameLocks noChangeAspect="1"/>
            </wp:cNvGraphicFramePr>
            <a:graphic>
              <a:graphicData uri="http://schemas.openxmlformats.org/drawingml/2006/picture">
                <pic:pic>
                  <pic:nvPicPr>
                    <pic:cNvPr id="0" name="verified_commission_statement_desk.png"/>
                    <pic:cNvPicPr/>
                  </pic:nvPicPr>
                  <pic:blipFill>
                    <a:blip r:embed="rId2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23.4: Local Verified Principal Recovery Statements Desk (/commission) displaying consolidated periodic run balances and transaction-level audit traceability.</w:t>
      </w:r>
    </w:p>
    <w:p>
      <w:pPr>
        <w:spacing w:before="160" w:after="40"/>
        <w:jc w:val="center"/>
      </w:pPr>
      <w:r>
        <w:drawing>
          <wp:inline xmlns:a="http://schemas.openxmlformats.org/drawingml/2006/main" xmlns:pic="http://schemas.openxmlformats.org/drawingml/2006/picture">
            <wp:extent cx="5669280" cy="3181495"/>
            <wp:docPr id="21" name="Picture 21"/>
            <wp:cNvGraphicFramePr>
              <a:graphicFrameLocks noChangeAspect="1"/>
            </wp:cNvGraphicFramePr>
            <a:graphic>
              <a:graphicData uri="http://schemas.openxmlformats.org/drawingml/2006/picture">
                <pic:pic>
                  <pic:nvPicPr>
                    <pic:cNvPr id="0" name="live_vercel_commission_homescreen_launcher.png"/>
                    <pic:cNvPicPr/>
                  </pic:nvPicPr>
                  <pic:blipFill>
                    <a:blip r:embed="rId2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22" name="Picture 22"/>
            <wp:cNvGraphicFramePr>
              <a:graphicFrameLocks noChangeAspect="1"/>
            </wp:cNvGraphicFramePr>
            <a:graphic>
              <a:graphicData uri="http://schemas.openxmlformats.org/drawingml/2006/picture">
                <pic:pic>
                  <pic:nvPicPr>
                    <pic:cNvPr id="0" name="live_vercel_commission_control_center.png"/>
                    <pic:cNvPicPr/>
                  </pic:nvPicPr>
                  <pic:blipFill>
                    <a:blip r:embed="rId3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23.6: Live Vercel Production Cloud Control Center (/commission) verifying live telemetry KPI cards, rate card matrix, and active principal agreements.</w:t>
      </w:r>
    </w:p>
    <w:p>
      <w:pPr>
        <w:spacing w:before="160" w:after="40"/>
        <w:jc w:val="center"/>
      </w:pPr>
      <w:r>
        <w:drawing>
          <wp:inline xmlns:a="http://schemas.openxmlformats.org/drawingml/2006/main" xmlns:pic="http://schemas.openxmlformats.org/drawingml/2006/picture">
            <wp:extent cx="5669280" cy="3181495"/>
            <wp:docPr id="23" name="Picture 23"/>
            <wp:cNvGraphicFramePr>
              <a:graphicFrameLocks noChangeAspect="1"/>
            </wp:cNvGraphicFramePr>
            <a:graphic>
              <a:graphicData uri="http://schemas.openxmlformats.org/drawingml/2006/picture">
                <pic:pic>
                  <pic:nvPicPr>
                    <pic:cNvPr id="0" name="live_vercel_commission_sandbox_ledger.png"/>
                    <pic:cNvPicPr/>
                  </pic:nvPicPr>
                  <pic:blipFill>
                    <a:blip r:embed="rId3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23.7: Live Vercel Production Cloud Calculation Sandbox verifying interactive turnover computation and deterministic ledger rendering on production CDN.</w:t>
      </w:r>
    </w:p>
    <w:p>
      <w:pPr>
        <w:spacing w:before="160" w:after="40"/>
        <w:jc w:val="center"/>
      </w:pPr>
      <w:r>
        <w:drawing>
          <wp:inline xmlns:a="http://schemas.openxmlformats.org/drawingml/2006/main" xmlns:pic="http://schemas.openxmlformats.org/drawingml/2006/picture">
            <wp:extent cx="5669280" cy="3181495"/>
            <wp:docPr id="24" name="Picture 24"/>
            <wp:cNvGraphicFramePr>
              <a:graphicFrameLocks noChangeAspect="1"/>
            </wp:cNvGraphicFramePr>
            <a:graphic>
              <a:graphicData uri="http://schemas.openxmlformats.org/drawingml/2006/picture">
                <pic:pic>
                  <pic:nvPicPr>
                    <pic:cNvPr id="0" name="live_vercel_commission_statement_desk.png"/>
                    <pic:cNvPicPr/>
                  </pic:nvPicPr>
                  <pic:blipFill>
                    <a:blip r:embed="rId3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23.8: Live Vercel Production Cloud Statements Desk (/commission) validating periodic recovery consolidation, modal dialog rendering, and instant [Esc] keyboard dismissal.</w:t>
      </w:r>
    </w:p>
    <w:p>
      <w:pPr>
        <w:spacing w:after="240"/>
      </w:pPr>
    </w:p>
    <w:p>
      <w:pPr>
        <w:keepNext/>
        <w:spacing w:before="360" w:after="160"/>
      </w:pPr>
      <w:r>
        <w:rPr>
          <w:rFonts w:ascii="Segoe UI" w:hAnsi="Segoe UI"/>
          <w:b/>
          <w:i w:val="0"/>
          <w:color w:val="1B4332"/>
          <w:sz w:val="36"/>
        </w:rPr>
        <w:t>24. C&amp;F (Carrying &amp; Forwarding) &amp; Consigning Agent Commercial Architecture, Client-Company Association, and Automated Inward Purchase Dual-Posting</w:t>
      </w:r>
    </w:p>
    <w:p>
      <w:pPr>
        <w:spacing w:before="0" w:after="120" w:line="276" w:lineRule="auto"/>
        <w:jc w:val="left"/>
      </w:pPr>
      <w:r>
        <w:rPr>
          <w:rFonts w:ascii="Segoe UI" w:hAnsi="Segoe UI"/>
          <w:b w:val="0"/>
          <w:i w:val="0"/>
          <w:color w:val="1E293B"/>
          <w:sz w:val="21"/>
        </w:rPr>
        <w:t>To empower pharmaceutical distributors acting as institutional Carrying &amp; Forwarding (C&amp;F) and Consigning Agents, the ERP introduces an integrated commercial framework that models infrastructure recharges, manufacturer brand-dealerships, and dual-entry accounting automation. Under this operational model, the distributor provides dedicated physical assets (cold-storage godowns, material handling staff, localized cargo transportation) to Principal manufacturers, billing them periodically for turnover-based commissions and agreed operating expense reimbursements.</w:t>
      </w:r>
    </w:p>
    <w:p>
      <w:pPr>
        <w:keepNext/>
        <w:spacing w:before="280" w:after="120"/>
      </w:pPr>
      <w:r>
        <w:rPr>
          <w:rFonts w:ascii="Segoe UI" w:hAnsi="Segoe UI"/>
          <w:b/>
          <w:i w:val="0"/>
          <w:color w:val="2D6A4F"/>
          <w:sz w:val="27"/>
        </w:rPr>
        <w:t>24.1 The C&amp;F Consigning Agent 4-Pillar Commercial Matrix</w:t>
      </w:r>
    </w:p>
    <w:p>
      <w:pPr>
        <w:spacing w:before="0" w:after="120" w:line="276" w:lineRule="auto"/>
        <w:jc w:val="left"/>
      </w:pPr>
      <w:r>
        <w:rPr>
          <w:rFonts w:ascii="Segoe UI" w:hAnsi="Segoe UI"/>
          <w:b w:val="0"/>
          <w:i w:val="0"/>
          <w:color w:val="1E293B"/>
          <w:sz w:val="21"/>
        </w:rPr>
        <w:t>Under C&amp;F operations, commercial claims are structured across four fundamental operational pillars, each governed by explicit contractual reimbursement terms defined at the Principal Agreement level:</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Operational Pillar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Cost Bearer Options</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Billing Mechanism</w:t>
            </w:r>
          </w:p>
        </w:tc>
        <w:tc>
          <w:tcPr>
            <w:tcW w:type="dxa" w:w="3456"/>
            <w:shd w:fill="1B4332"/>
            <w:tcMar>
              <w:top w:w="140" w:type="dxa"/>
              <w:bottom w:w="140" w:type="dxa"/>
              <w:left w:w="160" w:type="dxa"/>
              <w:right w:w="160" w:type="dxa"/>
            </w:tcMar>
          </w:tcPr>
          <w:p>
            <w:pPr>
              <w:jc w:val="left"/>
            </w:pPr>
            <w:r>
              <w:rPr>
                <w:rFonts w:ascii="Segoe UI" w:hAnsi="Segoe UI"/>
                <w:b/>
                <w:i w:val="0"/>
                <w:color w:val="FFFFFF"/>
                <w:sz w:val="19"/>
              </w:rPr>
              <w:t>Audit &amp; Verification Scope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Godown Storage &amp; Rent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Fixed Monthly Budget (e.g. ₹42,000/mo) or Actual Rental Agreement Invoice</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Warehouse square footage verification, temperature log compliance, and landlord rent receipt matching.</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Dedicated Staff Salaries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Monthly Staff Budget (e.g. ₹28,500/mo) with Dynamic Month-to-Month Payroll Override</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Depot dispatcher attendance, biometric punch logs, ESI/PF statutory challans, and payroll voucher reconciliation.</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Transportation &amp; Cargo</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Per-Kg / Per-Box Freight Rate (e.g. ₹4.5/kg) or Decoupled Freight Bill Pass-Through</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Consignment LR number tracking, weighbridge slips, delivery POD confirmation, and fuel surcharge indexation.</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Sales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(Paid to Agent)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Percentage on Net/Gross Client Sales Turnover (e.g. 4.0% - 6.5%)</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Client invoice turnover matching, credit note deduping, rate card tier validation, and SHA-256 hash freezing.</w:t>
            </w:r>
          </w:p>
        </w:tc>
      </w:tr>
    </w:tbl>
    <w:p>
      <w:pPr>
        <w:spacing w:after="160"/>
      </w:pPr>
    </w:p>
    <w:p>
      <w:pPr>
        <w:keepNext/>
        <w:spacing w:before="280" w:after="120"/>
      </w:pPr>
      <w:r>
        <w:rPr>
          <w:rFonts w:ascii="Segoe UI" w:hAnsi="Segoe UI"/>
          <w:b/>
          <w:i w:val="0"/>
          <w:color w:val="2D6A4F"/>
          <w:sz w:val="27"/>
        </w:rPr>
        <w:t>24.2 Client-to-Product Company Dealership &amp; Multi-Brand Association</w:t>
      </w:r>
    </w:p>
    <w:p>
      <w:pPr>
        <w:spacing w:before="0" w:after="120" w:line="276" w:lineRule="auto"/>
        <w:jc w:val="left"/>
      </w:pPr>
      <w:r>
        <w:rPr>
          <w:rFonts w:ascii="Segoe UI" w:hAnsi="Segoe UI"/>
          <w:b w:val="0"/>
          <w:i w:val="0"/>
          <w:color w:val="1E293B"/>
          <w:sz w:val="21"/>
        </w:rPr>
        <w:t>A critical architectural requirement in pharmaceutical supply chains is the strict distinction between a 'Product Company' (the brand manufacturer associated with SKUs, e.g. Cipla, Sun Pharma, Mankind, Abbott) and an 'Accounting Ledger' (the legal entity for debtor/creditor balances). In Party Master (/master/parties), each Customer Profile now includes an authorized Product Companies multi-select registry (company_ids column):</w:t>
      </w:r>
    </w:p>
    <w:p>
      <w:pPr>
        <w:spacing w:before="0" w:after="120" w:line="276" w:lineRule="auto"/>
        <w:jc w:val="left"/>
      </w:pPr>
      <w:r>
        <w:rPr>
          <w:rFonts w:ascii="Segoe UI" w:hAnsi="Segoe UI"/>
          <w:b w:val="0"/>
          <w:i w:val="0"/>
          <w:color w:val="1E293B"/>
          <w:sz w:val="21"/>
        </w:rPr>
        <w:t>• Exclusive Client Dealership: Restricts a retail client (e.g. Apollo Pharmacy) to specific authorized manufacturer lines (e.g. Cipla only or Cipla + Sun Pharma).</w:t>
      </w:r>
    </w:p>
    <w:p>
      <w:pPr>
        <w:spacing w:before="0" w:after="120" w:line="276" w:lineRule="auto"/>
        <w:jc w:val="left"/>
      </w:pPr>
      <w:r>
        <w:rPr>
          <w:rFonts w:ascii="Segoe UI" w:hAnsi="Segoe UI"/>
          <w:b w:val="0"/>
          <w:i w:val="0"/>
          <w:color w:val="1E293B"/>
          <w:sz w:val="21"/>
        </w:rPr>
        <w:t>• All-Company Wholesale Dealership: Allows institutional distributors and super-stockists to purchase all catalog brands using the ['ALL'] master wildcard.</w:t>
      </w:r>
    </w:p>
    <w:p>
      <w:pPr>
        <w:spacing w:before="0" w:after="120" w:line="276" w:lineRule="auto"/>
        <w:jc w:val="left"/>
      </w:pPr>
      <w:r>
        <w:rPr>
          <w:rFonts w:ascii="Segoe UI" w:hAnsi="Segoe UI"/>
          <w:b w:val="0"/>
          <w:i w:val="0"/>
          <w:color w:val="1E293B"/>
          <w:sz w:val="21"/>
        </w:rPr>
        <w:t>• Targeted Billing &amp; Reporting: Filter sales turnover by company in the Commission Sandbox, ensuring agent commission calculations only aggregate sales of goods belonging to the dealing Principal.</w:t>
      </w:r>
    </w:p>
    <w:p>
      <w:pPr>
        <w:keepNext/>
        <w:spacing w:before="280" w:after="120"/>
      </w:pPr>
      <w:r>
        <w:rPr>
          <w:rFonts w:ascii="Segoe UI" w:hAnsi="Segoe UI"/>
          <w:b/>
          <w:i w:val="0"/>
          <w:color w:val="2D6A4F"/>
          <w:sz w:val="27"/>
        </w:rPr>
        <w:t>24.3 Dynamic Month-to-Month Expense Adjustments in Calculation Sandbox</w:t>
      </w:r>
    </w:p>
    <w:p>
      <w:pPr>
        <w:spacing w:before="0" w:after="120" w:line="276" w:lineRule="auto"/>
        <w:jc w:val="left"/>
      </w:pPr>
      <w:r>
        <w:rPr>
          <w:rFonts w:ascii="Segoe UI" w:hAnsi="Segoe UI"/>
          <w:b w:val="0"/>
          <w:i w:val="0"/>
          <w:color w:val="1E293B"/>
          <w:sz w:val="21"/>
        </w:rPr>
        <w:t>While master agreements define default monthly reimbursement budgets, actual monthly operating expenses fluctuate due to overtime pay, bonus incentives, seasonal cold storage power tariffs, or temporary warehouse leasing. The Deterministic Commission Sandbox ([F3]) provides dynamic manual adjustment overrides:</w:t>
      </w:r>
    </w:p>
    <w:p>
      <w:pPr>
        <w:spacing w:before="0" w:after="120" w:line="276" w:lineRule="auto"/>
        <w:jc w:val="left"/>
      </w:pPr>
      <w:r>
        <w:rPr>
          <w:rFonts w:ascii="Segoe UI" w:hAnsi="Segoe UI"/>
          <w:b w:val="0"/>
          <w:i w:val="0"/>
          <w:color w:val="1E293B"/>
          <w:sz w:val="21"/>
        </w:rPr>
        <w:t>• Staff Salary Custom Override: Operators can input the exact payroll disbursement for the current billing cycle (e.g. ₹28,500 vs default ₹25,000), which directly updates the base calculation amount and formula trace.</w:t>
      </w:r>
    </w:p>
    <w:p>
      <w:pPr>
        <w:spacing w:before="0" w:after="120" w:line="276" w:lineRule="auto"/>
        <w:jc w:val="left"/>
      </w:pPr>
      <w:r>
        <w:rPr>
          <w:rFonts w:ascii="Segoe UI" w:hAnsi="Segoe UI"/>
          <w:b w:val="0"/>
          <w:i w:val="0"/>
          <w:color w:val="1E293B"/>
          <w:sz w:val="21"/>
        </w:rPr>
        <w:t>• Godown Rent Custom Override: Accommodates seasonal warehouse expansions or utility recharges by allowing the operator to input the audited monthly lease amount (e.g. ₹42,000).</w:t>
      </w:r>
    </w:p>
    <w:p>
      <w:pPr>
        <w:spacing w:before="0" w:after="120" w:line="276" w:lineRule="auto"/>
        <w:jc w:val="left"/>
      </w:pPr>
      <w:r>
        <w:rPr>
          <w:rFonts w:ascii="Segoe UI" w:hAnsi="Segoe UI"/>
          <w:b w:val="0"/>
          <w:i w:val="0"/>
          <w:color w:val="1E293B"/>
          <w:sz w:val="21"/>
        </w:rPr>
        <w:t>• Client-Specific Turnover Isolation: Select specific authorized clients dealing with the Principal to compute commission strictly against their verified billing turnover.</w:t>
      </w:r>
    </w:p>
    <w:p>
      <w:pPr>
        <w:keepNext/>
        <w:spacing w:before="280" w:after="120"/>
      </w:pPr>
      <w:r>
        <w:rPr>
          <w:rFonts w:ascii="Segoe UI" w:hAnsi="Segoe UI"/>
          <w:b/>
          <w:i w:val="0"/>
          <w:color w:val="2D6A4F"/>
          <w:sz w:val="27"/>
        </w:rPr>
        <w:t>24.4 Automated Inward Purchase Dual-Posting Architecture</w:t>
      </w:r>
    </w:p>
    <w:p>
      <w:pPr>
        <w:spacing w:before="0" w:after="120" w:line="276" w:lineRule="auto"/>
        <w:jc w:val="left"/>
      </w:pPr>
      <w:r>
        <w:rPr>
          <w:rFonts w:ascii="Segoe UI" w:hAnsi="Segoe UI"/>
          <w:b w:val="0"/>
          <w:i w:val="0"/>
          <w:color w:val="1E293B"/>
          <w:sz w:val="21"/>
        </w:rPr>
        <w:t>When a recovery claim batch is approved by management through the 4-Eyes Maker-Checker protocol, clicking [Invoice &amp; Post to Purchase] triggers an atomic dual-posting operation that synchronizes both sides of the commercial ledger without manual data re-entry: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Posting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Target Section</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Commercial &amp; Accounting Function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 1: Outward Service Billing</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Service Invoice (SINV-2026-XXXX)</w:t>
              <w:br/>
              <w:t>Section: Commission Control Center (/commission)</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Issues legal tax invoice to Principal manufacturer for commission earned + recharge of godown, staff, and freight opex with GST.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Leg 2: Inward Purchase Posting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Bill (PUR-SRV-2026-XXXX)</w:t>
              <w:br/>
              <w:t>Section: Purchase Invoices (/purchase/list)</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into the Purchase Ledger under the Principal's supplier account. Itemizes commission, godown rent, staff payroll, and freight lines, crediting the Principal and creating an immediate audit-traceable record in the purchase register.</w:t>
            </w:r>
          </w:p>
        </w:tc>
      </w:tr>
    </w:tbl>
    <w:p>
      <w:pPr>
        <w:spacing w:after="160"/>
      </w:pPr>
    </w:p>
    <w:p>
      <w:pPr>
        <w:keepNext/>
        <w:spacing w:before="280" w:after="120"/>
      </w:pPr>
      <w:r>
        <w:rPr>
          <w:rFonts w:ascii="Segoe UI" w:hAnsi="Segoe UI"/>
          <w:b/>
          <w:i w:val="0"/>
          <w:color w:val="2D6A4F"/>
          <w:sz w:val="27"/>
        </w:rPr>
        <w:t>24.5 Production Verification &amp; Visual Photographic Evidence</w:t>
      </w:r>
    </w:p>
    <w:p>
      <w:pPr>
        <w:spacing w:before="0" w:after="120" w:line="276" w:lineRule="auto"/>
        <w:jc w:val="left"/>
      </w:pPr>
      <w:r>
        <w:rPr>
          <w:rFonts w:ascii="Segoe UI" w:hAnsi="Segoe UI"/>
          <w:b w:val="0"/>
          <w:i w:val="0"/>
          <w:color w:val="1E293B"/>
          <w:sz w:val="21"/>
        </w:rPr>
        <w:t>The automated Selenium test suite (test_commission_recovery_selenium.py) executes 12 end-to-end stages verifying C&amp;F agreement deal terms, authorized client querying, custom staff salary overrides, 4-eyes claim approval, and dual-posting to the purchase ledger. The photographic evidence below certifies operational readiness:</w:t>
      </w:r>
    </w:p>
    <w:p>
      <w:pPr>
        <w:spacing w:before="160" w:after="40"/>
        <w:jc w:val="center"/>
      </w:pPr>
      <w:r>
        <w:drawing>
          <wp:inline xmlns:a="http://schemas.openxmlformats.org/drawingml/2006/main" xmlns:pic="http://schemas.openxmlformats.org/drawingml/2006/picture">
            <wp:extent cx="5669280" cy="3181495"/>
            <wp:docPr id="25" name="Picture 25"/>
            <wp:cNvGraphicFramePr>
              <a:graphicFrameLocks noChangeAspect="1"/>
            </wp:cNvGraphicFramePr>
            <a:graphic>
              <a:graphicData uri="http://schemas.openxmlformats.org/drawingml/2006/picture">
                <pic:pic>
                  <pic:nvPicPr>
                    <pic:cNvPr id="0" name="verified_commission_purchase_dual_post.png"/>
                    <pic:cNvPicPr/>
                  </pic:nvPicPr>
                  <pic:blipFill>
                    <a:blip r:embed="rId3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24.1: Production Verified Inward Purchase Bills Register (/purchase/list) confirming instant, automated Dual-Posting of C&amp;F Service Invoices as purchase bills (PUR-SRV-2026-XXXX) under the Principal's supplier account.</w:t>
      </w:r>
    </w:p>
    <w:p>
      <w:pPr>
        <w:spacing w:after="240"/>
      </w:pPr>
    </w:p>
    <w:p>
      <w:r>
        <w:br w:type="page"/>
      </w:r>
    </w:p>
    <w:p>
      <w:pPr>
        <w:keepNext/>
        <w:spacing w:before="360" w:after="160"/>
      </w:pPr>
      <w:r>
        <w:rPr>
          <w:rFonts w:ascii="Segoe UI" w:hAnsi="Segoe UI"/>
          <w:b/>
          <w:i w:val="0"/>
          <w:color w:val="1B4332"/>
          <w:sz w:val="36"/>
        </w:rPr>
        <w:t>Chapter 25: Enterprise Multi-Client Operations Tracking &amp; Radar Engine (DOC-38)</w:t>
      </w:r>
    </w:p>
    <w:p>
      <w:pPr>
        <w:keepNext/>
        <w:spacing w:before="280" w:after="120"/>
      </w:pPr>
      <w:r>
        <w:rPr>
          <w:rFonts w:ascii="Segoe UI" w:hAnsi="Segoe UI"/>
          <w:b/>
          <w:i w:val="0"/>
          <w:color w:val="2D6A4F"/>
          <w:sz w:val="27"/>
        </w:rPr>
        <w:t>25.1 Architecture &amp; Multi-Tenant Consolidated Telemetry</w:t>
      </w:r>
    </w:p>
    <w:p>
      <w:pPr>
        <w:spacing w:before="0" w:after="120" w:line="276" w:lineRule="auto"/>
        <w:jc w:val="left"/>
      </w:pPr>
      <w:r>
        <w:rPr>
          <w:rFonts w:ascii="Segoe UI" w:hAnsi="Segoe UI"/>
          <w:b w:val="0"/>
          <w:i w:val="0"/>
          <w:color w:val="1E293B"/>
          <w:sz w:val="21"/>
        </w:rPr>
        <w:t>For corporate administrators and 3PL Carrying &amp; Forwarding agencies managing multiple client organizations (such as Krishna Medical Agencies, Test Org), operational oversight previously required repeatedly switching between tenant accounts. The Enterprise Multi-Client Operations Tracking &amp; Radar Engine (AdminEnterpriseTracker.tsx, /admin/tracking) introduces an authoritative supervisory control plane that aggregates real-time business telemetry across all tenant partitions.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ARCHITECTURAL INVARIANT: </w:t>
            </w:r>
            <w:r>
              <w:rPr>
                <w:rFonts w:ascii="Segoe UI" w:hAnsi="Segoe UI"/>
                <w:b w:val="0"/>
                <w:i w:val="0"/>
                <w:color w:val="1E293B"/>
                <w:sz w:val="19"/>
              </w:rPr>
              <w:t>The Multi-Client Scope Selector allows operators to seamlessly switch between 'ALL' (Consolidated Enterprise Radar) and isolated client company telemetry. Client-isolated querying guarantees strict database tenancy isolation while providing corporate headquarters with instant single-pane-of-glass operational visibility.</w:t>
            </w:r>
          </w:p>
        </w:tc>
      </w:tr>
    </w:tbl>
    <w:p>
      <w:pPr>
        <w:spacing w:after="80"/>
      </w:pPr>
    </w:p>
    <w:p>
      <w:pPr>
        <w:keepNext/>
        <w:spacing w:before="280" w:after="120"/>
      </w:pPr>
      <w:r>
        <w:rPr>
          <w:rFonts w:ascii="Segoe UI" w:hAnsi="Segoe UI"/>
          <w:b/>
          <w:i w:val="0"/>
          <w:color w:val="2D6A4F"/>
          <w:sz w:val="27"/>
        </w:rPr>
        <w:t>25.2 RESTful Telemetry Directory (/api/admin/tracking/*)</w:t>
      </w:r>
    </w:p>
    <w:tbl>
      <w:tblPr>
        <w:tblW w:type="auto" w:w="0"/>
        <w:jc w:val="center"/>
        <w:tblLook w:firstColumn="1" w:firstRow="1" w:lastColumn="0" w:lastRow="0" w:noHBand="0" w:noVBand="1" w:val="04A0"/>
      </w:tblPr>
      <w:tblGrid>
        <w:gridCol w:w="2340"/>
        <w:gridCol w:w="2340"/>
        <w:gridCol w:w="2340"/>
        <w:gridCol w:w="234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Path</w:t>
            </w:r>
          </w:p>
        </w:tc>
        <w:tc>
          <w:tcPr>
            <w:tcW w:type="dxa" w:w="1152"/>
            <w:shd w:fill="1B4332"/>
            <w:tcMar>
              <w:top w:w="140" w:type="dxa"/>
              <w:bottom w:w="140" w:type="dxa"/>
              <w:left w:w="160" w:type="dxa"/>
              <w:right w:w="160" w:type="dxa"/>
            </w:tcMar>
          </w:tcPr>
          <w:p>
            <w:pPr>
              <w:jc w:val="left"/>
            </w:pPr>
            <w:r>
              <w:rPr>
                <w:rFonts w:ascii="Segoe UI" w:hAnsi="Segoe UI"/>
                <w:b/>
                <w:i w:val="0"/>
                <w:color w:val="FFFFFF"/>
                <w:sz w:val="19"/>
              </w:rPr>
              <w:t>HTTP</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Telemetry Scope</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Commercial Function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/api/admin/tracking/summary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Consolidated or Client-Scoped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Aggregates Gross Sales Turnover, Operating Expenses, In-Transit vs Delivered Cargo, and Client counts.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/api/admin/tracking/clients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Multi-Tenant Matrix</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Ranks managed client companies by sales volume, transaction velocity, claims, and active cargo shipments.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/api/admin/tracking/sales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Cross-Client Invoices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Chronological multi-client sales invoice ledger with client company attribution badges and items count.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/api/admin/tracking/expenses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Operational Claims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Tracks client C&amp;F storage rent, dedicated staff salaries, freight recharges, and petty cash advances.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/api/admin/tracking/cargo</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Logistics Pipeline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Cross-client logistics board monitoring origin/destination hubs, transporter vehicles, and delivery statuses.</w:t>
            </w:r>
          </w:p>
        </w:tc>
      </w:tr>
    </w:tbl>
    <w:p>
      <w:pPr>
        <w:spacing w:after="160"/>
      </w:pPr>
    </w:p>
    <w:p>
      <w:pPr>
        <w:keepNext/>
        <w:spacing w:before="280" w:after="120"/>
      </w:pPr>
      <w:r>
        <w:rPr>
          <w:rFonts w:ascii="Segoe UI" w:hAnsi="Segoe UI"/>
          <w:b/>
          <w:i w:val="0"/>
          <w:color w:val="2D6A4F"/>
          <w:sz w:val="27"/>
        </w:rPr>
        <w:t>25.3 Visual Photographic Evidence: Enterprise Multi-Client Radar</w:t>
      </w:r>
    </w:p>
    <w:p>
      <w:pPr>
        <w:spacing w:before="0" w:after="120" w:line="276" w:lineRule="auto"/>
        <w:jc w:val="left"/>
      </w:pPr>
      <w:r>
        <w:rPr>
          <w:rFonts w:ascii="Segoe UI" w:hAnsi="Segoe UI"/>
          <w:b w:val="0"/>
          <w:i w:val="0"/>
          <w:color w:val="1E293B"/>
          <w:sz w:val="21"/>
        </w:rPr>
        <w:t>The automated Selenium test suite (test_admin_enterprise_tracking_selenium.py) verifies all 12 stages with 100% Exit Code 0:</w:t>
      </w:r>
    </w:p>
    <w:p>
      <w:pPr>
        <w:spacing w:before="160" w:after="40"/>
        <w:jc w:val="center"/>
      </w:pPr>
      <w:r>
        <w:drawing>
          <wp:inline xmlns:a="http://schemas.openxmlformats.org/drawingml/2006/main" xmlns:pic="http://schemas.openxmlformats.org/drawingml/2006/picture">
            <wp:extent cx="5669280" cy="3218087"/>
            <wp:docPr id="26" name="Picture 26"/>
            <wp:cNvGraphicFramePr>
              <a:graphicFrameLocks noChangeAspect="1"/>
            </wp:cNvGraphicFramePr>
            <a:graphic>
              <a:graphicData uri="http://schemas.openxmlformats.org/drawingml/2006/picture">
                <pic:pic>
                  <pic:nvPicPr>
                    <pic:cNvPr id="0" name="verified_admin_tracker_scorecards.png"/>
                    <pic:cNvPicPr/>
                  </pic:nvPicPr>
                  <pic:blipFill>
                    <a:blip r:embed="rId34"/>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25.1: Enterprise Multi-Client Operations Radar (/admin/tracking) showing the Apex Scope Selector, 4 Neumorphic KPI Cards, and the Client Scorecards Matrix Table with 1-click Drilldown actions.</w:t>
      </w:r>
    </w:p>
    <w:p>
      <w:pPr>
        <w:spacing w:before="160" w:after="40"/>
        <w:jc w:val="center"/>
      </w:pPr>
      <w:r>
        <w:drawing>
          <wp:inline xmlns:a="http://schemas.openxmlformats.org/drawingml/2006/main" xmlns:pic="http://schemas.openxmlformats.org/drawingml/2006/picture">
            <wp:extent cx="5669280" cy="3218087"/>
            <wp:docPr id="27" name="Picture 27"/>
            <wp:cNvGraphicFramePr>
              <a:graphicFrameLocks noChangeAspect="1"/>
            </wp:cNvGraphicFramePr>
            <a:graphic>
              <a:graphicData uri="http://schemas.openxmlformats.org/drawingml/2006/picture">
                <pic:pic>
                  <pic:nvPicPr>
                    <pic:cNvPr id="0" name="verified_admin_tracker_sales.png"/>
                    <pic:cNvPicPr/>
                  </pic:nvPicPr>
                  <pic:blipFill>
                    <a:blip r:embed="rId35"/>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25.2: Multi-Client Sales Invoices Ledger ([F3]) displaying real-time invoices across client companies with organization attribution tags and running grand totals.</w:t>
      </w:r>
    </w:p>
    <w:p>
      <w:pPr>
        <w:spacing w:before="160" w:after="40"/>
        <w:jc w:val="center"/>
      </w:pPr>
      <w:r>
        <w:drawing>
          <wp:inline xmlns:a="http://schemas.openxmlformats.org/drawingml/2006/main" xmlns:pic="http://schemas.openxmlformats.org/drawingml/2006/picture">
            <wp:extent cx="5669280" cy="3218087"/>
            <wp:docPr id="28" name="Picture 28"/>
            <wp:cNvGraphicFramePr>
              <a:graphicFrameLocks noChangeAspect="1"/>
            </wp:cNvGraphicFramePr>
            <a:graphic>
              <a:graphicData uri="http://schemas.openxmlformats.org/drawingml/2006/picture">
                <pic:pic>
                  <pic:nvPicPr>
                    <pic:cNvPr id="0" name="verified_admin_tracker_expenses.png"/>
                    <pic:cNvPicPr/>
                  </pic:nvPicPr>
                  <pic:blipFill>
                    <a:blip r:embed="rId36"/>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25.3: Multi-Client Operational Expense Claims Ledger ([F4]) displaying depot storage rent, dedicated staff salaries, and freight reimbursements across managed clients.</w:t>
      </w:r>
    </w:p>
    <w:p>
      <w:pPr>
        <w:spacing w:before="160" w:after="40"/>
        <w:jc w:val="center"/>
      </w:pPr>
      <w:r>
        <w:drawing>
          <wp:inline xmlns:a="http://schemas.openxmlformats.org/drawingml/2006/main" xmlns:pic="http://schemas.openxmlformats.org/drawingml/2006/picture">
            <wp:extent cx="5669280" cy="3218087"/>
            <wp:docPr id="29" name="Picture 29"/>
            <wp:cNvGraphicFramePr>
              <a:graphicFrameLocks noChangeAspect="1"/>
            </wp:cNvGraphicFramePr>
            <a:graphic>
              <a:graphicData uri="http://schemas.openxmlformats.org/drawingml/2006/picture">
                <pic:pic>
                  <pic:nvPicPr>
                    <pic:cNvPr id="0" name="verified_admin_tracker_cargo.png"/>
                    <pic:cNvPicPr/>
                  </pic:nvPicPr>
                  <pic:blipFill>
                    <a:blip r:embed="rId37"/>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25.4: Multi-Client Cargo Logistics Pipeline ([F6]) tracking vehicle dispatches, carrier names, route hubs, and live shipment transit statuses.</w:t>
      </w:r>
    </w:p>
    <w:p>
      <w:r>
        <w:br w:type="page"/>
      </w:r>
    </w:p>
    <w:p>
      <w:pPr>
        <w:keepNext/>
        <w:spacing w:before="360" w:after="160"/>
      </w:pPr>
      <w:r>
        <w:rPr>
          <w:rFonts w:ascii="Segoe UI" w:hAnsi="Segoe UI"/>
          <w:b/>
          <w:i w:val="0"/>
          <w:color w:val="1B4332"/>
          <w:sz w:val="36"/>
        </w:rPr>
        <w:t>Chapter 26: Responsive Top Navigation Architecture &amp; High-Density Screen Ergonomics (DOC-39)</w:t>
      </w:r>
    </w:p>
    <w:p>
      <w:pPr>
        <w:keepNext/>
        <w:spacing w:before="280" w:after="120"/>
      </w:pPr>
      <w:r>
        <w:rPr>
          <w:rFonts w:ascii="Segoe UI" w:hAnsi="Segoe UI"/>
          <w:b/>
          <w:i w:val="0"/>
          <w:color w:val="2D6A4F"/>
          <w:sz w:val="27"/>
        </w:rPr>
        <w:t>26.1 High-Density Screen Fit &amp; 10-Item Menu Taxonomy</w:t>
      </w:r>
    </w:p>
    <w:p>
      <w:pPr>
        <w:spacing w:before="0" w:after="120" w:line="276" w:lineRule="auto"/>
        <w:jc w:val="left"/>
      </w:pPr>
      <w:r>
        <w:rPr>
          <w:rFonts w:ascii="Segoe UI" w:hAnsi="Segoe UI"/>
          <w:b w:val="0"/>
          <w:i w:val="0"/>
          <w:color w:val="1E293B"/>
          <w:sz w:val="21"/>
        </w:rPr>
        <w:t>On standard enterprise laptop screens (1366x768 and 1440x900 viewports), top navigation bars with 13+ raw menu items overflow horizontally, clipping critical modules such as CRM, Admin, and Financial Reports. The top navigation bar (Header.tsx) was refactored into a compact 10-category taxonomy that occupies exactly 1422px within a 1422px window with zero horizontal overflow.</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Top Menu Category</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Sub-Modules Grouped</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Ergonomic &amp; Screen Fit Purpose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1. Dashboard</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Direct single-keystroke jump to cashier counter billing.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2. Master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Ledgers, Business Partners, HSN, Warehouses, Document Series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Centralized statutory master data directory.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3. Finance &amp; Accounting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Payment, Receipt, Journal, Day Book, BRS, Trial Balance, P&amp;L, Balance Sheet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Consolidates all statutory financial accounting vouchers and ledgers.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4. Inventory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Product Master, Current Stock, SCM Replenishment, Stock Shifts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Warehouse stock tracking and reorder replenishment.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5. Sales &amp; Purchase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Sale, Purchase, Credit Notes, Debit Notes, Breakage, GST Vouchers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Nested double-menu for rapid keyboard-first transaction recording.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6. C&amp;F &amp; Logistics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Principal Ops, Commission Engine, Multi-Client Radar, Cargo Board, Freight Rates, Transporter Recon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Consolidates all logistics, carrier freight, agency operations, and commission billing.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7. Workflows [F4]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Approval Inbox [F4], Rule Designer, SLA Monitor, Audit Trail Explorer, Data Governance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Centralizes Maker-Checker authorizations and statutory MCA audit compliance.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8. GST &amp; Compliance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GSTR-1, GSTR-2, GSTR-3B, E-Invoice &amp; E-Way Bill Desk</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Statutory tax compliance and GSTN offline JSON exports.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9. CRM &amp; Admin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CRM Dashboard, Client Management, Multi-Client Radar, Product Companies Master, Settings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Enterprise client multi-tenancy administration.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10. Reports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Report Viewer (/reports), Visual Report Designer (/reports/designer)</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Cross-modular enterprise reporting and print layouts.</w:t>
            </w:r>
          </w:p>
        </w:tc>
      </w:tr>
    </w:tbl>
    <w:p>
      <w:pPr>
        <w:spacing w:after="160"/>
      </w:pPr>
    </w:p>
    <w:p>
      <w:pPr>
        <w:keepNext/>
        <w:spacing w:before="280" w:after="120"/>
      </w:pPr>
      <w:r>
        <w:rPr>
          <w:rFonts w:ascii="Segoe UI" w:hAnsi="Segoe UI"/>
          <w:b/>
          <w:i w:val="0"/>
          <w:color w:val="2D6A4F"/>
          <w:sz w:val="27"/>
        </w:rPr>
        <w:t>26.2 Visual Photographic Evidence: Top Menu Ergonomics</w:t>
      </w:r>
    </w:p>
    <w:p>
      <w:pPr>
        <w:spacing w:before="160" w:after="40"/>
        <w:jc w:val="center"/>
      </w:pPr>
      <w:r>
        <w:drawing>
          <wp:inline xmlns:a="http://schemas.openxmlformats.org/drawingml/2006/main" xmlns:pic="http://schemas.openxmlformats.org/drawingml/2006/picture">
            <wp:extent cx="5669280" cy="2982153"/>
            <wp:docPr id="30" name="Picture 30"/>
            <wp:cNvGraphicFramePr>
              <a:graphicFrameLocks noChangeAspect="1"/>
            </wp:cNvGraphicFramePr>
            <a:graphic>
              <a:graphicData uri="http://schemas.openxmlformats.org/drawingml/2006/picture">
                <pic:pic>
                  <pic:nvPicPr>
                    <pic:cNvPr id="0" name="verified_top_menu_layout.png"/>
                    <pic:cNvPicPr/>
                  </pic:nvPicPr>
                  <pic:blipFill>
                    <a:blip r:embed="rId38"/>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26.1: High-Density Top Navigation Bar Layout verifying exactly 10 top-level menu items cleanly fitting standard viewports with zero horizontal overflow.</w:t>
      </w:r>
    </w:p>
    <w:p>
      <w:pPr>
        <w:spacing w:before="160" w:after="40"/>
        <w:jc w:val="center"/>
      </w:pPr>
      <w:r>
        <w:drawing>
          <wp:inline xmlns:a="http://schemas.openxmlformats.org/drawingml/2006/main" xmlns:pic="http://schemas.openxmlformats.org/drawingml/2006/picture">
            <wp:extent cx="5669280" cy="2982153"/>
            <wp:docPr id="31" name="Picture 31"/>
            <wp:cNvGraphicFramePr>
              <a:graphicFrameLocks noChangeAspect="1"/>
            </wp:cNvGraphicFramePr>
            <a:graphic>
              <a:graphicData uri="http://schemas.openxmlformats.org/drawingml/2006/picture">
                <pic:pic>
                  <pic:nvPicPr>
                    <pic:cNvPr id="0" name="verified_cf_dropdown_menu.png"/>
                    <pic:cNvPicPr/>
                  </pic:nvPicPr>
                  <pic:blipFill>
                    <a:blip r:embed="rId39"/>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26.2: Consolidated C&amp;F &amp; Logistics Sub-Menu Dropdown displaying nested quick launchers for Principal Ops, Commission Engine, Admin Radar, Cargo, Freight Contracts, and Transporter Recon.</w:t>
      </w:r>
    </w:p>
    <w:p>
      <w:r>
        <w:br w:type="page"/>
      </w:r>
    </w:p>
    <w:p>
      <w:pPr>
        <w:keepNext/>
        <w:spacing w:before="360" w:after="160"/>
      </w:pPr>
      <w:r>
        <w:rPr>
          <w:rFonts w:ascii="Segoe UI" w:hAnsi="Segoe UI"/>
          <w:b/>
          <w:i w:val="0"/>
          <w:color w:val="1B4332"/>
          <w:sz w:val="36"/>
        </w:rPr>
        <w:t>Chapter 27: Client Management C&amp;F Commission &amp; Expense Reimbursement Billing Engine with Bilateral Dual-Posting (DOC-40)</w:t>
      </w:r>
    </w:p>
    <w:p>
      <w:pPr>
        <w:keepNext/>
        <w:spacing w:before="280" w:after="120"/>
      </w:pPr>
      <w:r>
        <w:rPr>
          <w:rFonts w:ascii="Segoe UI" w:hAnsi="Segoe UI"/>
          <w:b/>
          <w:i w:val="0"/>
          <w:color w:val="2D6A4F"/>
          <w:sz w:val="27"/>
        </w:rPr>
        <w:t>27.1 Commercial Domain &amp; Client Management C&amp;F Context</w:t>
      </w:r>
    </w:p>
    <w:p>
      <w:pPr>
        <w:spacing w:before="0" w:after="120" w:line="276" w:lineRule="auto"/>
        <w:jc w:val="left"/>
      </w:pPr>
      <w:r>
        <w:rPr>
          <w:rFonts w:ascii="Segoe UI" w:hAnsi="Segoe UI"/>
          <w:b w:val="0"/>
          <w:i w:val="0"/>
          <w:color w:val="1E293B"/>
          <w:sz w:val="21"/>
        </w:rPr>
        <w:t>When the Main Admin Company operates as a Carrying &amp; Forwarding (C&amp;F) Agent for a pharmaceutical client company registered in Client Management (e.g., KRISHNA MEDICAL AGENCIES), monthly commercial settlement requires billing for earned sales commission plus reimbursement of verified operating depot expenses. The Client C&amp;F Billing Desk ([F5] on /commission) automates this bilateral workflow.</w:t>
      </w:r>
    </w:p>
    <w:p>
      <w:pPr>
        <w:keepNext/>
        <w:spacing w:before="280" w:after="120"/>
      </w:pPr>
      <w:r>
        <w:rPr>
          <w:rFonts w:ascii="Segoe UI" w:hAnsi="Segoe UI"/>
          <w:b/>
          <w:i w:val="0"/>
          <w:color w:val="2D6A4F"/>
          <w:sz w:val="27"/>
        </w:rPr>
        <w:t>27.2 The Bilateral Dual-Posting Architecture</w:t>
      </w:r>
    </w:p>
    <w:p>
      <w:pPr>
        <w:spacing w:before="0" w:after="120" w:line="276" w:lineRule="auto"/>
        <w:jc w:val="left"/>
      </w:pPr>
      <w:r>
        <w:rPr>
          <w:rFonts w:ascii="Segoe UI" w:hAnsi="Segoe UI"/>
          <w:b w:val="0"/>
          <w:i w:val="0"/>
          <w:color w:val="1E293B"/>
          <w:sz w:val="21"/>
        </w:rPr>
        <w:t>Clicking [Generate &amp; Post C&amp;F Service Bill to Billing] triggers an atomic database transaction that posts across both corporate entities: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Posting Entity &amp;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Route</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Accounting &amp; Statutory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1: Main Admin Agency (C&amp;F)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Outward Service Bill (CF-BILL-2026-XXXX)\nRoute: Billing Register (/billing, [F7])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commercial tax invoice billing the client for Sales Commission + Godown Storage Rent + Staff Salaries + Freight Recharges under GST SAC 998599 (18% GST). Debits Client Trade Receivable; Credits Service Revenue &amp; Expense Recoveries.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Leg 2: Client Company (Krishna Medical Agencies)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Inward Purchase Bill (PUR-CF-2026-XXXX)\nRoute: Purchase Register (/purchase/list, [F9])</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directly inside the client organization's database partition (organization_id = client_org.id). Credits C&amp;F Agency Trade Payable; Debits Operating Expenses. Eliminates duplicate manual entry.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3: Commission Engine Audit Trail</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Commission Event, Calculations &amp; Claim\nRoute: Recovery Statements Desk (/commission)</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models.CommissionCalculation records with formula traces and SHA-256 integrity hashes, and an approved models.RecoveryClaim linking both vouchers via models.RecoveryDocumentLink.</w:t>
            </w:r>
          </w:p>
        </w:tc>
      </w:tr>
    </w:tbl>
    <w:p>
      <w:pPr>
        <w:spacing w:after="160"/>
      </w:pPr>
    </w:p>
    <w:p>
      <w:pPr>
        <w:keepNext/>
        <w:spacing w:before="280" w:after="120"/>
      </w:pPr>
      <w:r>
        <w:rPr>
          <w:rFonts w:ascii="Segoe UI" w:hAnsi="Segoe UI"/>
          <w:b/>
          <w:i w:val="0"/>
          <w:color w:val="2D6A4F"/>
          <w:sz w:val="27"/>
        </w:rPr>
        <w:t>27.3 Visual Photographic Evidence: Client C&amp;F Billing Desk &amp; Dual-Posting</w:t>
      </w:r>
    </w:p>
    <w:p>
      <w:pPr>
        <w:spacing w:before="0" w:after="120" w:line="276" w:lineRule="auto"/>
        <w:jc w:val="left"/>
      </w:pPr>
      <w:r>
        <w:rPr>
          <w:rFonts w:ascii="Segoe UI" w:hAnsi="Segoe UI"/>
          <w:b w:val="0"/>
          <w:i w:val="0"/>
          <w:color w:val="1E293B"/>
          <w:sz w:val="21"/>
        </w:rPr>
        <w:t>The automated Selenium test suite (test_client_commission_billing_selenium.py)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2" name="Picture 32"/>
            <wp:cNvGraphicFramePr>
              <a:graphicFrameLocks noChangeAspect="1"/>
            </wp:cNvGraphicFramePr>
            <a:graphic>
              <a:graphicData uri="http://schemas.openxmlformats.org/drawingml/2006/picture">
                <pic:pic>
                  <pic:nvPicPr>
                    <pic:cNvPr id="0" name="verified_client_commission_billing_desk.png"/>
                    <pic:cNvPicPr/>
                  </pic:nvPicPr>
                  <pic:blipFill>
                    <a:blip r:embed="rId40"/>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27.1: Client C&amp;F Billing Desk ([F5] on /commission) showing client selection (KRISHNA MEDICAL AGENCIES), 1-click Auto-Fetched telemetry (Turnover ₹12,50,000, Commission ₹62,500, Depot Expenses ₹51,000), and dual configuration workspaces.</w:t>
      </w:r>
    </w:p>
    <w:p>
      <w:pPr>
        <w:spacing w:before="160" w:after="40"/>
        <w:jc w:val="center"/>
      </w:pPr>
      <w:r>
        <w:drawing>
          <wp:inline xmlns:a="http://schemas.openxmlformats.org/drawingml/2006/main" xmlns:pic="http://schemas.openxmlformats.org/drawingml/2006/picture">
            <wp:extent cx="5669280" cy="2982153"/>
            <wp:docPr id="33" name="Picture 33"/>
            <wp:cNvGraphicFramePr>
              <a:graphicFrameLocks noChangeAspect="1"/>
            </wp:cNvGraphicFramePr>
            <a:graphic>
              <a:graphicData uri="http://schemas.openxmlformats.org/drawingml/2006/picture">
                <pic:pic>
                  <pic:nvPicPr>
                    <pic:cNvPr id="0" name="verified_client_bill_generated_dual_post.png"/>
                    <pic:cNvPicPr/>
                  </pic:nvPicPr>
                  <pic:blipFill>
                    <a:blip r:embed="rId41"/>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27.2: Generated Bill Success Card confirming outward service bill CF-BILL-2026-0002 and automated dual-posted inward client purchase bill PUR-CF-2026-0002 with direct links to Billing [F7] and Purchase [F9].</w:t>
      </w:r>
    </w:p>
    <w:p>
      <w:r>
        <w:br w:type="page"/>
      </w:r>
    </w:p>
    <w:p>
      <w:pPr>
        <w:keepNext/>
        <w:spacing w:before="360" w:after="160"/>
      </w:pPr>
      <w:r>
        <w:rPr>
          <w:rFonts w:ascii="Segoe UI" w:hAnsi="Segoe UI"/>
          <w:b/>
          <w:i w:val="0"/>
          <w:color w:val="1B4332"/>
          <w:sz w:val="36"/>
        </w:rPr>
        <w:t>Chapter 28: Pharma Expiry Radar, Stock Shift Quarantine Engine &amp; Principal Debit Note Settlement Desk (DOC-41)</w:t>
      </w:r>
    </w:p>
    <w:p>
      <w:pPr>
        <w:keepNext/>
        <w:spacing w:before="280" w:after="120"/>
      </w:pPr>
      <w:r>
        <w:rPr>
          <w:rFonts w:ascii="Segoe UI" w:hAnsi="Segoe UI"/>
          <w:b/>
          <w:i w:val="0"/>
          <w:color w:val="2D6A4F"/>
          <w:sz w:val="27"/>
        </w:rPr>
        <w:t>28.1 Architectural Purpose &amp; Pharma Shelf-Life Governance</w:t>
      </w:r>
    </w:p>
    <w:p>
      <w:pPr>
        <w:spacing w:before="0" w:after="120" w:line="276" w:lineRule="auto"/>
        <w:jc w:val="left"/>
      </w:pPr>
      <w:r>
        <w:rPr>
          <w:rFonts w:ascii="Segoe UI" w:hAnsi="Segoe UI"/>
          <w:b w:val="0"/>
          <w:i w:val="0"/>
          <w:color w:val="1E293B"/>
          <w:sz w:val="21"/>
        </w:rPr>
        <w:t>In pharmaceutical distribution and Carrying &amp; Forwarding (C&amp;F) operations, batch shelf-life surveillance and damaged/expired stock disposition are mission-critical regulatory and financial functions. DOC-41 establishes a real-time, transactional bridge that surveils batch expiries, executes atomic godown stock shifts from Saleable to Quarantine inventory, and automatically files debit note claims with Principals (manufacturers) in the Principal Claims Desk.</w:t>
      </w:r>
    </w:p>
    <w:p>
      <w:pPr>
        <w:keepNext/>
        <w:spacing w:before="280" w:after="120"/>
      </w:pPr>
      <w:r>
        <w:rPr>
          <w:rFonts w:ascii="Segoe UI" w:hAnsi="Segoe UI"/>
          <w:b/>
          <w:i w:val="0"/>
          <w:color w:val="2D6A4F"/>
          <w:sz w:val="27"/>
        </w:rPr>
        <w:t>28.2 The 4-Pillar Expiry Surveillance &amp; Claim Reallocation Matrix</w:t>
      </w:r>
    </w:p>
    <w:p>
      <w:pPr>
        <w:spacing w:before="0" w:after="120" w:line="276" w:lineRule="auto"/>
        <w:jc w:val="left"/>
      </w:pPr>
      <w:r>
        <w:rPr>
          <w:rFonts w:ascii="Segoe UI" w:hAnsi="Segoe UI"/>
          <w:b w:val="0"/>
          <w:i w:val="0"/>
          <w:color w:val="1E293B"/>
          <w:sz w:val="21"/>
        </w:rPr>
        <w:t>The end-to-end lifecycle of expiring stock operates across four interconnected tiers: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Pillar &amp; Engine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Route &amp; UI Controls</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Transactional &amp; Ledger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1: Expiry Cockpit Telemetry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Cockpit Header &amp; Scorecards\nRoute: /inventory-dashboard</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Aggregates live inventory valuations across Main Stock (Batch.current_stock), Quarantined Stock (Batch.brk_exp_stock), 90-day risk horizons, and active pending claims in models.PrincipalClaim.</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2: Real-Time Expiry Radar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Expiry Radar Table [F2]\nFilter Pills: Expired, &lt;30d, &lt;60d, &lt;90d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Classifies batches into 4 actionable risk buckets with days-to-expiry calculation, company filters, multi-batch selection checkboxes, and 1-click [⚡ Shift to Quarantine [F7]] transition.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3: Atomic Stock Shift Voucher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Shift Desk\nRoute: /stock-shift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Enforces strict stock availability validation and executes atomic database transaction (POST /api/stock/shifts): decrements Batch.current_stock, increments Batch.brk_exp_stock, and logs models.StockShiftVoucher (SHF-2026-XXXX).</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4: Principal Claim &amp; Debit Note Bridging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Auto-Claim Toggle (#check-auto-claim)\nRoute: /principal</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generates formal models.PrincipalClaim (CLM-PRN-YYYY-XXXX) and itemized models.PrincipalClaimLine records under the selected Principal, recording debit note reference for recovery.</w:t>
            </w:r>
          </w:p>
        </w:tc>
      </w:tr>
    </w:tbl>
    <w:p>
      <w:pPr>
        <w:spacing w:after="160"/>
      </w:pPr>
    </w:p>
    <w:p>
      <w:pPr>
        <w:keepNext/>
        <w:spacing w:before="280" w:after="120"/>
      </w:pPr>
      <w:r>
        <w:rPr>
          <w:rFonts w:ascii="Segoe UI" w:hAnsi="Segoe UI"/>
          <w:b/>
          <w:i w:val="0"/>
          <w:color w:val="2D6A4F"/>
          <w:sz w:val="27"/>
        </w:rPr>
        <w:t>28.3 Visual Photographic Evidence: Expiry Cockpit, Stock Shift &amp; Principal Claims</w:t>
      </w:r>
    </w:p>
    <w:p>
      <w:pPr>
        <w:spacing w:before="0" w:after="120" w:line="276" w:lineRule="auto"/>
        <w:jc w:val="left"/>
      </w:pPr>
      <w:r>
        <w:rPr>
          <w:rFonts w:ascii="Segoe UI" w:hAnsi="Segoe UI"/>
          <w:b w:val="0"/>
          <w:i w:val="0"/>
          <w:color w:val="1E293B"/>
          <w:sz w:val="21"/>
        </w:rPr>
        <w:t>The automated Selenium test suite (test_pharma_expiry_quarantine_selenium.py)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4" name="Picture 34"/>
            <wp:cNvGraphicFramePr>
              <a:graphicFrameLocks noChangeAspect="1"/>
            </wp:cNvGraphicFramePr>
            <a:graphic>
              <a:graphicData uri="http://schemas.openxmlformats.org/drawingml/2006/picture">
                <pic:pic>
                  <pic:nvPicPr>
                    <pic:cNvPr id="0" name="verified_pharma_expiry_cockpit.png"/>
                    <pic:cNvPicPr/>
                  </pic:nvPicPr>
                  <pic:blipFill>
                    <a:blip r:embed="rId42"/>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28.1: Pharma Expiry Radar &amp; Breakage Cockpit (/inventory-dashboard) showing live telemetry scorecards, risk bucket filter pills (All Critical, Expired, &lt;30d, &lt;60d, &lt;90d), and batch surveillance table.</w:t>
      </w:r>
    </w:p>
    <w:p>
      <w:pPr>
        <w:spacing w:before="160" w:after="40"/>
        <w:jc w:val="center"/>
      </w:pPr>
      <w:r>
        <w:drawing>
          <wp:inline xmlns:a="http://schemas.openxmlformats.org/drawingml/2006/main" xmlns:pic="http://schemas.openxmlformats.org/drawingml/2006/picture">
            <wp:extent cx="5669280" cy="2982153"/>
            <wp:docPr id="35" name="Picture 35"/>
            <wp:cNvGraphicFramePr>
              <a:graphicFrameLocks noChangeAspect="1"/>
            </wp:cNvGraphicFramePr>
            <a:graphic>
              <a:graphicData uri="http://schemas.openxmlformats.org/drawingml/2006/picture">
                <pic:pic>
                  <pic:nvPicPr>
                    <pic:cNvPr id="0" name="verified_stock_shift_claim_success.png"/>
                    <pic:cNvPicPr/>
                  </pic:nvPicPr>
                  <pic:blipFill>
                    <a:blip r:embed="rId43"/>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28.2: Stock Shift Voucher Desk (/stock-shift) Success Card confirming voucher SHF-2026-0001 (148 units shifted to Quarantine Godown) and automated Principal Claim CLM-PRN-2026-0006 filed under Sun Pharma Healthcare Ltd.</w:t>
      </w:r>
    </w:p>
    <w:p>
      <w:pPr>
        <w:spacing w:before="160" w:after="40"/>
        <w:jc w:val="center"/>
      </w:pPr>
      <w:r>
        <w:drawing>
          <wp:inline xmlns:a="http://schemas.openxmlformats.org/drawingml/2006/main" xmlns:pic="http://schemas.openxmlformats.org/drawingml/2006/picture">
            <wp:extent cx="5669280" cy="2982153"/>
            <wp:docPr id="36" name="Picture 36"/>
            <wp:cNvGraphicFramePr>
              <a:graphicFrameLocks noChangeAspect="1"/>
            </wp:cNvGraphicFramePr>
            <a:graphic>
              <a:graphicData uri="http://schemas.openxmlformats.org/drawingml/2006/picture">
                <pic:pic>
                  <pic:nvPicPr>
                    <pic:cNvPr id="0" name="verified_quarantine_stock_ledger.png"/>
                    <pic:cNvPicPr/>
                  </pic:nvPicPr>
                  <pic:blipFill>
                    <a:blip r:embed="rId44"/>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28.3: Quarantined &amp; Breakage Stock Ledger tab ([F3]) reflecting real-time reallocation (303 units, ₹41,799) with direct action button to File Principal Expiry Claim.</w:t>
      </w:r>
    </w:p>
    <w:p>
      <w:pPr>
        <w:spacing w:before="160" w:after="40"/>
        <w:jc w:val="center"/>
      </w:pPr>
      <w:r>
        <w:drawing>
          <wp:inline xmlns:a="http://schemas.openxmlformats.org/drawingml/2006/main" xmlns:pic="http://schemas.openxmlformats.org/drawingml/2006/picture">
            <wp:extent cx="5669280" cy="2982153"/>
            <wp:docPr id="37" name="Picture 37"/>
            <wp:cNvGraphicFramePr>
              <a:graphicFrameLocks noChangeAspect="1"/>
            </wp:cNvGraphicFramePr>
            <a:graphic>
              <a:graphicData uri="http://schemas.openxmlformats.org/drawingml/2006/picture">
                <pic:pic>
                  <pic:nvPicPr>
                    <pic:cNvPr id="0" name="verified_principal_claim_from_shift.png"/>
                    <pic:cNvPicPr/>
                  </pic:nvPicPr>
                  <pic:blipFill>
                    <a:blip r:embed="rId45"/>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28.4: Principal Claims Desk (/principal) displaying linked Claim CLM-PRN-2026-0006 originating from Stock Shift SHF-2026-0001 for automated debit note recovery.</w:t>
      </w:r>
    </w:p>
    <w:p>
      <w:r>
        <w:br w:type="page"/>
      </w:r>
    </w:p>
    <w:p>
      <w:pPr>
        <w:keepNext/>
        <w:spacing w:before="360" w:after="160"/>
      </w:pPr>
      <w:r>
        <w:rPr>
          <w:rFonts w:ascii="Segoe UI" w:hAnsi="Segoe UI"/>
          <w:b/>
          <w:i w:val="0"/>
          <w:color w:val="1B4332"/>
          <w:sz w:val="36"/>
        </w:rPr>
        <w:t>Chapter 29: Master Screen-by-Screen UI Element &amp; Operational Hotkey Directory</w:t>
      </w:r>
    </w:p>
    <w:p>
      <w:pPr>
        <w:keepNext/>
        <w:spacing w:before="280" w:after="120"/>
      </w:pPr>
      <w:r>
        <w:rPr>
          <w:rFonts w:ascii="Segoe UI" w:hAnsi="Segoe UI"/>
          <w:b/>
          <w:i w:val="0"/>
          <w:color w:val="2D6A4F"/>
          <w:sz w:val="27"/>
        </w:rPr>
        <w:t>29.1 Architecture of the 10 Top-Level Parent Menus</w:t>
      </w:r>
    </w:p>
    <w:p>
      <w:pPr>
        <w:spacing w:before="0" w:after="120" w:line="276" w:lineRule="auto"/>
        <w:jc w:val="left"/>
      </w:pPr>
      <w:r>
        <w:rPr>
          <w:rFonts w:ascii="Segoe UI" w:hAnsi="Segoe UI"/>
          <w:b w:val="0"/>
          <w:i w:val="0"/>
          <w:color w:val="1E293B"/>
          <w:sz w:val="21"/>
        </w:rPr>
        <w:t>To ensure zero screen overflow on standard desktop monitors (1366x768, 1440x900, 1920x1080), the ERP navigation bar is engineered with 10 streamlined parent categories with full keyboard arrow traversal (ArrowLeft, ArrowRight, ArrowDown, ArrowUp), Enter navigation, and universal Esc dismissal:</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Top Menu</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Route / Primary Submenus</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Key Capabilities &amp; Roles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1. Dashboard</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 (HomeScreen)</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Counter Workbench, quick operational launcher tiles, and Esc exit modal.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2. Master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Ledger, Business Partners, Salt, Company, HSN, State, Series, Schemes, Pricing</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Core configuration, business partners master, alphanumeric series continuation, and pricing rules.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3. Finance &amp; Accounting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Payment, Receipt, Journal, Contra, Day Book, BRS, Fixed Assets, Expenses, P&amp;L, BS</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ACID double-entry general ledger, FIFO settlement allocation, statutory financial statements.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4. Inventory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Product Create/Modify, View Stock, Brk/Exp Stock, Expiry Cockpit, Stock Shift, Replenishment</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Multi-godown inventory management, real-time shelf-life surveillance, and atomic stock shift reallocation.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5. Sales &amp; Purchase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Sales Bill, Challan, Purchase Bill, Credit Note, Debit Note, Brk Receive, Brk Issue, Orders, GRN</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Complete 6 transaction voucher modules, fast counter billing, barcode scanning, and PO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6. C&amp;F &amp; Logistics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Principal Ops, Commission Engine, Multi-Client Radar, Cargo Board, Freight Rates, Transporter Recon</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Carrying &amp; Forwarding operations, 4-pillar commercial deal terms, carrier rate cards, and billing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7. Workflows [F4]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Approval Inbox, Rule Designer, SLA Monitor, Audit Trail Explorer, Data Governance Console</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Maker-checker approval hierarchy, SHA-256 tamper-evident event stream, and statutory retention policies.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8. GST &amp; Compliance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GSTR-1, GSTR-2, GSTR-3B, Finance Reports, E-Invoice Desk, Signed Ledger</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Statutory GST returns, government offline JSON utility export, and digital invoice signing.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9. CRM &amp; Admin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CRM Dashboard, Client Management, Multi-Client Radar, Product Companies, Bulletin, Settings</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Multi-tenant tenant management, product brand assignment, company-wide circulars, and system settings.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10. Reports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Report Viewer, Custom Report Designer</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Management analytics, drill-down company sales, and visual semantic report query designer.</w:t>
            </w:r>
          </w:p>
        </w:tc>
      </w:tr>
    </w:tbl>
    <w:p>
      <w:pPr>
        <w:spacing w:after="160"/>
      </w:pPr>
    </w:p>
    <w:p>
      <w:pPr>
        <w:keepNext/>
        <w:spacing w:before="280" w:after="120"/>
      </w:pPr>
      <w:r>
        <w:rPr>
          <w:rFonts w:ascii="Segoe UI" w:hAnsi="Segoe UI"/>
          <w:b/>
          <w:i w:val="0"/>
          <w:color w:val="2D6A4F"/>
          <w:sz w:val="27"/>
        </w:rPr>
        <w:t>29.2 Master UI Element &amp; Selector Directory Across All 35 Routes</w:t>
      </w:r>
    </w:p>
    <w:p>
      <w:pPr>
        <w:spacing w:before="0" w:after="120" w:line="276" w:lineRule="auto"/>
        <w:jc w:val="left"/>
      </w:pPr>
      <w:r>
        <w:rPr>
          <w:rFonts w:ascii="Segoe UI" w:hAnsi="Segoe UI"/>
          <w:b w:val="0"/>
          <w:i w:val="0"/>
          <w:color w:val="1E293B"/>
          <w:sz w:val="21"/>
        </w:rPr>
        <w:t>The following master reference catalog details the functional selectors, IDs, and hotkey bindings for software developers and quality assurance engineers: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Context</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UI Selector / Element ID</w:t>
            </w:r>
          </w:p>
        </w:tc>
        <w:tc>
          <w:tcPr>
            <w:tcW w:type="dxa" w:w="1152"/>
            <w:shd w:fill="1B4332"/>
            <w:tcMar>
              <w:top w:w="140" w:type="dxa"/>
              <w:bottom w:w="140" w:type="dxa"/>
              <w:left w:w="160" w:type="dxa"/>
              <w:right w:w="160" w:type="dxa"/>
            </w:tcMar>
          </w:tcPr>
          <w:p>
            <w:pPr>
              <w:jc w:val="left"/>
            </w:pPr>
            <w:r>
              <w:rPr>
                <w:rFonts w:ascii="Segoe UI" w:hAnsi="Segoe UI"/>
                <w:b/>
                <w:i w:val="0"/>
                <w:color w:val="FFFFFF"/>
                <w:sz w:val="19"/>
              </w:rPr>
              <w:t>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Functionality &amp; Business Invariant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Marg-speed counter billing desk with sequential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[F6]</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logistics consignment Kanban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[Ctrl+2]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carrier contracts and freight rating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[Ctrl+3]</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Principal operations, custody stock, and claims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[Ctrl+4]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C&amp;F Commission Engine &amp; Client Billing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#hub-btn-admin-tracking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[Ctrl+6]</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Enterprise Multi-Client Operations Radar.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Application exit confirmation dialog with Enter exit and Esc cancel.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[Alt+A]</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Executes 1-click FIFO allocation across open customer invoices.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[Alt+A]</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1-click FIFO allocation across open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Journal Voucher (/journal)</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#btn-auto-balance-gl</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[Ctrl+B]</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Auto-calculates and inserts balancing Dr/Cr line.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Journal Voucher (/journal)</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#check-schedule-accrual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Schedules automatic 1st-of-month general ledger reversal.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 Desk (/finance/expenses)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#btn-post-expense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Posts direct cash/bank operational expense debiting P&amp;L immediately.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Bank Recon (/finance/bank-reconciliation)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#btn-cash-drawer-tally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RBI currency denomination counter and cash discrepancy report.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#btn-export-gstn-json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Exports official Government Offline Utility JSON file for gst.gov.in.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Traverses sequential SHA-256 hash blocks certifying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[Enter]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Slide-over before/after JSON diff comparison drawer.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Registers consignment with IATA volumetric CBM auto-calculation.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Master (/freight/contracts)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#tab-btn-sandbox</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[F4]</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Evaluates deterministic freight calculation with formula trace.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Desk (/principal)</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Principal breakage/damage claim modal with [Esc] dismissal.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#tab-btn-client-billing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Client Management C&amp;F Commission &amp; Expense Billing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#btn-autofetch-client-telemetry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1-Click Auto-Fetch pulling client turnover and depot operating expenses.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#check-dual-post-purchase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automated dual-posting into the client company inward purchase register.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#btn-generate-client-bill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Atomically creates outward service bill (CF-BILL-) and inward purchase bill (PUR-CF-).</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Radar (/admin/tracking)</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#select-tracking-scope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between Consolidated multi-client view and single-client isolation.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Radar (/admin/tracking)</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#tab-btn-scorecards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comparative client scorecards matrix with 1-click drilldown.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#card-main-stock</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real-time Main Saleable Stock Value and Healthy Units 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#card-quarantine-stock</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Quarantined Stock Value and Segregated Units count in brk_exp_stock.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#card-near-expiry-risk</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90-Day Near-Expiry Risk Valuation across 4 critical risk buckets.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#card-claim-exposure</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active Principal Claims &amp; Debit Note exposure.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#tab-btn-radar</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Expiry Radar table with alert pills and search filters.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#btn-shift-selected-action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Shifts chosen batches to quarantine and routes to /stock-shift.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#select-from-godown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Selects source godown (Main Saleable Godown).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#select-to-godown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Selects destination godown (Quarantine / Expiry Godown).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#check-auto-claim</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automated generation of official Principal Expiry Claim (CLM-PRN-).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#btn-save-shift-voucher</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atomic stock shift reallocation and files debit note claim.</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#stock-shift-success-card</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generated voucher (SHF-2026-XXXX) and claim reference.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#card-qualifying-invoices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qualifying outbound consignments (≥ ₹50,000) and gross consignment value.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#card-pending-eway</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consignments pending Part B vehicle transport delivery slips.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#card-generated-irn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consignments verified with cryptographic IRN and digital QR codes.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#card-compliance-rate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live percentage statutory compliance progress bar.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#btn-open-transport-modal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Transporter &amp; Vehicle Assignment modal (#modal-transport-assignment).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#btn-export-nic-json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[F8]</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Exports official Government NIC Schema 1.1 Bulk Upload JSON 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#btn-confirm-generate-compliance</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[Enter]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1-Click generation of 64-char IRN, 15-digit Ack No, 12-digit E-Way 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#btn-print-slip-dialog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Print trigger for official Government of India CBIC two-part delivery slip.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#tab-gstr2b</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Activates GSTR-2B ITC Matching Engine workbench.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#metric-2b-total-itc</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Total Inward ITC present in GSTR-2B statements.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#metric-2b-safe-itc</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Safe &amp; Claimable ITC meeting Section 16(2)(aa) rules.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#metric-2b-at-risk-itc</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At-Risk Blocked ITC missing in 2B or with tax mismatches.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#metric-2b-unclaimed-itc</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Unclaimed Credit in 2B omitted in internal accounting ledgers.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#btn-tolerance-1 / 5 / 10</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3-tier differential matching tolerance switcher (±₹1, ±₹5, ±₹10).</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#btn-bulk-approve-itc</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1-Click bulk approval of matched records for monthly GSTR-3B Table 4(A)(5).</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#modal-supplier-dunning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Section 16(2)(aa) notice generator with direct WhatsApp dispatch.</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#modal-ingest-portal-2b</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Official Government GST Portal GSTR-2B JSON return statement ingestion.</w:t>
            </w:r>
          </w:p>
        </w:tc>
      </w:tr>
    </w:tbl>
    <w:p>
      <w:pPr>
        <w:spacing w:after="160"/>
      </w:pPr>
    </w:p>
    <w:p>
      <w:r>
        <w:br w:type="page"/>
      </w:r>
    </w:p>
    <w:p>
      <w:pPr>
        <w:keepNext/>
        <w:spacing w:before="360" w:after="160"/>
      </w:pPr>
      <w:r>
        <w:rPr>
          <w:rFonts w:ascii="Segoe UI" w:hAnsi="Segoe UI"/>
          <w:b/>
          <w:i w:val="0"/>
          <w:color w:val="1B4332"/>
          <w:sz w:val="36"/>
        </w:rPr>
        <w:t>Chapter 30: Statutory GST E-Way Bill &amp; E-Invoice (IRN) Generation Desk (DOC-42)</w:t>
      </w:r>
    </w:p>
    <w:p>
      <w:pPr>
        <w:keepNext/>
        <w:spacing w:before="280" w:after="120"/>
      </w:pPr>
      <w:r>
        <w:rPr>
          <w:rFonts w:ascii="Segoe UI" w:hAnsi="Segoe UI"/>
          <w:b/>
          <w:i w:val="0"/>
          <w:color w:val="2D6A4F"/>
          <w:sz w:val="27"/>
        </w:rPr>
        <w:t>30.1 Statutory Transit Mandates &amp; Regulatory Overview</w:t>
      </w:r>
    </w:p>
    <w:p>
      <w:pPr>
        <w:spacing w:before="0" w:after="120" w:line="276" w:lineRule="auto"/>
        <w:jc w:val="left"/>
      </w:pPr>
      <w:r>
        <w:rPr>
          <w:rFonts w:ascii="Segoe UI" w:hAnsi="Segoe UI"/>
          <w:b w:val="0"/>
          <w:i w:val="0"/>
          <w:color w:val="1E293B"/>
          <w:sz w:val="21"/>
        </w:rPr>
        <w:t>Under Rule 138 of the Central Goods and Services Tax (CGST) Rules, 2017 and Rule 48(4) statutory E-Invoicing mandates, all registered pharmaceutical distribution enterprises dispatching consignments with invoice valuations exceeding ₹50,000 (and all inter-state movements) must obtain statutory transit clearances prior to physical goods dispatch: a 64-character cryptographic Invoice Reference Number (IRN) certified by the Government Invoice Registration Portal (IRP), a signed digital QR code token, and a 12-digit Electronic Way Bill (E-Way Bill) comprising Part A (Consignment metadata) and Part B (Vehicle conveyance registration number, transport mode, and transporter identification).</w:t>
      </w:r>
    </w:p>
    <w:p>
      <w:pPr>
        <w:keepNext/>
        <w:spacing w:before="280" w:after="120"/>
      </w:pPr>
      <w:r>
        <w:rPr>
          <w:rFonts w:ascii="Segoe UI" w:hAnsi="Segoe UI"/>
          <w:b/>
          <w:i w:val="0"/>
          <w:color w:val="2D6A4F"/>
          <w:sz w:val="27"/>
        </w:rPr>
        <w:t>30.2 4-Pillar Compliance Generation &amp; Transport Conveyance Matrix</w:t>
      </w:r>
    </w:p>
    <w:p>
      <w:pPr>
        <w:spacing w:before="0" w:after="120" w:line="276" w:lineRule="auto"/>
        <w:jc w:val="left"/>
      </w:pPr>
      <w:r>
        <w:rPr>
          <w:rFonts w:ascii="Segoe UI" w:hAnsi="Segoe UI"/>
          <w:b w:val="0"/>
          <w:i w:val="0"/>
          <w:color w:val="1E293B"/>
          <w:sz w:val="21"/>
        </w:rPr>
        <w:t>The end-to-end statutory transit clearance engine operates across four integrated functional pillars: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Pillar &amp; Engine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Route &amp; UI Controls</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Transactional &amp; Statutory Invariant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1: Real-Time Consignment Detection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Telemetry Scorecards\nRoute: /compliance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Scans all outbound B2B sales invoices with grand_total ≥ ₹50,000, calculating gross qualifying valuation, consignments pending Part B conveyance, generated IRNs, and live percentage statutory compliance progress bar.</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2: Transporter &amp; Conveyance Assignment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Transport Modal (#modal-transport-assignment)\nHotkey: [F7]</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Captures commercial transporter profiles, vehicle registration number (e.g. DL-01-AB-1234), distance in KM with automatic CBIC validity calculation (1 day per 200 KM), transport mode (Road/Rail/Air/Ship), and vehicle type (Regular/ODC).</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3: 1-Click Cryptographic IRN &amp; EWB Engine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Generation Desk (POST /api/compliance/generate-eway-irn)\nAction: [Confirm &amp; Generate]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Atomically computes 64-char SHA-256 IRN hash, 15-digit Ack No, 12-digit E-Way Bill No (starting with 24), signed digital QR code string, sets models.EinvoiceEwayLog to SUCCESS, and updates invoice compliance status.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4: CBIC Slips &amp; NIC Schema 1.1 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Printable Slip Modal &amp; JSON Center\nHotkey: [F8]</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Generates official Government of India CBIC two-part delivery slips (Part A &amp; Part B) with high-contrast signed digital QR code for driver handover, and exports official NIC Schema 1.1 bulk JSON payloads for direct upload to einvoice1.gst.gov.in.</w:t>
            </w:r>
          </w:p>
        </w:tc>
      </w:tr>
    </w:tbl>
    <w:p>
      <w:pPr>
        <w:spacing w:after="160"/>
      </w:pPr>
    </w:p>
    <w:p>
      <w:pPr>
        <w:keepNext/>
        <w:spacing w:before="280" w:after="120"/>
      </w:pPr>
      <w:r>
        <w:rPr>
          <w:rFonts w:ascii="Segoe UI" w:hAnsi="Segoe UI"/>
          <w:b/>
          <w:i w:val="0"/>
          <w:color w:val="2D6A4F"/>
          <w:sz w:val="27"/>
        </w:rPr>
        <w:t>30.3 Visual Photographic Evidence: Transporter Modal, Cockpit &amp; CBIC Slips</w:t>
      </w:r>
    </w:p>
    <w:p>
      <w:pPr>
        <w:spacing w:before="0" w:after="120" w:line="276" w:lineRule="auto"/>
        <w:jc w:val="left"/>
      </w:pPr>
      <w:r>
        <w:rPr>
          <w:rFonts w:ascii="Segoe UI" w:hAnsi="Segoe UI"/>
          <w:b w:val="0"/>
          <w:i w:val="0"/>
          <w:color w:val="1E293B"/>
          <w:sz w:val="21"/>
        </w:rPr>
        <w:t>The automated Selenium test suite (test_gst_einvoice_eway_selenium.py) verifies all 13 stages with 100% Exit Code 0:</w:t>
      </w:r>
    </w:p>
    <w:p>
      <w:r>
        <w:br w:type="page"/>
      </w:r>
    </w:p>
    <w:p>
      <w:pPr>
        <w:keepNext/>
        <w:spacing w:before="360" w:after="160"/>
      </w:pPr>
      <w:r>
        <w:rPr>
          <w:rFonts w:ascii="Segoe UI" w:hAnsi="Segoe UI"/>
          <w:b/>
          <w:i w:val="0"/>
          <w:color w:val="1B4332"/>
          <w:sz w:val="36"/>
        </w:rPr>
        <w:t>Chapter 31: Statutory Multi-State GSTR-1, GSTR-2B &amp; GSTR-3B Reconciliation Cockpit with Section 16(2)(aa) 2B ITC Matching Engine (DOC-43)</w:t>
      </w:r>
    </w:p>
    <w:p>
      <w:pPr>
        <w:keepNext/>
        <w:spacing w:before="280" w:after="120"/>
      </w:pPr>
      <w:r>
        <w:rPr>
          <w:rFonts w:ascii="Segoe UI" w:hAnsi="Segoe UI"/>
          <w:b/>
          <w:i w:val="0"/>
          <w:color w:val="2D6A4F"/>
          <w:sz w:val="27"/>
        </w:rPr>
        <w:t>31.1 Legislative Framework: Section 16(2)(aa) &amp; Rule 37A ITC Compliance</w:t>
      </w:r>
    </w:p>
    <w:p>
      <w:pPr>
        <w:spacing w:before="0" w:after="120" w:line="276" w:lineRule="auto"/>
        <w:jc w:val="left"/>
      </w:pPr>
      <w:r>
        <w:rPr>
          <w:rFonts w:ascii="Segoe UI" w:hAnsi="Segoe UI"/>
          <w:b w:val="0"/>
          <w:i w:val="0"/>
          <w:color w:val="1E293B"/>
          <w:sz w:val="21"/>
        </w:rPr>
        <w:t>Under Section 16(2)(aa) of the Central Goods and Services Tax (CGST) Act, 2017 (notified w.e.f. 1 January 2022), registered businesses are strictly prohibited from availing Input Tax Credit (ITC) in their monthly GSTR-3B returns unless the underlying invoice has been furnished by the supplier in their outward statement (Form GSTR-1 or Invoice Furnishing Facility - IFF) and communicated to the recipient in auto-drafted Form GSTR-2B. Availing credit without GSTR-2B reflection triggers automated Form GST DRC-01B disparity notices, mandatory 18% per annum interest, and statutory credit reversals under Rule 37A.</w:t>
      </w:r>
    </w:p>
    <w:p>
      <w:pPr>
        <w:keepNext/>
        <w:spacing w:before="280" w:after="120"/>
      </w:pPr>
      <w:r>
        <w:rPr>
          <w:rFonts w:ascii="Segoe UI" w:hAnsi="Segoe UI"/>
          <w:b/>
          <w:i w:val="0"/>
          <w:color w:val="2D6A4F"/>
          <w:sz w:val="27"/>
        </w:rPr>
        <w:t>31.2 4-Way Matching Matrix &amp; Tolerance Differential Engine</w:t>
      </w:r>
    </w:p>
    <w:p>
      <w:pPr>
        <w:spacing w:before="0" w:after="120" w:line="276" w:lineRule="auto"/>
        <w:jc w:val="left"/>
      </w:pPr>
      <w:r>
        <w:rPr>
          <w:rFonts w:ascii="Segoe UI" w:hAnsi="Segoe UI"/>
          <w:b w:val="0"/>
          <w:i w:val="0"/>
          <w:color w:val="1E293B"/>
          <w:sz w:val="21"/>
        </w:rPr>
        <w:t>The reconciliation engine correlates internal purchase vouchers against portal GSTR-2B records across a dual-ledger side-by-side table, applying fuzzy/exact invoice number normalization (stripping special characters and leading zeros) and 3-tier differential tolerance (±₹1, ±₹5, ±₹10):</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Reconciliation Category</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Status &amp; Audit Criteria</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Operational &amp; Compliance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MATCHED (Safe ITC)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Invoice present in both Books &amp; GSTR-2B with Tax Variance &lt;= Tolerance (e.g. +-Rs.10).</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Auto-cleared under Section 16(2)(aa). Operators execute 1-Click Bulk Approval (#btn-bulk-approve-itc) to unlock credit for monthly GSTR-3B Table 4(A)(5) availing.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TAX MISMATCH</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Invoice present in both ledgers, but tax discrepancy exceeds configured tolerance.</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orange warning displayed with exact rupee tax and taxable differential. Operators issue vendor debit notes or request invoice amendments.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MISSING IN 2B (At-Risk ITC)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Purchase voucher recorded in ERP internal books, but absent from Government GST Portal GSTR-2B statement.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Credit is legally blocked. Operators launch Supplier Dunning Modal (#modal-supplier-dunning) to dispatch Section 16(2)(aa) statutory notice via direct WhatsApp API.</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MISSING IN BOOKS (Unclaimed Credit)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Invoice auto-drafted on GSTR-2B portal, but unrecorded in internal accounting purchase ledgers.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Represents genuine unclaimed ITC. Operators click 'Book Inward' (#btn-force-row-{idx}) to generate inward purchase vouchers without manual re-keying.</w:t>
            </w:r>
          </w:p>
        </w:tc>
      </w:tr>
    </w:tbl>
    <w:p>
      <w:pPr>
        <w:spacing w:after="160"/>
      </w:pPr>
    </w:p>
    <w:p>
      <w:pPr>
        <w:keepNext/>
        <w:spacing w:before="280" w:after="120"/>
      </w:pPr>
      <w:r>
        <w:rPr>
          <w:rFonts w:ascii="Segoe UI" w:hAnsi="Segoe UI"/>
          <w:b/>
          <w:i w:val="0"/>
          <w:color w:val="2D6A4F"/>
          <w:sz w:val="27"/>
        </w:rPr>
        <w:t>31.3 Visual Photographic Evidence: Scorecards, Dunning Modal, Ingest &amp; Workbench</w:t>
      </w:r>
    </w:p>
    <w:p>
      <w:pPr>
        <w:spacing w:before="0" w:after="120" w:line="276" w:lineRule="auto"/>
        <w:jc w:val="left"/>
      </w:pPr>
      <w:r>
        <w:rPr>
          <w:rFonts w:ascii="Segoe UI" w:hAnsi="Segoe UI"/>
          <w:b w:val="0"/>
          <w:i w:val="0"/>
          <w:color w:val="1E293B"/>
          <w:sz w:val="21"/>
        </w:rPr>
        <w:t>The automated Selenium test suite (test_gstr2b_reconciliation_selenium.py) verifies all 13 stages with 100% Exit Code 0:</w:t>
      </w:r>
    </w:p>
    <w:p>
      <w:r>
        <w:br w:type="page"/>
      </w:r>
    </w:p>
    <w:p>
      <w:pPr>
        <w:keepNext/>
        <w:spacing w:before="360" w:after="160"/>
      </w:pPr>
      <w:r>
        <w:rPr>
          <w:rFonts w:ascii="Segoe UI" w:hAnsi="Segoe UI"/>
          <w:b/>
          <w:i w:val="0"/>
          <w:color w:val="1B4332"/>
          <w:sz w:val="36"/>
        </w:rPr>
        <w:t>Chapter 32: Enterprise Cloud Authentication, Multi-Tenant Session Recovery &amp; Production Client Onboarding Desk (DOC-44)</w:t>
      </w:r>
    </w:p>
    <w:p>
      <w:pPr>
        <w:keepNext/>
        <w:spacing w:before="280" w:after="120"/>
      </w:pPr>
      <w:r>
        <w:rPr>
          <w:rFonts w:ascii="Segoe UI" w:hAnsi="Segoe UI"/>
          <w:b/>
          <w:i w:val="0"/>
          <w:color w:val="2D6A4F"/>
          <w:sz w:val="27"/>
        </w:rPr>
        <w:t>32.1 Architectural Overview &amp; Root-Cause Diagnosis</w:t>
      </w:r>
    </w:p>
    <w:p>
      <w:pPr>
        <w:spacing w:before="0" w:after="120" w:line="276" w:lineRule="auto"/>
        <w:jc w:val="left"/>
      </w:pPr>
      <w:r>
        <w:rPr>
          <w:rFonts w:ascii="Segoe UI" w:hAnsi="Segoe UI"/>
          <w:b w:val="0"/>
          <w:i w:val="0"/>
          <w:color w:val="1E293B"/>
          <w:sz w:val="21"/>
        </w:rPr>
        <w:t>In enterprise multi-tenant cloud deployments, secure authentication bridges the client Single Page Application (hosted on the Vercel Edge Network at https://erp-rho-three.vercel.app) and the high-concurrency FastAPI core service (hosted on Render at https://erp-backend-liaw.onrender.com), backed by Neon Serverless PostgreSQL. During production operations, client registration and administrative tenant onboarding require cryptographically verified JWT bearer tokens with active database sessions.</w:t>
      </w:r>
    </w:p>
    <w:p>
      <w:pPr>
        <w:spacing w:before="0" w:after="120" w:line="276" w:lineRule="auto"/>
        <w:jc w:val="left"/>
      </w:pPr>
      <w:r>
        <w:rPr>
          <w:rFonts w:ascii="Segoe UI" w:hAnsi="Segoe UI"/>
          <w:b w:val="0"/>
          <w:i w:val="0"/>
          <w:color w:val="1E293B"/>
          <w:sz w:val="21"/>
        </w:rPr>
        <w:t>A critical regression was identified during live Vercel operations: the '1-Click Demo Access' shortcut previously assigned a client-side mock string ('demo-preview-jwt-token') in browser localStorage. While adequate for offline navigational simulation, this synthetic string lacked a corresponding cryptographic session in PostgreSQL. Consequently, attempting to register new client companies via POST /api/organizations/register resulted in HTTP 401 Unauthorized errors from the live cloud backend.</w:t>
      </w:r>
    </w:p>
    <w:p>
      <w:pPr>
        <w:keepNext/>
        <w:spacing w:before="280" w:after="120"/>
      </w:pPr>
      <w:r>
        <w:rPr>
          <w:rFonts w:ascii="Segoe UI" w:hAnsi="Segoe UI"/>
          <w:b/>
          <w:i w:val="0"/>
          <w:color w:val="2D6A4F"/>
          <w:sz w:val="27"/>
        </w:rPr>
        <w:t>32.2 Dual-Layered Architectural Resolution: Live JWT Acquisition &amp; Session Self-Healing</w:t>
      </w:r>
    </w:p>
    <w:p>
      <w:pPr>
        <w:spacing w:before="0" w:after="120" w:line="276" w:lineRule="auto"/>
        <w:jc w:val="left"/>
      </w:pPr>
      <w:r>
        <w:rPr>
          <w:rFonts w:ascii="Segoe UI" w:hAnsi="Segoe UI"/>
          <w:b w:val="0"/>
          <w:i w:val="0"/>
          <w:color w:val="1E293B"/>
          <w:sz w:val="21"/>
        </w:rPr>
        <w:t>To achieve 100% production resilience without compromising the rapid 1-click evaluation workflow, a dual-layered architectural solution was implemented:</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Layer / Subsystem</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Technical Implementation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Operational Benefit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Live Cloud Demo Authentication (Login.tsx)</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handleDemoLogin() upgraded to execute an asynchronous REST call to POST /api/auth/token against the live Render gateway using verified cloud credentials ('AM-0001' / 'admin' / 'Admin@123'). On success, an authentic 8-hour JWT Bearer token and full tenant profile are committed to localStorage.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Eliminates mock tokens entirely during live cloud sessions; enables instant access to production features while preserving full database authorization.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Transparent Session Self-Healing (RegisterClientModal &amp; ClientManagement)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Embedded proactive session guard (ensureLiveCloudAuthSession) that inspects the active token prior to modal launch and payload submission. If a legacy mock token is detected, it automatically exchanges credentials for a fresh cloud JWT without interrupting user workflow.</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Zero operational friction for operators; protects onboarding workflows against stale tokens, session timeouts, and cold-start authentication lapses.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1-Click Credential Quick-Fill Presets (Login.tsx)</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Rendered interactive quick-fill chips on the login card: '#btn-quick-fill-admin' (pre-populating AM-0001 / admin / Admin@123) and '#btn-quick-fill-client' (pre-populating CM-0001 / manager / Pass@123).</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Permits instant manual credential verification and automated Selenium UI test targeting with zero keyboard typing overhead.</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Pydantic Validation &amp; Normalization (backend/routers/organizations.py)</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Normalized organization code extraction, added default boolean fallback for is_admin_company: bool = False in schema models, and extended Axios network timeout from 30s to 60s in src/lib/api.ts to absorb Render cold-starts.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Prevents schema parsing exceptions and handles cloud container spin-up delays gracefully.</w:t>
            </w:r>
          </w:p>
        </w:tc>
      </w:tr>
    </w:tbl>
    <w:p>
      <w:pPr>
        <w:spacing w:after="160"/>
      </w:pPr>
    </w:p>
    <w:p>
      <w:pPr>
        <w:keepNext/>
        <w:spacing w:before="280" w:after="120"/>
      </w:pPr>
      <w:r>
        <w:rPr>
          <w:rFonts w:ascii="Segoe UI" w:hAnsi="Segoe UI"/>
          <w:b/>
          <w:i w:val="0"/>
          <w:color w:val="2D6A4F"/>
          <w:sz w:val="27"/>
        </w:rPr>
        <w:t>32.3 Multi-Tenant Client Registration Modal &amp; DOM Inventory</w:t>
      </w:r>
    </w:p>
    <w:p>
      <w:pPr>
        <w:spacing w:before="0" w:after="120" w:line="276" w:lineRule="auto"/>
        <w:jc w:val="left"/>
      </w:pPr>
      <w:r>
        <w:rPr>
          <w:rFonts w:ascii="Segoe UI" w:hAnsi="Segoe UI"/>
          <w:b w:val="0"/>
          <w:i w:val="0"/>
          <w:color w:val="1E293B"/>
          <w:sz w:val="21"/>
        </w:rPr>
        <w:t>The Client Management console (/admin/clients) provides enterprise administrators with complete lifecycle control over tenant organizations. The registration drawer (#btn-register-new-client) presents an exhaustive input specification backed by unique semantic DOM identifiers:</w:t>
      </w:r>
    </w:p>
    <w:tbl>
      <w:tblPr>
        <w:tblW w:type="auto" w:w="0"/>
        <w:jc w:val="center"/>
        <w:tblLook w:firstColumn="1" w:firstRow="1" w:lastColumn="0" w:lastRow="0" w:noHBand="0" w:noVBand="1" w:val="04A0"/>
      </w:tblPr>
      <w:tblGrid>
        <w:gridCol w:w="2340"/>
        <w:gridCol w:w="2340"/>
        <w:gridCol w:w="2340"/>
        <w:gridCol w:w="234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DOM Element ID</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Element Type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Field Label / Role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Validation &amp; Business Logic</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#btn-register-new-client</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Register Client Trigger</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initializes auto-generated tenant code, and verifies cloud session.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#input-client-org-name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HTML Input (text)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Organization Name</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Legal corporate or pharmacy entity name; minimum 3 characters.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#input-client-org-code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HTML Input (text)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Organization Code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Unique 4-10 character tenant prefix (e.g. 'AMC-F5BA'); auto-uppercased.</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#input-client-admin-name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HTML Input (text)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Admin Full Name</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Primary tenant administrator full name; auto-creates user record.</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#input-client-admin-username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HTML Input (text)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Admin Username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System login handle for tenant administrator; checked for global uniqueness.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#input-client-admin-password</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HTML Input (password)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Admin Password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Initial login secret; minimum 6 characters with secure masking.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#btn-submit-register-client</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Submit Registration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Dispatches POST /api/organizations/register with active JWT Bearer header.</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#btn-quick-fill-admin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Button / Chip</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Admin Preset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Quick-fills Head Office credentials on Login screen.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#btn-quick-fill-client</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Button / Chip</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Client Preset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Quick-fills Branch Client credentials on Login screen.</w:t>
            </w:r>
          </w:p>
        </w:tc>
      </w:tr>
    </w:tbl>
    <w:p>
      <w:pPr>
        <w:spacing w:after="160"/>
      </w:pPr>
    </w:p>
    <w:p>
      <w:pPr>
        <w:keepNext/>
        <w:spacing w:before="280" w:after="120"/>
      </w:pPr>
      <w:r>
        <w:rPr>
          <w:rFonts w:ascii="Segoe UI" w:hAnsi="Segoe UI"/>
          <w:b/>
          <w:i w:val="0"/>
          <w:color w:val="2D6A4F"/>
          <w:sz w:val="27"/>
        </w:rPr>
        <w:t>32.4 Automated Selenium Verification Suite &amp; Live Production Evidence</w:t>
      </w:r>
    </w:p>
    <w:p>
      <w:pPr>
        <w:spacing w:before="0" w:after="120" w:line="276" w:lineRule="auto"/>
        <w:jc w:val="left"/>
      </w:pPr>
      <w:r>
        <w:rPr>
          <w:rFonts w:ascii="Segoe UI" w:hAnsi="Segoe UI"/>
          <w:b w:val="0"/>
          <w:i w:val="0"/>
          <w:color w:val="1E293B"/>
          <w:sz w:val="21"/>
        </w:rPr>
        <w:t>Verification of the cloud client registration and authentication pipeline is fully automated via verify_live_vercel_client_creation.py (Suite 19). The test executes against the live production environment (https://erp-rho-three.vercel.app), validating login presets, session acquisition, modal invocation, dynamic client generation, and database grid rendering:</w:t>
      </w:r>
    </w:p>
    <w:p>
      <w:pPr>
        <w:spacing w:before="160" w:after="40"/>
        <w:jc w:val="center"/>
      </w:pPr>
      <w:r>
        <w:drawing>
          <wp:inline xmlns:a="http://schemas.openxmlformats.org/drawingml/2006/main" xmlns:pic="http://schemas.openxmlformats.org/drawingml/2006/picture">
            <wp:extent cx="5669280" cy="3218087"/>
            <wp:docPr id="38" name="Picture 38"/>
            <wp:cNvGraphicFramePr>
              <a:graphicFrameLocks noChangeAspect="1"/>
            </wp:cNvGraphicFramePr>
            <a:graphic>
              <a:graphicData uri="http://schemas.openxmlformats.org/drawingml/2006/picture">
                <pic:pic>
                  <pic:nvPicPr>
                    <pic:cNvPr id="0" name="verified_live_vercel_login_chips.png"/>
                    <pic:cNvPicPr/>
                  </pic:nvPicPr>
                  <pic:blipFill>
                    <a:blip r:embed="rId46"/>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32.1: Production Login Screen on Vercel (https://erp-rho-three.vercel.app) displaying 1-Click Credential Quick-Fill Presets (#btn-quick-fill-admin and #btn-quick-fill-client) and Live Asynchronous Demo Access button.</w:t>
      </w:r>
    </w:p>
    <w:p>
      <w:pPr>
        <w:spacing w:before="160" w:after="40"/>
        <w:jc w:val="center"/>
      </w:pPr>
      <w:r>
        <w:drawing>
          <wp:inline xmlns:a="http://schemas.openxmlformats.org/drawingml/2006/main" xmlns:pic="http://schemas.openxmlformats.org/drawingml/2006/picture">
            <wp:extent cx="5669280" cy="3218087"/>
            <wp:docPr id="39" name="Picture 39"/>
            <wp:cNvGraphicFramePr>
              <a:graphicFrameLocks noChangeAspect="1"/>
            </wp:cNvGraphicFramePr>
            <a:graphic>
              <a:graphicData uri="http://schemas.openxmlformats.org/drawingml/2006/picture">
                <pic:pic>
                  <pic:nvPicPr>
                    <pic:cNvPr id="0" name="verified_live_vercel_client_registered.png"/>
                    <pic:cNvPicPr/>
                  </pic:nvPicPr>
                  <pic:blipFill>
                    <a:blip r:embed="rId47"/>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32.2: Live Client Registration Modal (#btn-register-new-client) populated with dynamic tenant metadata (Apex MedCorp F5BA / AMC-F5BA) and administrator credentials, submitting to live Render FastAPI gateway.</w:t>
      </w:r>
    </w:p>
    <w:p>
      <w:pPr>
        <w:spacing w:before="160" w:after="40"/>
        <w:jc w:val="center"/>
      </w:pPr>
      <w:r>
        <w:drawing>
          <wp:inline xmlns:a="http://schemas.openxmlformats.org/drawingml/2006/main" xmlns:pic="http://schemas.openxmlformats.org/drawingml/2006/picture">
            <wp:extent cx="5669280" cy="3218087"/>
            <wp:docPr id="40" name="Picture 40"/>
            <wp:cNvGraphicFramePr>
              <a:graphicFrameLocks noChangeAspect="1"/>
            </wp:cNvGraphicFramePr>
            <a:graphic>
              <a:graphicData uri="http://schemas.openxmlformats.org/drawingml/2006/picture">
                <pic:pic>
                  <pic:nvPicPr>
                    <pic:cNvPr id="0" name="verified_live_vercel_clients_grid.png"/>
                    <pic:cNvPicPr/>
                  </pic:nvPicPr>
                  <pic:blipFill>
                    <a:blip r:embed="rId48"/>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32.3: Live Neon PostgreSQL Multi-Tenant Client Directory Grid (/admin/clients) displaying the newly created client 'Apex MedCorp F5BA (AMC-F5BA)' in Active status with tenant impersonation and operations controls.</w:t>
      </w:r>
    </w:p>
    <w:p>
      <w:r>
        <w:br w:type="page"/>
      </w:r>
    </w:p>
    <w:p>
      <w:pPr>
        <w:keepNext/>
        <w:spacing w:before="360" w:after="160"/>
      </w:pPr>
      <w:r>
        <w:rPr>
          <w:rFonts w:ascii="Segoe UI" w:hAnsi="Segoe UI"/>
          <w:b/>
          <w:i w:val="0"/>
          <w:color w:val="1B4332"/>
          <w:sz w:val="36"/>
        </w:rPr>
        <w:t>Chapter 33: Enterprise Purchase Order, Intelligent Stock Replenishment Radar &amp; Vendor Procurement Desk (DOC-45)</w:t>
      </w:r>
    </w:p>
    <w:p>
      <w:pPr>
        <w:keepNext/>
        <w:spacing w:before="280" w:after="120"/>
      </w:pPr>
      <w:r>
        <w:rPr>
          <w:rFonts w:ascii="Segoe UI" w:hAnsi="Segoe UI"/>
          <w:b/>
          <w:i w:val="0"/>
          <w:color w:val="2D6A4F"/>
          <w:sz w:val="27"/>
        </w:rPr>
        <w:t>33.1 Procure-to-Pay (P2P) Supply Chain Architecture &amp; Operational Lifecycle</w:t>
      </w:r>
    </w:p>
    <w:p>
      <w:pPr>
        <w:spacing w:before="0" w:after="120" w:line="276" w:lineRule="auto"/>
        <w:jc w:val="left"/>
      </w:pPr>
      <w:r>
        <w:rPr>
          <w:rFonts w:ascii="Segoe UI" w:hAnsi="Segoe UI"/>
          <w:b w:val="0"/>
          <w:i w:val="0"/>
          <w:color w:val="1E293B"/>
          <w:sz w:val="21"/>
        </w:rPr>
        <w:t>In pharmaceutical distribution, retail chains, and multi-depot logistics networks, maintaining optimal inventory levels while minimizing working capital lockup is a primary operational mandate. DOC-45 introduces an end-to-end autonomous Procure-to-Pay (P2P) engine that bridges live batch stock telemetry with multi-vendor intelligence, automated purchase order authoring, supplier electronic dispatch, and direct conversion into General Ledger (GL) inward purchase vouchers.</w:t>
      </w:r>
    </w:p>
    <w:p>
      <w:pPr>
        <w:spacing w:before="0" w:after="120" w:line="276" w:lineRule="auto"/>
        <w:jc w:val="left"/>
      </w:pPr>
      <w:r>
        <w:rPr>
          <w:rFonts w:ascii="Segoe UI" w:hAnsi="Segoe UI"/>
          <w:b w:val="0"/>
          <w:i w:val="0"/>
          <w:color w:val="1E293B"/>
          <w:sz w:val="21"/>
        </w:rPr>
        <w:t>Unlike legacy manual ordering systems prone to stockouts, emergency premium purchases, and manual keying errors, the P2P engine operates across a closed-loop continuous feedback cycle: live physical inventory is continuously audited against algorithmic reorder thresholds, deficit quantities are aggregated across product categories, historical vendor rates are compared in real time, purchase orders are dispatched directly to supplier WhatsApp or print terminals, and upon physical delivery, 1-click conversion generates double-entry financial vouchers in the accounting ledger.</w:t>
      </w:r>
    </w:p>
    <w:p>
      <w:pPr>
        <w:keepNext/>
        <w:spacing w:before="280" w:after="120"/>
      </w:pPr>
      <w:r>
        <w:rPr>
          <w:rFonts w:ascii="Segoe UI" w:hAnsi="Segoe UI"/>
          <w:b/>
          <w:i w:val="0"/>
          <w:color w:val="2D6A4F"/>
          <w:sz w:val="27"/>
        </w:rPr>
        <w:t>33.2 Autonomous Stock Replenishment Radar &amp; Deficit Calculation Engine</w:t>
      </w:r>
    </w:p>
    <w:p>
      <w:pPr>
        <w:spacing w:before="0" w:after="120" w:line="276" w:lineRule="auto"/>
        <w:jc w:val="left"/>
      </w:pPr>
      <w:r>
        <w:rPr>
          <w:rFonts w:ascii="Segoe UI" w:hAnsi="Segoe UI"/>
          <w:b w:val="0"/>
          <w:i w:val="0"/>
          <w:color w:val="1E293B"/>
          <w:sz w:val="21"/>
        </w:rPr>
        <w:t>The Stock Replenishment Radar (GET /api/procurement/replenishment-radar) continuously audits every SKU across the central catalog. The algorithmic engine evaluates current physical batch stock, pending incoming purchase orders, reorder points, and minimum safety buffers to classify every product into strict operational replenishment tiers: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Replenishment Tier</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Threshold Mathematical Condition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Algorithmic Order Sizing</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Procurement Impact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CRITICAL DEFICIT (Red Alert)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Current Stock &lt;= Reorder Point (or physical stock &lt;= 0). Immediate stockout hazard.</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Order Qty = (Reorder Point + Safety Buffer) - (Current Stock + Pending Inward PO). Rounded up to minimum pack size.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High-priority dispatch trigger. Highlighted in red badge on telemetry scorecard (#card-critical-stock). Eligible for 1-click bulk PO generation.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REORDER RECOMMENDED (Yellow Warning)</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Reorder Point &lt; Current Stock &lt;= (Reorder Point + Safety Buffer). Buffer consumption in progress.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Order Qty = Safety Buffer - (Current Stock - Reorder Point) + Minimum Reorder Batch.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Proactive procurement buffer replenishment. Displayed on #card-reorder-stock to prevent critical depletion during supplier lead-time.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STABLE ADEQUATE (Green Normal)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Current Stock &gt; (Reorder Point + Safety Buffer). Adequate inventory coverage.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Order Qty = 0. No automated reorder required.</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Healthy supply status. Monitored continuously for demand shifts without generating unnecessary capital expenditure.</w:t>
            </w:r>
          </w:p>
        </w:tc>
      </w:tr>
    </w:tbl>
    <w:p>
      <w:pPr>
        <w:spacing w:after="160"/>
      </w:pPr>
    </w:p>
    <w:p>
      <w:pPr>
        <w:keepNext/>
        <w:spacing w:before="280" w:after="120"/>
      </w:pPr>
      <w:r>
        <w:rPr>
          <w:rFonts w:ascii="Segoe UI" w:hAnsi="Segoe UI"/>
          <w:b/>
          <w:i w:val="0"/>
          <w:color w:val="2D6A4F"/>
          <w:sz w:val="27"/>
        </w:rPr>
        <w:t>33.3 Multi-Vendor Rate Intelligence Matrix &amp; Optimal Supplier Routing</w:t>
      </w:r>
    </w:p>
    <w:p>
      <w:pPr>
        <w:spacing w:before="0" w:after="120" w:line="276" w:lineRule="auto"/>
        <w:jc w:val="left"/>
      </w:pPr>
      <w:r>
        <w:rPr>
          <w:rFonts w:ascii="Segoe UI" w:hAnsi="Segoe UI"/>
          <w:b w:val="0"/>
          <w:i w:val="0"/>
          <w:color w:val="1E293B"/>
          <w:sz w:val="21"/>
        </w:rPr>
        <w:t>Procurement cost optimization requires real-time price discovery across historical vendor purchase invoices. The Multi-Vendor Rate Comparison engine (GET /api/procurement/vendor-rate-comparison/{product_id}) analyzes past inward transactions, extracting unit rates, discounts, tax brackets, and vendor fulfillment terms to identify optimal supplier routing: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Rate Intelligence Dimension</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Algorithmic Extraction &amp; Analysis</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Commercial &amp; Strategic Benefit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Lowest Cost Supplier Identification</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Scans all historical purchase invoices for the SKU across registered suppliers, sorting by net landed unit price (post-discount, ex-GST). Flags the optimal vendor with 'BEST RATE' indicator.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Ensures procurement officers route replenishment orders to the most cost-effective supplier, directly maximizing gross margin on subsequent sales.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Price Variance &amp; Trend Analytics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Computes percentage variance between lowest, average, and highest historical purchase rates across active suppliers.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Protects against supplier price creep and empowers purchasing managers during contract negotiations and volume rebate discussions.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Lead-Time &amp; Reliability Integration</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Correlates historical vendor quotation rates with past order-to-delivery fulfillment lead-times.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Allows operators to balance unit cost savings against delivery urgency, selecting expedited suppliers when stock is in Critical Deficit.</w:t>
            </w:r>
          </w:p>
        </w:tc>
      </w:tr>
    </w:tbl>
    <w:p>
      <w:pPr>
        <w:spacing w:after="160"/>
      </w:pPr>
    </w:p>
    <w:p>
      <w:pPr>
        <w:keepNext/>
        <w:spacing w:before="280" w:after="120"/>
      </w:pPr>
      <w:r>
        <w:rPr>
          <w:rFonts w:ascii="Segoe UI" w:hAnsi="Segoe UI"/>
          <w:b/>
          <w:i w:val="0"/>
          <w:color w:val="2D6A4F"/>
          <w:sz w:val="27"/>
        </w:rPr>
        <w:t>33.4 Enterprise PO Creation Desk, WhatsApp Dispatch &amp; Inward Purchase Conversion</w:t>
      </w:r>
    </w:p>
    <w:p>
      <w:pPr>
        <w:spacing w:before="0" w:after="120" w:line="276" w:lineRule="auto"/>
        <w:jc w:val="left"/>
      </w:pPr>
      <w:r>
        <w:rPr>
          <w:rFonts w:ascii="Segoe UI" w:hAnsi="Segoe UI"/>
          <w:b w:val="0"/>
          <w:i w:val="0"/>
          <w:color w:val="1E293B"/>
          <w:sz w:val="21"/>
        </w:rPr>
        <w:t>The Procurement Workbench (/po) provides a dedicated keyboard-first workspace for managing the entire purchase order lifecycle. Operators navigate seamlessly across 4 dedicated functional views via function keys:</w:t>
      </w:r>
    </w:p>
    <w:tbl>
      <w:tblPr>
        <w:tblW w:type="auto" w:w="0"/>
        <w:jc w:val="center"/>
        <w:tblLook w:firstColumn="1" w:firstRow="1" w:lastColumn="0" w:lastRow="0" w:noHBand="0" w:noVBand="1" w:val="04A0"/>
      </w:tblPr>
      <w:tblGrid>
        <w:gridCol w:w="2340"/>
        <w:gridCol w:w="2340"/>
        <w:gridCol w:w="2340"/>
        <w:gridCol w:w="234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DOM Element ID</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Element Type / Hotkey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Functional Component / Role</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Logic &amp; Actions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#card-critical-stock</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Critical Stock Count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Displays SKUs currently at zero or below reorder threshold requiring urgent replenishment.</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#card-reorder-stock</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Reorder Recommended Count</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Displays SKUs nearing safety buffer thresholds.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#card-replenishment-budget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Estimated Replenishment Cost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Dynamic valuation of capital required to restore all deficit SKUs to target stock.</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#card-pending-pos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Pending Open POs</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Total value and count of issued purchase orders awaiting supplier delivery.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#tab-po-directory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Navigation Tab [F1]</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 Master Directory</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Grid of all issued POs with status badges (DRAFT, ISSUED, PARTIALLY_RECEIVED, COMPLETED, CANCELLED).</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#tab-replenishment-radar</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Navigation Tab [F2]</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Stock Replenishment Radar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Automated deficit table with 1-Click 'Generate All Deficit POs' (#btn-generate-replenishment-pos)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#tab-create-po</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Navigation Tab [F3]</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Create New PO Desk</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Keyboard-operated PO authoring desk with vendor selection, line items, rate auto-fetch, and calculation summary.</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#tab-vendor-intelligence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Navigation Tab [F4]</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Vendor Rate Intelligence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Comparative quotation explorer auditing supplier pricing across the entire product catalog.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#modal-po-dispatch</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Modal Dialog [F8 / Dispatch]</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Supplier Dispatch Modal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Renders formatted PO slip, 1-Click WhatsApp deep-link sharing with pre-formatted message, and print slip generation.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#modal-convert-po-purchase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Modal Dialog [Convert]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Inward Purchase Conversion Desk</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Converts verified PO into official Inward Purchase Voucher (PUR-PO-XXXX), updating physical batch stock and booking AP in GL.</w:t>
            </w:r>
          </w:p>
        </w:tc>
      </w:tr>
    </w:tbl>
    <w:p>
      <w:pPr>
        <w:spacing w:after="160"/>
      </w:pPr>
    </w:p>
    <w:p>
      <w:pPr>
        <w:keepNext/>
        <w:spacing w:before="280" w:after="120"/>
      </w:pPr>
      <w:r>
        <w:rPr>
          <w:rFonts w:ascii="Segoe UI" w:hAnsi="Segoe UI"/>
          <w:b/>
          <w:i w:val="0"/>
          <w:color w:val="2D6A4F"/>
          <w:sz w:val="27"/>
        </w:rPr>
        <w:t>33.5 Visual Photographic Evidence &amp; Automated QA Verification Suite (Suite 20)</w:t>
      </w:r>
    </w:p>
    <w:p>
      <w:pPr>
        <w:spacing w:before="0" w:after="120" w:line="276" w:lineRule="auto"/>
        <w:jc w:val="left"/>
      </w:pPr>
      <w:r>
        <w:rPr>
          <w:rFonts w:ascii="Segoe UI" w:hAnsi="Segoe UI"/>
          <w:b w:val="0"/>
          <w:i w:val="0"/>
          <w:color w:val="1E293B"/>
          <w:sz w:val="21"/>
        </w:rPr>
        <w:t>The complete Purchase Order &amp; Stock Replenishment module was validated via automated Selenium verification suite (test_procurement_po_replenishment_selenium.py - Suite 20) executing in headless Chrome at 1440x950 resolution against the live backend (Port 8000) and Vite frontend (Port 50005).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Target / Endpoint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verified organization AM-0001 credentials.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Replenishment Radar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/api/procurement/replenishment-radar</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critical_count, reorder_count, total_estimated_cost, and items array containing SKU deficit details.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Vendor Rate Comparison API</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/api/procurement/vendor-rate-comparison/{product_id}</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historical quotation rates, sorted by unit price, with lowest_rate_vendor resolution.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Automated Bulk PO Generation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/api/procurement/generate-from-replenishment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Successfully auto-generated draft POs grouped by preferred vendor for all deficit items.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Direct PO Creation API</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/api/procurement/orders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Created PO-2026-TEST with subtotal, tax_amount, total_amount, and line item specifications.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Inward Purchase Conversion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/api/procurement/orders/{po_id}/convert-to-purchase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Converted PO to inward purchase invoice PUR-PO-XXXX in models.Invoice, verified line items, and updated PO status to COMPLETED.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 &amp; Auth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sessionStorage auth injection with 'erp-auth' key.</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Procurement Desk &amp; Scorecards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driver.get('http://localhost:50005/po')</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#card-critical-stock, #card-reorder-stock, #card-replenishment-budget, #card-pending-pos. Captured verified_po_replenishment_scorecards.png.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Radar &amp; Creation Desk Navigation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Tabs [F2] &amp; [F3]</w:t>
              <w:br/>
              <w:t>Actions: #btn-add-po-item</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Replenishment Radar [F2] (captured verified_po_replenishment_radar.png). Navigated to Create New PO [F3], selected vendor, populated items (captured verified_po_creation_workbench.png).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Dispatch Modal &amp; Conversion Verification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[F1] Master Directory</w:t>
              <w:br/>
              <w:t>Actions: Dispatch &amp; Convert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Opened Supplier Dispatch Modal (#modal-po-dispatch), verified WhatsApp web deep-link and PO text slip (captured verified_po_supplier_dispatch_modal.png). Triggered Convert to Purchase modal and confirmed inward voucher generation.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spacing w:before="0" w:after="120" w:line="276" w:lineRule="auto"/>
        <w:jc w:val="left"/>
      </w:pPr>
      <w:r>
        <w:rPr>
          <w:rFonts w:ascii="Segoe UI" w:hAnsi="Segoe UI"/>
          <w:b w:val="0"/>
          <w:i w:val="0"/>
          <w:color w:val="1E293B"/>
          <w:sz w:val="21"/>
        </w:rPr>
        <w:t>The automated Selenium test suite captures 4 high-resolution visual proof artifacts demonstrating flawless frontend rendering:</w:t>
      </w:r>
    </w:p>
    <w:p>
      <w:pPr>
        <w:spacing w:before="160" w:after="40"/>
        <w:jc w:val="center"/>
      </w:pPr>
      <w:r>
        <w:drawing>
          <wp:inline xmlns:a="http://schemas.openxmlformats.org/drawingml/2006/main" xmlns:pic="http://schemas.openxmlformats.org/drawingml/2006/picture">
            <wp:extent cx="5669280" cy="3218087"/>
            <wp:docPr id="41" name="Picture 41"/>
            <wp:cNvGraphicFramePr>
              <a:graphicFrameLocks noChangeAspect="1"/>
            </wp:cNvGraphicFramePr>
            <a:graphic>
              <a:graphicData uri="http://schemas.openxmlformats.org/drawingml/2006/picture">
                <pic:pic>
                  <pic:nvPicPr>
                    <pic:cNvPr id="0" name="verified_po_replenishment_scorecards.png"/>
                    <pic:cNvPicPr/>
                  </pic:nvPicPr>
                  <pic:blipFill>
                    <a:blip r:embed="rId49"/>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33.1: Procurement Telemetry Scorecards (/po) displaying Critical Stock Count, Reorder Recommended Count, Estimated Replenishment Budget, and Pending Open POs with real-time operational status indicators.</w:t>
      </w:r>
    </w:p>
    <w:p>
      <w:pPr>
        <w:spacing w:before="160" w:after="40"/>
        <w:jc w:val="center"/>
      </w:pPr>
      <w:r>
        <w:drawing>
          <wp:inline xmlns:a="http://schemas.openxmlformats.org/drawingml/2006/main" xmlns:pic="http://schemas.openxmlformats.org/drawingml/2006/picture">
            <wp:extent cx="5669280" cy="3218087"/>
            <wp:docPr id="42" name="Picture 42"/>
            <wp:cNvGraphicFramePr>
              <a:graphicFrameLocks noChangeAspect="1"/>
            </wp:cNvGraphicFramePr>
            <a:graphic>
              <a:graphicData uri="http://schemas.openxmlformats.org/drawingml/2006/picture">
                <pic:pic>
                  <pic:nvPicPr>
                    <pic:cNvPr id="0" name="verified_po_replenishment_radar.png"/>
                    <pic:cNvPicPr/>
                  </pic:nvPicPr>
                  <pic:blipFill>
                    <a:blip r:embed="rId50"/>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33.2: Autonomous Stock Replenishment Radar (Tab [F2]) showing SKU deficit calculations, current physical batch stock vs reorder thresholds, recommended replenishment quantities, and 1-Click Bulk PO Generator (#btn-generate-replenishment-pos).</w:t>
      </w:r>
    </w:p>
    <w:p>
      <w:pPr>
        <w:spacing w:before="160" w:after="40"/>
        <w:jc w:val="center"/>
      </w:pPr>
      <w:r>
        <w:drawing>
          <wp:inline xmlns:a="http://schemas.openxmlformats.org/drawingml/2006/main" xmlns:pic="http://schemas.openxmlformats.org/drawingml/2006/picture">
            <wp:extent cx="5669280" cy="3218087"/>
            <wp:docPr id="43" name="Picture 43"/>
            <wp:cNvGraphicFramePr>
              <a:graphicFrameLocks noChangeAspect="1"/>
            </wp:cNvGraphicFramePr>
            <a:graphic>
              <a:graphicData uri="http://schemas.openxmlformats.org/drawingml/2006/picture">
                <pic:pic>
                  <pic:nvPicPr>
                    <pic:cNvPr id="0" name="verified_po_creation_workbench.png"/>
                    <pic:cNvPicPr/>
                  </pic:nvPicPr>
                  <pic:blipFill>
                    <a:blip r:embed="rId51"/>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33.3: Enterprise PO Creation Desk (Tab [F3]) featuring keyboard-first supplier selection, dynamic line item rows with automatic HSN/tax rate resolution, real-time subtotal/GST calculation, and order authoring controls.</w:t>
      </w:r>
    </w:p>
    <w:p>
      <w:pPr>
        <w:spacing w:before="160" w:after="40"/>
        <w:jc w:val="center"/>
      </w:pPr>
      <w:r>
        <w:drawing>
          <wp:inline xmlns:a="http://schemas.openxmlformats.org/drawingml/2006/main" xmlns:pic="http://schemas.openxmlformats.org/drawingml/2006/picture">
            <wp:extent cx="5669280" cy="3218087"/>
            <wp:docPr id="44" name="Picture 44"/>
            <wp:cNvGraphicFramePr>
              <a:graphicFrameLocks noChangeAspect="1"/>
            </wp:cNvGraphicFramePr>
            <a:graphic>
              <a:graphicData uri="http://schemas.openxmlformats.org/drawingml/2006/picture">
                <pic:pic>
                  <pic:nvPicPr>
                    <pic:cNvPr id="0" name="verified_po_supplier_dispatch_modal.png"/>
                    <pic:cNvPicPr/>
                  </pic:nvPicPr>
                  <pic:blipFill>
                    <a:blip r:embed="rId52"/>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33.4: Supplier PO Dispatch &amp; Communication Desk (#modal-po-dispatch) presenting formatted electronic purchase order slip, 1-Click WhatsApp direct transmission deep-link, and print slip generation.</w:t>
      </w:r>
    </w:p>
    <w:p>
      <w:r>
        <w:br w:type="page"/>
      </w:r>
    </w:p>
    <w:p>
      <w:pPr>
        <w:keepNext/>
        <w:spacing w:before="360" w:after="160"/>
      </w:pPr>
      <w:r>
        <w:rPr>
          <w:rFonts w:ascii="Segoe UI" w:hAnsi="Segoe UI"/>
          <w:b/>
          <w:i w:val="0"/>
          <w:color w:val="1B4332"/>
          <w:sz w:val="36"/>
        </w:rPr>
        <w:t>Chapter 34: Goods Receipt Note (GRN), Physical Quality Inspection &amp; Barcode Inward Verification Desk (DOC-46)</w:t>
      </w:r>
    </w:p>
    <w:p>
      <w:pPr>
        <w:keepNext/>
        <w:spacing w:before="280" w:after="120"/>
      </w:pPr>
      <w:r>
        <w:rPr>
          <w:rFonts w:ascii="Segoe UI" w:hAnsi="Segoe UI"/>
          <w:b/>
          <w:i w:val="0"/>
          <w:color w:val="2D6A4F"/>
          <w:sz w:val="27"/>
        </w:rPr>
        <w:t>34.1 Warehouse Inward Logistics, Physical Inspection &amp; Cold-Chain Protocol</w:t>
      </w:r>
    </w:p>
    <w:p>
      <w:pPr>
        <w:spacing w:before="0" w:after="120" w:line="276" w:lineRule="auto"/>
        <w:jc w:val="left"/>
      </w:pPr>
      <w:r>
        <w:rPr>
          <w:rFonts w:ascii="Segoe UI" w:hAnsi="Segoe UI"/>
          <w:b w:val="0"/>
          <w:i w:val="0"/>
          <w:color w:val="1E293B"/>
          <w:sz w:val="21"/>
        </w:rPr>
        <w:t>In modern pharmaceutical, healthcare, and enterprise wholesale supply chains, goods inward cannot be treated as a simple paper receiving process. Consignments arriving at the warehouse dock represent significant commercial commitments and regulatory compliance responsibilities. DOC-46 establishes an exhaustive, audit-compliant Goods Receipt Note (GRN), Physical Quality Inspection &amp; Barcode Inward Verification Desk (/grn) that governs the entire receiving dock workflow prior to General Ledger bill booking.</w:t>
      </w:r>
    </w:p>
    <w:p>
      <w:pPr>
        <w:spacing w:before="0" w:after="120" w:line="276" w:lineRule="auto"/>
        <w:jc w:val="left"/>
      </w:pPr>
      <w:r>
        <w:rPr>
          <w:rFonts w:ascii="Segoe UI" w:hAnsi="Segoe UI"/>
          <w:b w:val="0"/>
          <w:i w:val="0"/>
          <w:color w:val="1E293B"/>
          <w:sz w:val="21"/>
        </w:rPr>
        <w:t>Unlike legacy software that immediately converts supplier challans into purchase vouchers without inspection, the DOC-46 architecture enforces a strict 5-stage receiving pipeline: (1) Gate Inward &amp; PO Reconciling, (2) Audio-Synthesized Barcode Scanning &amp; Item Tally, (3) Physical Package, Seal &amp; Cold-Chain Temperature Verification, (4) Quality Quarantine &amp; Shortage Segregation, and (5) 1-Click Purchase Voucher Conversion with Dual-Batch Allocation (Accepted stock to active inventory; Damaged/Rejected stock to quarantine isolation).</w:t>
      </w:r>
    </w:p>
    <w:p>
      <w:pPr>
        <w:keepNext/>
        <w:spacing w:before="280" w:after="120"/>
      </w:pPr>
      <w:r>
        <w:rPr>
          <w:rFonts w:ascii="Segoe UI" w:hAnsi="Segoe UI"/>
          <w:b/>
          <w:i w:val="0"/>
          <w:color w:val="2D6A4F"/>
          <w:sz w:val="27"/>
        </w:rPr>
        <w:t>34.2 Gate Inward &amp; Purchase Order Reconciling Engine</w:t>
      </w:r>
    </w:p>
    <w:p>
      <w:pPr>
        <w:spacing w:before="0" w:after="120" w:line="276" w:lineRule="auto"/>
        <w:jc w:val="left"/>
      </w:pPr>
      <w:r>
        <w:rPr>
          <w:rFonts w:ascii="Segoe UI" w:hAnsi="Segoe UI"/>
          <w:b w:val="0"/>
          <w:i w:val="0"/>
          <w:color w:val="1E293B"/>
          <w:sz w:val="21"/>
        </w:rPr>
        <w:t>The Gate Inward engine (POST /api/grn/) directly interfaces with approved Purchase Orders (PurchaseOrder model). When a receiving clerk selects an active PO from the dropdown (#select-grn-po), vendor identification details and ordered line items are instantly populated. The inward gate manifest captures vital logistics provenance:</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Gate Inward Attribute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Field / DOM Selector</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Validation &amp; Storage Logic</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Supply Chain Control Role</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Delivery Vehicle Number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#input-grn-vehicle-no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Normalized alphanumeric license plate string (e.g., DL-01-AB-1234).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Validates carrier authenticity and cross-references gate security entry logs.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Vendor Delivery Challan No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#input-grn-challan-no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Supplier dispatch challan or invoice serial reference.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Forms the physical source document reference for 3-way reconciliation (PO vs Challan vs ERP Receipt).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Carrier E-Way Bill Number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#input-grn-eway-bill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12-digit statutory CBIC E-Way Bill identifier.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Confirms statutory transit compliance under GST Rule 138 prior to unloading goods.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Receiving Bay &amp; Temperature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#input-grn-bay, #input-grn-temperature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Dock identifier and incoming consignment sensor temperature (°C).</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Enforces strict cold-chain threshold auditing (2°C - 8°C cold chain vs 15°C - 25°C ambient).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Tamper-Evident Seal Integrity</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#checkbox-grn-seal-intact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Boolean verification flag with visual seal status indicator.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Guarantees that cargo container, truck lock, or shipper carton seals were unbroken in transit.</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Automated Shortage Computation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Shortage = max(0, Challan Qty - Received Qty)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Real-time item-level mathematical difference between supplier dispatch and dock arrival.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Eliminates manual discrepancies and automatically generates supplier shortage audit claims.</w:t>
            </w:r>
          </w:p>
        </w:tc>
      </w:tr>
    </w:tbl>
    <w:p>
      <w:pPr>
        <w:spacing w:after="160"/>
      </w:pPr>
    </w:p>
    <w:p>
      <w:pPr>
        <w:keepNext/>
        <w:spacing w:before="280" w:after="120"/>
      </w:pPr>
      <w:r>
        <w:rPr>
          <w:rFonts w:ascii="Segoe UI" w:hAnsi="Segoe UI"/>
          <w:b/>
          <w:i w:val="0"/>
          <w:color w:val="2D6A4F"/>
          <w:sz w:val="27"/>
        </w:rPr>
        <w:t>34.3 Audio-Synthesized Barcode Rapid Scanner Desk (Web Audio API)</w:t>
      </w:r>
    </w:p>
    <w:p>
      <w:pPr>
        <w:spacing w:before="0" w:after="120" w:line="276" w:lineRule="auto"/>
        <w:jc w:val="left"/>
      </w:pPr>
      <w:r>
        <w:rPr>
          <w:rFonts w:ascii="Segoe UI" w:hAnsi="Segoe UI"/>
          <w:b w:val="0"/>
          <w:i w:val="0"/>
          <w:color w:val="1E293B"/>
          <w:sz w:val="21"/>
        </w:rPr>
        <w:t>To maximize receiving dock speed while eliminating manual data entry errors, Tab [F3] provides an Audio-Synthesized Barcode Rapid Scanner Desk. Standard warehouse USB or Bluetooth 1D/2D handheld barcode guns operate in keyboard emulation mode. DOC-46 leverages the browser's native Web Audio API (AudioContext) to synthesize real-time acoustic confirmation directly through the workstation speakers without requiring external audio assets: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Acoustic &amp; Operational Event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Synthesized Frequency &amp; Waveform</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Behavioral Impact &amp; Verification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Successful SKU / Barcode Match</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Dual-Tone Chime: 880 Hz (A5) followed immediately by 1760 Hz (A6), sine wave oscillator, 120ms duration.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Gives instant auditory confirmation to dock operator without needing to look at monitor; increments item scanned count in real time.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Unrecognized Barcode / Over-Scan Warning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Low Buzz: 220 Hz (A3), sawtooth wave oscillator, 250ms duration.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Alerts operator to misplaced goods, mismatched batch numbers, or count exceeding delivery challan quantity.</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Keyboard Shortcut Integration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Global [F3] hotkey activates scanner input focus (#input-barcode-scan).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Hands-free keyboard workflow allowing continuous box scanning without mouse navigation.</w:t>
            </w:r>
          </w:p>
        </w:tc>
      </w:tr>
    </w:tbl>
    <w:p>
      <w:pPr>
        <w:spacing w:after="160"/>
      </w:pPr>
    </w:p>
    <w:p>
      <w:pPr>
        <w:keepNext/>
        <w:spacing w:before="280" w:after="120"/>
      </w:pPr>
      <w:r>
        <w:rPr>
          <w:rFonts w:ascii="Segoe UI" w:hAnsi="Segoe UI"/>
          <w:b/>
          <w:i w:val="0"/>
          <w:color w:val="2D6A4F"/>
          <w:sz w:val="27"/>
        </w:rPr>
        <w:t>34.4 Quality Inspection, Cold-Chain Compliance &amp; Damage Quarantine</w:t>
      </w:r>
    </w:p>
    <w:p>
      <w:pPr>
        <w:spacing w:before="0" w:after="120" w:line="276" w:lineRule="auto"/>
        <w:jc w:val="left"/>
      </w:pPr>
      <w:r>
        <w:rPr>
          <w:rFonts w:ascii="Segoe UI" w:hAnsi="Segoe UI"/>
          <w:b w:val="0"/>
          <w:i w:val="0"/>
          <w:color w:val="1E293B"/>
          <w:sz w:val="21"/>
        </w:rPr>
        <w:t>The Physical Quality &amp; Cold-Chain Desk (Tab [F4] &amp; modal #modal-grn-inspection) implements stringent Good Distribution Practices (GDP). Inspectors examine each received line item for physical packaging damage, leakages, label illegibility, and temperature excursion:</w:t>
      </w:r>
    </w:p>
    <w:p>
      <w:pPr>
        <w:spacing w:before="0" w:after="120" w:line="276" w:lineRule="auto"/>
        <w:jc w:val="left"/>
      </w:pPr>
      <w:r>
        <w:rPr>
          <w:rFonts w:ascii="Segoe UI" w:hAnsi="Segoe UI"/>
          <w:b w:val="0"/>
          <w:i w:val="0"/>
          <w:color w:val="1E293B"/>
          <w:sz w:val="21"/>
        </w:rPr>
        <w:t>Pharma cold-chain lines are evaluated against statutory temperature regimes: Biologicals and Vaccines must arrive strictly between 2°C and 8°C, while ambient medicines must remain between 15°C and 25°C. Any consignment breaching temperature limits is automatically tagged for quarantine. Inspectors specify an official verdict (ACCEPTED, REJECTED, PARTIALLY_ACCEPTED, QUARANTINED), record their Inspector Badge ID (#input-inspector-badge), and document detailed defect remarks (#input-inspection-remarks).</w:t>
      </w:r>
    </w:p>
    <w:p>
      <w:pPr>
        <w:keepNext/>
        <w:spacing w:before="280" w:after="120"/>
      </w:pPr>
      <w:r>
        <w:rPr>
          <w:rFonts w:ascii="Segoe UI" w:hAnsi="Segoe UI"/>
          <w:b/>
          <w:i w:val="0"/>
          <w:color w:val="2D6A4F"/>
          <w:sz w:val="27"/>
        </w:rPr>
        <w:t>34.5 General Ledger Purchase Bill Conversion Architecture &amp; Stock Batch Separation</w:t>
      </w:r>
    </w:p>
    <w:p>
      <w:pPr>
        <w:spacing w:before="0" w:after="120" w:line="276" w:lineRule="auto"/>
        <w:jc w:val="left"/>
      </w:pPr>
      <w:r>
        <w:rPr>
          <w:rFonts w:ascii="Segoe UI" w:hAnsi="Segoe UI"/>
          <w:b w:val="0"/>
          <w:i w:val="0"/>
          <w:color w:val="1E293B"/>
          <w:sz w:val="21"/>
        </w:rPr>
        <w:t>Once a Goods Receipt Note is approved by the quality inspector, it can be converted with 1 click into a General Ledger Purchase Bill (POST /api/grn/{grn_id}/convert-to-purchase via modal #modal-convert-grn-purchase). Unlike basic systems that lump damaged goods into saleable stock, DOC-46 enforces strict physical batch segregation in models.Batch:</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Stock / Financial Stream</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Database &amp; Accounting Allocation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Inventory &amp; Balance Sheet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Accepted Inward Quantity</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Batch.current_stock += accepted_qty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Increments live saleable inventory available for immediate billing and dispatch on /sales.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Damaged / Rejected Quantity</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Batch.brk_exp_stock += damaged_qty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Quarantines defective units in separate breakage/expiry stock; completely excluded from sales billing and routed to DOC-41 Principal Debit Note settlement.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General Ledger Purchase Booking</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Invoice.invoice_number = PUR-GRN-XXXX</w:t>
              <w:br/>
              <w:t>Credit: Sundry Creditors (Vendor)</w:t>
              <w:br/>
              <w:t>Debit: Stock In Trade / Purchase Account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Posts complete double-entry transaction in models.Invoice and models.JournalEntry, updating Trade Payables and Trial Balance seamlessly.</w:t>
            </w:r>
          </w:p>
        </w:tc>
      </w:tr>
    </w:tbl>
    <w:p>
      <w:pPr>
        <w:spacing w:after="160"/>
      </w:pPr>
    </w:p>
    <w:p>
      <w:pPr>
        <w:keepNext/>
        <w:spacing w:before="280" w:after="120"/>
      </w:pPr>
      <w:r>
        <w:rPr>
          <w:rFonts w:ascii="Segoe UI" w:hAnsi="Segoe UI"/>
          <w:b/>
          <w:i w:val="0"/>
          <w:color w:val="2D6A4F"/>
          <w:sz w:val="27"/>
        </w:rPr>
        <w:t>34.6 Semantic DOM Element &amp; Operational Hotkey Directory</w:t>
      </w:r>
    </w:p>
    <w:p>
      <w:pPr>
        <w:spacing w:before="0" w:after="120" w:line="276" w:lineRule="auto"/>
        <w:jc w:val="left"/>
      </w:pPr>
      <w:r>
        <w:rPr>
          <w:rFonts w:ascii="Segoe UI" w:hAnsi="Segoe UI"/>
          <w:b w:val="0"/>
          <w:i w:val="0"/>
          <w:color w:val="1E293B"/>
          <w:sz w:val="21"/>
        </w:rPr>
        <w:t>The Goods Receipt Note Master (/grn) adheres to the Enterprise High-Density Dark theme with full semantic accessibility and keyboard shortcuts:</w:t>
      </w:r>
    </w:p>
    <w:tbl>
      <w:tblPr>
        <w:tblW w:type="auto" w:w="0"/>
        <w:jc w:val="center"/>
        <w:tblLook w:firstColumn="1" w:firstRow="1" w:lastColumn="0" w:lastRow="0" w:noHBand="0" w:noVBand="1" w:val="04A0"/>
      </w:tblPr>
      <w:tblGrid>
        <w:gridCol w:w="2340"/>
        <w:gridCol w:w="2340"/>
        <w:gridCol w:w="2340"/>
        <w:gridCol w:w="234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DOM Element ID</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Element Type / Hotkey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Functional Component / Role</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Logic &amp; Actions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#card-total-inward</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Total Inward Consignments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Count and gross value of all goods receipt manifests recorded in the system.</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#card-pending-inspection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Under Quality Inspection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Count of consignments awaiting QC signoff prior to stock release.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#card-accepted-value</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Accepted &amp; Stocked Value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Cumulative monetary valuation of verified inventory inducted into active stock.</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#card-damaged-quarantine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Damaged / Quarantined Units</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Total units segregated into quarantine due to physical defects or temperature excursion.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#tab-grn-register</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Navigation Tab [F1]</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Master GRN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Complete audit register of all GRN documents with filter by status and date range.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#tab-gate-inward</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Navigation Tab [F2]</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Gate Inward Workbench</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Consignment registration desk with PO matching, vehicle info, and shortage tracking.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#tab-barcode-scanner</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Navigation Tab [F3]</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Barcode Rapid Scanner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High-speed barcode scanning desk with Web Audio API acoustic chime synthesizer.</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#tab-quality-inspection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Navigation Tab [F4]</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Physical Quality &amp; Cold-Chain Desk</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GDP inspection station auditing packaging seals, temperature, and defect classification.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#modal-grn-inspection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Modal Dialog [F8 / Inspect]</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QC Inspection Approval Modal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Decision modal for passing, rejecting, or quarantining line items with inspector credentials.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#modal-convert-grn-purchase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Modal Dialog [Convert]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Convert to Purchase Bill Modal</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One-click conversion modal generating PUR-GRN-XXXX in the General Ledger.</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#modal-grn-print-slip</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Modal Dialog [Ctrl+P / Print]</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Printable GRN Dock Slip</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Printable warehouse tag and dock inward receipt with complete barcode and inspector stamp.</w:t>
            </w:r>
          </w:p>
        </w:tc>
      </w:tr>
    </w:tbl>
    <w:p>
      <w:pPr>
        <w:spacing w:after="160"/>
      </w:pPr>
    </w:p>
    <w:p>
      <w:pPr>
        <w:keepNext/>
        <w:spacing w:before="280" w:after="120"/>
      </w:pPr>
      <w:r>
        <w:rPr>
          <w:rFonts w:ascii="Segoe UI" w:hAnsi="Segoe UI"/>
          <w:b/>
          <w:i w:val="0"/>
          <w:color w:val="2D6A4F"/>
          <w:sz w:val="27"/>
        </w:rPr>
        <w:t>34.7 Visual Photographic Evidence &amp; Automated QA Verification Suite (Suite 21)</w:t>
      </w:r>
    </w:p>
    <w:p>
      <w:pPr>
        <w:spacing w:before="0" w:after="120" w:line="276" w:lineRule="auto"/>
        <w:jc w:val="left"/>
      </w:pPr>
      <w:r>
        <w:rPr>
          <w:rFonts w:ascii="Segoe UI" w:hAnsi="Segoe UI"/>
          <w:b w:val="0"/>
          <w:i w:val="0"/>
          <w:color w:val="1E293B"/>
          <w:sz w:val="21"/>
        </w:rPr>
        <w:t>The complete Goods Receipt Note &amp; Quality Inspection module was rigorously validated through automated Selenium test suite (test_grn_quality_inspection_selenium.py - Suite 21) operating in headless Chrome at 1440x950 resolution against the live backend (Port 8000) and Vite frontend (Port 50005). All 12 verification stages passed with a 100% success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Target / Endpoint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verified organization AM-0001 credentials.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GRN Telemetry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/api/grn/telemetry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total_inward, pending_inspection, accepted_value, damaged_quarantine counters.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Pending POs for Inward API</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/api/grn/pending-orders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active PO list with vendor details and line item quantities.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Create GRN Manifest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/api/grn/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Created GRN-2026-TEST with vehicle number, delivery challan, E-Way bill, temperature (4.5°C), and items.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Quality Inspection Update API</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PATCH /api/grn/{id}/inspection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Updated status to ACCEPTED with inspector badge QC-INSP-01 and cold-chain approval notes.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Convert GRN to Purchase Bill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/api/grn/{id}/convert-to-purchase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Successfully generated PUR-GRN-XXXX in models.Invoice and updated batch stocks (current_stock and brk_exp_stock).</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 &amp; Auth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sessionStorage auth injection with 'erp-auth' key.</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GRN Desk &amp; Scorecards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driver.get('http://localhost:50005/grn')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#card-total-inward, #card-pending-inspection, #card-accepted-value, #card-damaged-quarantine. Captured verified_grn_telemetry_scorecards.png.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Gate Inward Workbench Navigation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 [F2] #tab-gate-inward</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vehicle number input, challan input, temperature input, seal intact checkbox. Captured verified_grn_gate_inward_workbench.png.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Barcode Rapid Scanner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[F3] #tab-barcode-scanner</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scanner input (#input-barcode-scan), scanned tally, and synthesized audio engine. Captured verified_grn_barcode_rapid_scanner.png.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11: Physical Quality &amp; Cold-Chain Desk</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 [F4] #tab-quality-inspection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cold chain audit (2°C-8°C), seal status, and defect inspection table. Captured verified_grn_qc_coldchain_inspection.png.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12: Inspection &amp; Purchase Conversion Modals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[F1] Actions: #btn-inspect-grn-{id}, #btn-convert-grn-purchase-{id}</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opening of QC Inspection Modal (#modal-grn-inspection), Printable Slip (#modal-grn-print-slip), and Convert to Purchase Bill modal.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spacing w:before="0" w:after="120" w:line="276" w:lineRule="auto"/>
        <w:jc w:val="left"/>
      </w:pPr>
      <w:r>
        <w:rPr>
          <w:rFonts w:ascii="Segoe UI" w:hAnsi="Segoe UI"/>
          <w:b w:val="0"/>
          <w:i w:val="0"/>
          <w:color w:val="1E293B"/>
          <w:sz w:val="21"/>
        </w:rPr>
        <w:t>The automated Selenium test suite captures 4 high-resolution visual proof artifacts demonstrating flawless frontend rendering:</w:t>
      </w:r>
    </w:p>
    <w:p>
      <w:pPr>
        <w:spacing w:before="160" w:after="40"/>
        <w:jc w:val="center"/>
      </w:pPr>
      <w:r>
        <w:drawing>
          <wp:inline xmlns:a="http://schemas.openxmlformats.org/drawingml/2006/main" xmlns:pic="http://schemas.openxmlformats.org/drawingml/2006/picture">
            <wp:extent cx="5669280" cy="3218087"/>
            <wp:docPr id="45" name="Picture 45"/>
            <wp:cNvGraphicFramePr>
              <a:graphicFrameLocks noChangeAspect="1"/>
            </wp:cNvGraphicFramePr>
            <a:graphic>
              <a:graphicData uri="http://schemas.openxmlformats.org/drawingml/2006/picture">
                <pic:pic>
                  <pic:nvPicPr>
                    <pic:cNvPr id="0" name="verified_grn_telemetry_scorecards.png"/>
                    <pic:cNvPicPr/>
                  </pic:nvPicPr>
                  <pic:blipFill>
                    <a:blip r:embed="rId53"/>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34.1: GRN Telemetry Scorecards (/grn) displaying Total Inward Consignments, Under Quality Inspection, Accepted &amp; Stocked Value, and Damaged / Quarantined Units with real-time operational status indicators.</w:t>
      </w:r>
    </w:p>
    <w:p>
      <w:pPr>
        <w:spacing w:before="160" w:after="40"/>
        <w:jc w:val="center"/>
      </w:pPr>
      <w:r>
        <w:drawing>
          <wp:inline xmlns:a="http://schemas.openxmlformats.org/drawingml/2006/main" xmlns:pic="http://schemas.openxmlformats.org/drawingml/2006/picture">
            <wp:extent cx="5669280" cy="3218087"/>
            <wp:docPr id="46" name="Picture 46"/>
            <wp:cNvGraphicFramePr>
              <a:graphicFrameLocks noChangeAspect="1"/>
            </wp:cNvGraphicFramePr>
            <a:graphic>
              <a:graphicData uri="http://schemas.openxmlformats.org/drawingml/2006/picture">
                <pic:pic>
                  <pic:nvPicPr>
                    <pic:cNvPr id="0" name="verified_grn_gate_inward_workbench.png"/>
                    <pic:cNvPicPr/>
                  </pic:nvPicPr>
                  <pic:blipFill>
                    <a:blip r:embed="rId54"/>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34.2: Gate Inward Workbench (Tab [F2]) showing PO selector, vehicle number, delivery challan, E-Way bill, temperature verification, seal intact status, and item shortage calculations.</w:t>
      </w:r>
    </w:p>
    <w:p>
      <w:pPr>
        <w:spacing w:before="160" w:after="40"/>
        <w:jc w:val="center"/>
      </w:pPr>
      <w:r>
        <w:drawing>
          <wp:inline xmlns:a="http://schemas.openxmlformats.org/drawingml/2006/main" xmlns:pic="http://schemas.openxmlformats.org/drawingml/2006/picture">
            <wp:extent cx="5669280" cy="3218087"/>
            <wp:docPr id="47" name="Picture 47"/>
            <wp:cNvGraphicFramePr>
              <a:graphicFrameLocks noChangeAspect="1"/>
            </wp:cNvGraphicFramePr>
            <a:graphic>
              <a:graphicData uri="http://schemas.openxmlformats.org/drawingml/2006/picture">
                <pic:pic>
                  <pic:nvPicPr>
                    <pic:cNvPr id="0" name="verified_grn_barcode_rapid_scanner.png"/>
                    <pic:cNvPicPr/>
                  </pic:nvPicPr>
                  <pic:blipFill>
                    <a:blip r:embed="rId55"/>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34.3: Barcode Rapid Scanner Desk (Tab [F3]) with real-time Web Audio API synthesized verification chime, barcode string matching, and scanned tally counter.</w:t>
      </w:r>
    </w:p>
    <w:p>
      <w:pPr>
        <w:spacing w:before="160" w:after="40"/>
        <w:jc w:val="center"/>
      </w:pPr>
      <w:r>
        <w:drawing>
          <wp:inline xmlns:a="http://schemas.openxmlformats.org/drawingml/2006/main" xmlns:pic="http://schemas.openxmlformats.org/drawingml/2006/picture">
            <wp:extent cx="5669280" cy="3218087"/>
            <wp:docPr id="48" name="Picture 48"/>
            <wp:cNvGraphicFramePr>
              <a:graphicFrameLocks noChangeAspect="1"/>
            </wp:cNvGraphicFramePr>
            <a:graphic>
              <a:graphicData uri="http://schemas.openxmlformats.org/drawingml/2006/picture">
                <pic:pic>
                  <pic:nvPicPr>
                    <pic:cNvPr id="0" name="verified_grn_qc_coldchain_inspection.png"/>
                    <pic:cNvPicPr/>
                  </pic:nvPicPr>
                  <pic:blipFill>
                    <a:blip r:embed="rId56"/>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34.4: Physical Quality &amp; Cold-Chain Inspection Desk (Tab [F4]) detailing temperature compliance (2°C - 8°C cold chain vs 15°C - 25°C ambient), tamper-evident packaging seal audit, and quarantine defect notes.</w:t>
      </w:r>
    </w:p>
    <w:p>
      <w:r>
        <w:br w:type="page"/>
      </w:r>
    </w:p>
    <w:p>
      <w:pPr>
        <w:keepNext/>
        <w:spacing w:before="360" w:after="160"/>
      </w:pPr>
      <w:r>
        <w:rPr>
          <w:rFonts w:ascii="Segoe UI" w:hAnsi="Segoe UI"/>
          <w:b/>
          <w:i w:val="0"/>
          <w:color w:val="1B4332"/>
          <w:sz w:val="36"/>
        </w:rPr>
        <w:t>Chapter 35: Multi-Branch &amp; Inter-Depot Stock Transfer Order (STO), In-Transit Telemetry &amp; Hub Receiving Desk (DOC-47)</w:t>
      </w:r>
    </w:p>
    <w:p>
      <w:pPr>
        <w:keepNext/>
        <w:spacing w:before="280" w:after="120"/>
      </w:pPr>
      <w:r>
        <w:rPr>
          <w:rFonts w:ascii="Segoe UI" w:hAnsi="Segoe UI"/>
          <w:b/>
          <w:i w:val="0"/>
          <w:color w:val="2D6A4F"/>
          <w:sz w:val="27"/>
        </w:rPr>
        <w:t>35.1 Multi-Branch Logistics, Custody Transition &amp; Transit Visibility</w:t>
      </w:r>
    </w:p>
    <w:p>
      <w:pPr>
        <w:spacing w:before="0" w:after="120" w:line="276" w:lineRule="auto"/>
        <w:jc w:val="left"/>
      </w:pPr>
      <w:r>
        <w:rPr>
          <w:rFonts w:ascii="Segoe UI" w:hAnsi="Segoe UI"/>
          <w:b w:val="0"/>
          <w:i w:val="0"/>
          <w:color w:val="1E293B"/>
          <w:sz w:val="21"/>
        </w:rPr>
        <w:t>In enterprise pharmaceutical distribution, stock transfers between mother godowns, regional fulfillment hubs, and retail hospital branches involve substantial custody risks. High-value drugs, temperature-controlled biologics, and scheduled formulations cannot simply be deducted from an origin depot and added to a destination depot in a single step. Inventory is on the road for hours or days, transported by third-party logistics (3PL) carriers, and subject to transit temperature excursions, breakages, theft, or delivery shortages.</w:t>
      </w:r>
    </w:p>
    <w:p>
      <w:pPr>
        <w:spacing w:before="0" w:after="120" w:line="276" w:lineRule="auto"/>
        <w:jc w:val="left"/>
      </w:pPr>
      <w:r>
        <w:rPr>
          <w:rFonts w:ascii="Segoe UI" w:hAnsi="Segoe UI"/>
          <w:b w:val="0"/>
          <w:i w:val="0"/>
          <w:color w:val="1E293B"/>
          <w:sz w:val="21"/>
        </w:rPr>
        <w:t>DOC-47 establishes an authoritative, end-to-end Multi-Branch &amp; Inter-Depot Stock Transfer Order (STO), In-Transit Telemetry &amp; Hub Receiving Desk (/stock-transfer). The architecture enforces full operational lifecycle management: (1) Branch Requisitioning with godown selection and required delivery dates, (2) Outward Dispatch Gate with source batch deduction and transport metadata capture (Vehicle Registration, Carrier Name, Tracking Docket, E-Way Bill), (3) Real-Time In-Transit Radar tracking active freight consignments with cold-chain telemetry badges, (4) Destination Hub Receiving with physical damage quarantine and carrier transit loss calculation, and (5) Statutory Rule 55 Inter-Branch Delivery Challan printing.</w:t>
      </w:r>
    </w:p>
    <w:p>
      <w:pPr>
        <w:keepNext/>
        <w:spacing w:before="280" w:after="120"/>
      </w:pPr>
      <w:r>
        <w:rPr>
          <w:rFonts w:ascii="Segoe UI" w:hAnsi="Segoe UI"/>
          <w:b/>
          <w:i w:val="0"/>
          <w:color w:val="2D6A4F"/>
          <w:sz w:val="27"/>
        </w:rPr>
        <w:t>35.2 Database Schema &amp; Relational Architecture</w:t>
      </w:r>
    </w:p>
    <w:p>
      <w:pPr>
        <w:spacing w:before="0" w:after="120" w:line="276" w:lineRule="auto"/>
        <w:jc w:val="left"/>
      </w:pPr>
      <w:r>
        <w:rPr>
          <w:rFonts w:ascii="Segoe UI" w:hAnsi="Segoe UI"/>
          <w:b w:val="0"/>
          <w:i w:val="0"/>
          <w:color w:val="1E293B"/>
          <w:sz w:val="21"/>
        </w:rPr>
        <w:t>The backend models (backend/models.py) preserve strict relational integrity across warehouse locations, line items, and batch allocations: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Model / Entity</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Key Database Columns</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Data Type &amp; Constraints</w:t>
            </w:r>
          </w:p>
        </w:tc>
        <w:tc>
          <w:tcPr>
            <w:tcW w:type="dxa" w:w="3456"/>
            <w:shd w:fill="1B4332"/>
            <w:tcMar>
              <w:top w:w="140" w:type="dxa"/>
              <w:bottom w:w="140" w:type="dxa"/>
              <w:left w:w="160" w:type="dxa"/>
              <w:right w:w="160" w:type="dxa"/>
            </w:tcMar>
          </w:tcPr>
          <w:p>
            <w:pPr>
              <w:jc w:val="left"/>
            </w:pPr>
            <w:r>
              <w:rPr>
                <w:rFonts w:ascii="Segoe UI" w:hAnsi="Segoe UI"/>
                <w:b/>
                <w:i w:val="0"/>
                <w:color w:val="FFFFFF"/>
                <w:sz w:val="19"/>
              </w:rPr>
              <w:t>Operational Function &amp; Business Rules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StockTransferOrder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order_number, from_godown_id, to_godown_id, status, transfer_date, required_date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VARCHAR(50) UNIQUE, INT FK, INT FK, VARCHAR(30), DATETIME</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Primary transfer voucher header; enforces from_godown_id != to_godown_id. Status flow: DRAFT -&gt; APPROVED -&gt; IN_TRANSIT -&gt; PARTIALLY_RECEIVED -&gt; COMPLETED -&gt; CANCELLED.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Transport Metadata</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vehicle_no, carrier_name, docket_no, eway_bill_no, driver_phone, transit_temperature</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VARCHAR(50), VARCHAR(100), VARCHAR(100), VARCHAR(50), VARCHAR(20), FLOAT</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Captures statutory transport details and real-time cold-chain data logger readings for carrier accountability.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Financial Metrics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total_transfer_value, transit_loss_value, notes, receiving_notes</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NUMERIC(15,2), NUMERIC(15,2), TEXT, TEXT</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Tracks total valuation of dispatched stock and cumulative transit loss value for logistics insurance claims.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StockTransferOrderItem</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order_id, product_id, batch_no, requested_qty, dispatched_qty, received_qty, damaged_qty, short_qty, unit_rate</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INT FK, INT FK, VARCHAR(50), NUMERIC(12,2), NUMERIC(12,2), NUMERIC(12,2), NUMERIC(12,2), NUMERIC(12,2), NUMERIC(12,2)</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Line item breakdown with item-level reconciliation between dispatch quantities, dock receipts, transit breakages, and unreceived shortages.</w:t>
            </w:r>
          </w:p>
        </w:tc>
      </w:tr>
    </w:tbl>
    <w:p>
      <w:pPr>
        <w:spacing w:after="160"/>
      </w:pPr>
    </w:p>
    <w:p>
      <w:pPr>
        <w:keepNext/>
        <w:spacing w:before="280" w:after="120"/>
      </w:pPr>
      <w:r>
        <w:rPr>
          <w:rFonts w:ascii="Segoe UI" w:hAnsi="Segoe UI"/>
          <w:b/>
          <w:i w:val="0"/>
          <w:color w:val="2D6A4F"/>
          <w:sz w:val="27"/>
        </w:rPr>
        <w:t>35.3 Operational Lifecycle &amp; Step-by-Step Flow</w:t>
      </w:r>
    </w:p>
    <w:p>
      <w:pPr>
        <w:spacing w:before="0" w:after="120" w:line="276" w:lineRule="auto"/>
        <w:jc w:val="left"/>
      </w:pPr>
      <w:r>
        <w:rPr>
          <w:rFonts w:ascii="Segoe UI" w:hAnsi="Segoe UI"/>
          <w:b w:val="0"/>
          <w:i w:val="0"/>
          <w:color w:val="1E293B"/>
          <w:sz w:val="21"/>
        </w:rPr>
        <w:t>The Stock Transfer Desk coordinates operations between the sending warehouse, freight carrier, and receiving hub:</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Workflow Phase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Trigger &amp; Screen Elements</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Database &amp; Physical Inventory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1. Requisition Desk ([F2])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Tab [F2] Create STO Requisition (#tab-sto-requisition)</w:t>
              <w:br/>
              <w:t>Action: Submit Requisition (#btn-create-sto-submit)</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Creates StockTransferOrder in DRAFT status with sequential identifier STO-YYYYMM-XXXX. Reserves line items without affecting warehouse balances.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2. Outward Dispatch ([F3])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Tab [F3] Outward Dispatch &amp; Challan (#tab-sto-dispatch)</w:t>
              <w:br/>
              <w:t>Action: Confirm Outward Dispatch (#btn-confirm-dispatch)</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Deducts origin batch stock (batch.current_stock -= dispatched_qty). Records vehicle, carrier, docket, E-Way bill, and moves status to IN_TRANSIT.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3. In-Transit Radar ([F4])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Tab [F4] In-Transit Radar (#tab-sto-transit-radar)</w:t>
              <w:br/>
              <w:t>Telemetry Badges &amp; Live Consignment Feed</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Displays all active on-road shipments with real-time temperature status (e.g. 4.2°C Cold Chain OK), origin/destination routes, and dock arrival trigger.</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4. Hub Inward Receiving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Receiving Modal (#modal-acknowledge-inward)</w:t>
              <w:br/>
              <w:t>Action: Complete Inward &amp; Update Stock (#btn-submit-inward-ack)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Increments destination saleable stock (dest_batch.current_stock += received_qty). Diverts damaged stock into quarantine (dest_batch.brk_exp_stock += damaged_qty). Computes carrier transit loss.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5. Rule 55 Challan Printing</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Challan Modal (#modal-print-sto-challan)</w:t>
              <w:br/>
              <w:t>Action: Print Challan [Ctrl+P]</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Generates formal Rule 55 delivery challan with sender/consignee GSTINs, transporter disclosures, HSN codes, and 4 authorization signature blocks.</w:t>
            </w:r>
          </w:p>
        </w:tc>
      </w:tr>
    </w:tbl>
    <w:p>
      <w:pPr>
        <w:spacing w:after="160"/>
      </w:pPr>
    </w:p>
    <w:p>
      <w:pPr>
        <w:keepNext/>
        <w:spacing w:before="280" w:after="120"/>
      </w:pPr>
      <w:r>
        <w:rPr>
          <w:rFonts w:ascii="Segoe UI" w:hAnsi="Segoe UI"/>
          <w:b/>
          <w:i w:val="0"/>
          <w:color w:val="2D6A4F"/>
          <w:sz w:val="27"/>
        </w:rPr>
        <w:t>35.4 Semantic DOM Element &amp; Operational Hotkey Directory</w:t>
      </w:r>
    </w:p>
    <w:p>
      <w:pPr>
        <w:spacing w:before="0" w:after="120" w:line="276" w:lineRule="auto"/>
        <w:jc w:val="left"/>
      </w:pPr>
      <w:r>
        <w:rPr>
          <w:rFonts w:ascii="Segoe UI" w:hAnsi="Segoe UI"/>
          <w:b w:val="0"/>
          <w:i w:val="0"/>
          <w:color w:val="1E293B"/>
          <w:sz w:val="21"/>
        </w:rPr>
        <w:t>The Stock Transfer Master (/stock-transfer) incorporates high-density ergonomic design with full semantic element bindings:</w:t>
      </w:r>
    </w:p>
    <w:tbl>
      <w:tblPr>
        <w:tblW w:type="auto" w:w="0"/>
        <w:jc w:val="center"/>
        <w:tblLook w:firstColumn="1" w:firstRow="1" w:lastColumn="0" w:lastRow="0" w:noHBand="0" w:noVBand="1" w:val="04A0"/>
      </w:tblPr>
      <w:tblGrid>
        <w:gridCol w:w="2340"/>
        <w:gridCol w:w="2340"/>
        <w:gridCol w:w="2340"/>
        <w:gridCol w:w="234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DOM Element ID</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Element Type / Hotkey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Functional Component / Role</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Logic &amp; Actions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#stat-card-active-sto</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Total Active STOs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Live count and gross valuation of all open, in-transit, and receiving transfer orders.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#stat-card-in-transit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On-Road Consignments</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Count of freight vehicles currently in transit across the inter-branch network.</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#stat-card-transit-val</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Total Value in Transit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Total monetary valuation (₹) of goods currently aboard transport carriers.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#stat-card-transit-loss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Cumulative Transit Loss</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Total monetary value (₹) of breakage, leakage, and unreceived shortages in transit.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#tab-sto-register</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Navigation Tab [F1]</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Master STO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Complete audit register of transfer orders with search, filters, and status badges.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#tab-sto-requisition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Navigation Tab [F2]</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Create STO Requisition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Inter-depot order builder with origin/destination godown selection and product items.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#tab-sto-dispatch</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Navigation Tab [F3]</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Outward Dispatch Desk</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Gate outward dispatch interface for vehicle, carrier, docket, and E-Way bill logging.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#tab-sto-transit-radar</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Navigation Tab [F4]</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In-Transit Telemetry Radar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Real-time on-road logistics radar with temperature monitoring and hub receiving triggers.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#modal-acknowledge-inward</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Modal Dialog [Receive]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Hub Inward Receiving Modal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Dock receiving tally separating intact received units from damaged/broken units.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#modal-print-sto-challan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Modal Dialog [Print]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Printable Rule 55 Challan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Statutory inter-branch delivery challan formatted for direct print and PDF export.</w:t>
            </w:r>
          </w:p>
        </w:tc>
      </w:tr>
    </w:tbl>
    <w:p>
      <w:pPr>
        <w:spacing w:after="160"/>
      </w:pPr>
    </w:p>
    <w:p>
      <w:pPr>
        <w:keepNext/>
        <w:spacing w:before="280" w:after="120"/>
      </w:pPr>
      <w:r>
        <w:rPr>
          <w:rFonts w:ascii="Segoe UI" w:hAnsi="Segoe UI"/>
          <w:b/>
          <w:i w:val="0"/>
          <w:color w:val="2D6A4F"/>
          <w:sz w:val="27"/>
        </w:rPr>
        <w:t>35.5 Visual Photographic Evidence &amp; Automated QA Verification Suite (Suite 22)</w:t>
      </w:r>
    </w:p>
    <w:p>
      <w:pPr>
        <w:spacing w:before="0" w:after="120" w:line="276" w:lineRule="auto"/>
        <w:jc w:val="left"/>
      </w:pPr>
      <w:r>
        <w:rPr>
          <w:rFonts w:ascii="Segoe UI" w:hAnsi="Segoe UI"/>
          <w:b w:val="0"/>
          <w:i w:val="0"/>
          <w:color w:val="1E293B"/>
          <w:sz w:val="21"/>
        </w:rPr>
        <w:t>The complete Multi-Branch Stock Transfer module was verified through automated Selenium test suite (test_stock_transfer_in_transit_selenium.py - Suite 22) operating in headless Chrome at 1440x950 resolution against the live backend (Port 8000) and Vite frontend (Port 50005). All 12 verification stages passed with a 100% success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Target / Endpoint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verified organization AM-0001 credentials.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STO Telemetry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/api/stock-transfer/telemetry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active_orders, in_transit_count, in_transit_value, transit_loss_value.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Warehouse Master API</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/api/stock-transfer/warehouses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Asserted &gt;= 2 warehouses available for inter-branch transfers.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Create STO Requisition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/api/stock-transfer/orders</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Created STO with origin/destination godowns, required date, and items in DRAFT status.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Outward Dispatch API</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/api/stock-transfer/orders/{id}/dispatch</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Committed vehicle DL-01-EF-9988, carrier ColdChain Logistics, docket DOCKET-774921, EWB-992837410293. Decremented origin batch current_stock.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Hub Inward Acknowledgement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/api/stock-transfer/orders/{id}/acknowledge-inward</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Segregated received units into destination current_stock and damaged units into brk_exp_stock. Calculated transit loss.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 &amp; Auth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sessionStorage auth injection with 'erp-auth' key.</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STO Desk &amp; Telemetry Scorecards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driver.get('http://localhost:50005/stock-transfer')</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#stat-card-active-sto, #stat-card-in-transit, #stat-card-transit-val, #stat-card-transit-loss. Captured verified_sto_telemetry_scorecards.png.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STO Requisition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 [F2] #tab-sto-requisition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godown selectors, required date, reason, line item controls, and submit button. Captured verified_sto_requisition_workbench.png.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Outward Dispatch Workbench</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[F3] #tab-sto-dispatch</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vehicle registration input, carrier, docket, and E-Way bill inputs. Captured verified_sto_dispatch_workbench.png.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11: In-Transit Telemetry Radar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 [F4] #tab-sto-transit-radar</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active on-road shipment cards, cold-chain temperature badges, and receiving triggers. Captured verified_sto_in_transit_radar.png.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12: Hub Receiving &amp; Challan Print Modals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[F1] Actions &amp; Modals</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opening of Hub Receiving Modal (#modal-acknowledge-inward) and Printable Rule 55 Challan (#modal-print-sto-challan).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spacing w:before="0" w:after="120" w:line="276" w:lineRule="auto"/>
        <w:jc w:val="left"/>
      </w:pPr>
      <w:r>
        <w:rPr>
          <w:rFonts w:ascii="Segoe UI" w:hAnsi="Segoe UI"/>
          <w:b w:val="0"/>
          <w:i w:val="0"/>
          <w:color w:val="1E293B"/>
          <w:sz w:val="21"/>
        </w:rPr>
        <w:t>The automated Selenium test suite captures 4 high-resolution visual proof artifacts demonstrating flawless frontend rendering:</w:t>
      </w:r>
    </w:p>
    <w:p>
      <w:pPr>
        <w:spacing w:before="160" w:after="40"/>
        <w:jc w:val="center"/>
      </w:pPr>
      <w:r>
        <w:drawing>
          <wp:inline xmlns:a="http://schemas.openxmlformats.org/drawingml/2006/main" xmlns:pic="http://schemas.openxmlformats.org/drawingml/2006/picture">
            <wp:extent cx="5669280" cy="3181495"/>
            <wp:docPr id="49" name="Picture 49"/>
            <wp:cNvGraphicFramePr>
              <a:graphicFrameLocks noChangeAspect="1"/>
            </wp:cNvGraphicFramePr>
            <a:graphic>
              <a:graphicData uri="http://schemas.openxmlformats.org/drawingml/2006/picture">
                <pic:pic>
                  <pic:nvPicPr>
                    <pic:cNvPr id="0" name="verified_sto_telemetry_scorecards.png"/>
                    <pic:cNvPicPr/>
                  </pic:nvPicPr>
                  <pic:blipFill>
                    <a:blip r:embed="rId5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35.1: Stock Transfer Telemetry Scorecards (/stock-transfer) displaying Total Active Transfer Orders, Consignments In-Transit, Total Value in Transit (₹), and Cumulative Transit Loss (₹) with real-time operational status indicators.</w:t>
      </w:r>
    </w:p>
    <w:p>
      <w:pPr>
        <w:spacing w:before="160" w:after="40"/>
        <w:jc w:val="center"/>
      </w:pPr>
      <w:r>
        <w:drawing>
          <wp:inline xmlns:a="http://schemas.openxmlformats.org/drawingml/2006/main" xmlns:pic="http://schemas.openxmlformats.org/drawingml/2006/picture">
            <wp:extent cx="5669280" cy="3181495"/>
            <wp:docPr id="50" name="Picture 50"/>
            <wp:cNvGraphicFramePr>
              <a:graphicFrameLocks noChangeAspect="1"/>
            </wp:cNvGraphicFramePr>
            <a:graphic>
              <a:graphicData uri="http://schemas.openxmlformats.org/drawingml/2006/picture">
                <pic:pic>
                  <pic:nvPicPr>
                    <pic:cNvPr id="0" name="verified_sto_requisition_workbench.png"/>
                    <pic:cNvPicPr/>
                  </pic:nvPicPr>
                  <pic:blipFill>
                    <a:blip r:embed="rId5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35.2: Inter-Depot Requisition Desk (Tab [F2]) showing Origin Godown, Destination Godown, delivery deadline, transfer reason, and dynamic product item grid with auto-sequenced order numbering.</w:t>
      </w:r>
    </w:p>
    <w:p>
      <w:pPr>
        <w:spacing w:before="160" w:after="40"/>
        <w:jc w:val="center"/>
      </w:pPr>
      <w:r>
        <w:drawing>
          <wp:inline xmlns:a="http://schemas.openxmlformats.org/drawingml/2006/main" xmlns:pic="http://schemas.openxmlformats.org/drawingml/2006/picture">
            <wp:extent cx="5669280" cy="3181495"/>
            <wp:docPr id="51" name="Picture 51"/>
            <wp:cNvGraphicFramePr>
              <a:graphicFrameLocks noChangeAspect="1"/>
            </wp:cNvGraphicFramePr>
            <a:graphic>
              <a:graphicData uri="http://schemas.openxmlformats.org/drawingml/2006/picture">
                <pic:pic>
                  <pic:nvPicPr>
                    <pic:cNvPr id="0" name="verified_sto_dispatch_workbench.png"/>
                    <pic:cNvPicPr/>
                  </pic:nvPicPr>
                  <pic:blipFill>
                    <a:blip r:embed="rId5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35.3: Outward Dispatch &amp; Transit Challan Desk (Tab [F3]) with vehicle registration, carrier name, tracking docket number, statutory E-Way bill, and source warehouse batch stock deduction.</w:t>
      </w:r>
    </w:p>
    <w:p>
      <w:pPr>
        <w:spacing w:before="160" w:after="40"/>
        <w:jc w:val="center"/>
      </w:pPr>
      <w:r>
        <w:drawing>
          <wp:inline xmlns:a="http://schemas.openxmlformats.org/drawingml/2006/main" xmlns:pic="http://schemas.openxmlformats.org/drawingml/2006/picture">
            <wp:extent cx="5669280" cy="3181495"/>
            <wp:docPr id="52" name="Picture 52"/>
            <wp:cNvGraphicFramePr>
              <a:graphicFrameLocks noChangeAspect="1"/>
            </wp:cNvGraphicFramePr>
            <a:graphic>
              <a:graphicData uri="http://schemas.openxmlformats.org/drawingml/2006/picture">
                <pic:pic>
                  <pic:nvPicPr>
                    <pic:cNvPr id="0" name="verified_sto_in_transit_radar.png"/>
                    <pic:cNvPicPr/>
                  </pic:nvPicPr>
                  <pic:blipFill>
                    <a:blip r:embed="rId6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35.4: Live In-Transit Telemetry Radar (Tab [F4]) displaying on-road fleet consignments, active cold-chain temperature monitoring (4.2°C Cold Chain OK), transit age, and receiving dock action triggers.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