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calculation, multi-tier rate resolution, cost allocation, commercial recovery, and three-way transporter reconciliation engine for the enterprise ERP system. In pharmaceutical and commercial distribution, freight is often handled under split financial responsibilities: platform administrators, client companies, consignees, and principals. DOC-35 guarantees mathematical determinism, transparent formula explainability, first-class cost-bearer isolation, and automated three-way invoice matching against actual physical dispatches (DOC-34 Cargo Consignments).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GOVERNANCE RULES:</w:t>
              <w:br/>
              <w:t>1. Strict Separation of Cost, Recovery, and Logistics Margin: Transporter cost incurred is never conflated with or silently offset by customer/principal recoveries. Cost, recovery, and margin remain separate immutable ledger items.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 ensuring 100% audit reconstructability.</w:t>
              <w:br/>
              <w:t>4. Three-Way Transporter Billing &amp; Reconciliation: Transporter invoices are audited against system-expected costs with automated variance status tagging (MATCHED, TOLERABLE &lt;= ₹200, UNAPPROVED_EXCESS &gt; ₹200, DISPUTED) and 1-click GL posting to Account 5200.</w:t>
            </w:r>
          </w:p>
        </w:tc>
      </w:tr>
    </w:tbl>
    <w:p>
      <w:pPr>
        <w:spacing w:after="80"/>
      </w:pPr>
    </w:p>
    <w:p>
      <w:pPr>
        <w:keepNext/>
        <w:spacing w:before="280" w:after="120"/>
      </w:pPr>
      <w:r>
        <w:rPr>
          <w:rFonts w:ascii="Segoe UI" w:hAnsi="Segoe UI"/>
          <w:b/>
          <w:i w:val="0"/>
          <w:color w:val="2D6A4F"/>
          <w:sz w:val="27"/>
        </w:rPr>
        <w:t>21.1 Implemented Relational Schema &amp; Relational Models (11 Models)</w:t>
      </w:r>
    </w:p>
    <w:p>
      <w:pPr>
        <w:spacing w:before="0" w:after="120" w:line="276" w:lineRule="auto"/>
        <w:jc w:val="left"/>
      </w:pPr>
      <w:r>
        <w:rPr>
          <w:rFonts w:ascii="Segoe UI" w:hAnsi="Segoe UI"/>
          <w:b w:val="0"/>
          <w:i w:val="0"/>
          <w:color w:val="1E293B"/>
          <w:sz w:val="21"/>
        </w:rPr>
        <w:t>DOC-35 introduces 11 relational entities mapped via SQLAlchemy 2.0 with strict foreign key constraints, multi-tenant scoping, and cryptographic verification snapshots. The schema maps contracts, pricing lanes, tiered weight slabs, ancillary surcharge rules, and three-way reconciliation records: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FreightContract</w:t>
              <w:br/>
              <w:t>(freight_contracts)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br/>
              <w:t>FK: transporter_id -&gt; parties.id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contract_code (String 50)</w:t>
              <w:br/>
              <w:t>contract_name (String 200)</w:t>
              <w:br/>
              <w:t>valid_from, valid_to (DateTime)</w:t>
              <w:br/>
              <w:t>priority (Integer)</w:t>
              <w:br/>
              <w:t>status (ACTIVE, INACTIVE)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carrier agreement defining contracted pricing terms, priority resolution order, and operational status.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FreightLane</w:t>
              <w:br/>
              <w:t>(freight_lanes)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origin_pincode (String 10)</w:t>
              <w:br/>
              <w:t>dest_pincode (String 10)</w:t>
              <w:br/>
              <w:t>origin_zone, dest_zone (String 50)</w:t>
              <w:br/>
              <w:t>transit_days (Integer)</w:t>
              <w:br/>
              <w:t>distance_km (Numeric 10,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Origin-to-destination geographic routing lane defining transit duration expectations and distance matrices.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FreightRateRule</w:t>
              <w:br/>
              <w:t>(freight_rate_rules)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lane_id -&gt; freight_lanes.id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slab_min_kg, slab_max_kg (Numeric 12, 2)</w:t>
              <w:br/>
              <w:t>rate_per_kg (Numeric 12, 2)</w:t>
              <w:br/>
              <w:t>flat_rate (Numeric 12, 2)</w:t>
              <w:br/>
              <w:t>min_charge (Numeric 12, 2)</w:t>
              <w:br/>
              <w:t>calc_mode (PER_KG, FLAT, TIERED)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Tiered chargeable weight slabs and base freight rates (e.g., 0-500kg @ ₹7.00/kg, 501-1,500kg @ ₹6.50/kg, &gt;1,500kg @ ₹5.80/kg).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FreightAncillaryRule</w:t>
              <w:br/>
              <w:t>(freight_ancillary_rules)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charge_code (String 50)</w:t>
              <w:br/>
              <w:t>charge_name (String 100)</w:t>
              <w:br/>
              <w:t>rate_type (FLAT, PERCENT, PER_PACKAGE)</w:t>
              <w:br/>
              <w:t>rate_value (Numeric 12, 2)</w:t>
              <w:br/>
              <w:t>is_mandatory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Dynamic surcharges including Loading/Unloading (₹300 flat), Highway Tolls (₹450 flat), Hamali/Handling (₹15/pkg), and Transit Risk (0.5% declared value).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FreightCostEvent</w:t>
              <w:br/>
              <w:t>(freight_cost_events)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consignment_id</w:t>
              <w:br/>
              <w:t>FK: contract_id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event_type (String 50)</w:t>
              <w:br/>
              <w:t>gross_cost (Numeric 14, 2)</w:t>
              <w:br/>
              <w:t>net_cost (Numeric 14, 2)</w:t>
              <w:br/>
              <w:t>currency (String 10)</w:t>
              <w:br/>
              <w:t>created_at (DateTime)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Immutable fact table recording rated consignment cost occurrences linked directly to DOC-34 consignment dispatches.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FreightCalculationSnapshot</w:t>
              <w:br/>
              <w:t>(freight_calc_snapshots)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input_payload (JSON)</w:t>
              <w:br/>
              <w:t>rate_rule_applied (JSON)</w:t>
              <w:br/>
              <w:t>ancillary_breakdown (JSON)</w:t>
              <w:br/>
              <w:t>formula_trace (Text)</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Frozen explainability payload capturing exact weight inputs, applied slabs, surcharges, and formula steps for regulatory audit.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FreightAllocation</w:t>
              <w:br/>
              <w:t>(freight_allocations)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br/>
              <w:t>FK: invoice_id -&gt; sales_invoices.id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allocation_method (WEIGHT, VALUE, PKG, EQUAL)</w:t>
              <w:br/>
              <w:t>allocated_cost (Numeric 14, 2)</w:t>
              <w:br/>
              <w:t>allocated_pct (Numeric 6, 2)</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Proportional splitting of master consignment freight across multiple sales invoices or stock transfers packed in the same shipment.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FreightRecovery</w:t>
              <w:br/>
              <w:t>(freight_recoveries)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allocation_id -&gt; freight_allocations.id</w:t>
              <w:br/>
              <w:t>FK: customer_id,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recovery_target (CUSTOMER, PRINCIPAL, SUBSIDY)</w:t>
              <w:br/>
              <w:t>recovery_amount (Numeric 14, 2)</w:t>
              <w:br/>
              <w:t>billing_status (PENDING, BILLED, RECOVERED)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Commercial recovery ledger mapping customer freight charges and principal reimbursements without polluting carrier cost ledgers.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FreightReconciliation</w:t>
              <w:br/>
              <w:t>(freight_reconciliations)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statement_ref (String 100)</w:t>
              <w:br/>
              <w:t>carrier_billed_val (Numeric 14, 2)</w:t>
              <w:br/>
              <w:t>system_expected_val (Numeric 14, 2)</w:t>
              <w:br/>
              <w:t>variance_val (Numeric 14, 2)</w:t>
              <w:br/>
              <w:t>status (MATCHED, TOLERABLE, UNAPPROVED_EXCESS, DISPUTED, POSTED)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Three-way audit workbench matching transporter invoices against system estimated costs with automated tolerance evaluation.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FreightCostBearerPolicy</w:t>
              <w:br/>
              <w:t>(freight_cost_bearer_policies)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 (GLOBAL, CLIENT, ROUTE)</w:t>
              <w:br/>
              <w:t>bearer (ADMIN, CLIENT, RECIPIENT)</w:t>
              <w:br/>
              <w:t>gl_account_code (String 20: 5200)</w:t>
              <w:br/>
              <w:t>is_active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Configures cost bearer rules, ensuring Platform Admin-funded cargo routes directly to GL Account 5200 without client ledger debits.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FreightException</w:t>
              <w:br/>
              <w:t>(freight_exceptions)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freight_reconciliations.id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exception_type (RATE_MISMATCH, WEIGHT_VARIANCE, UNAPPROVED_ANCILLARY)</w:t>
              <w:br/>
              <w:t>amount (Numeric 14, 2)</w:t>
              <w:br/>
              <w:t>status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Dispute tracking records for unapproved transporter surcharges requiring carrier credit notes or supervisor waivers.</w:t>
            </w:r>
          </w:p>
        </w:tc>
      </w:tr>
    </w:tbl>
    <w:p>
      <w:pPr>
        <w:spacing w:after="160"/>
      </w:pPr>
    </w:p>
    <w:p>
      <w:pPr>
        <w:keepNext/>
        <w:spacing w:before="280" w:after="120"/>
      </w:pPr>
      <w:r>
        <w:rPr>
          <w:rFonts w:ascii="Segoe UI" w:hAnsi="Segoe UI"/>
          <w:b/>
          <w:i w:val="0"/>
          <w:color w:val="2D6A4F"/>
          <w:sz w:val="27"/>
        </w:rPr>
        <w:t>21.2 RESTful API Directory (/api/freight/*)</w:t>
      </w:r>
    </w:p>
    <w:p>
      <w:pPr>
        <w:spacing w:before="0" w:after="120" w:line="276" w:lineRule="auto"/>
        <w:jc w:val="left"/>
      </w:pPr>
      <w:r>
        <w:rPr>
          <w:rFonts w:ascii="Segoe UI" w:hAnsi="Segoe UI"/>
          <w:b w:val="0"/>
          <w:i w:val="0"/>
          <w:color w:val="1E293B"/>
          <w:sz w:val="21"/>
        </w:rPr>
        <w:t>DOC-35 services are mounted under /api/freight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{active_contracts, total_spend, total_recoveries, logistics_margin, pending_recons_count, tolerable_recons_count}}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Freight Rate Master and Reconciliation Desk, reporting net spend, recoveries, and margin.</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transporter_id (Optional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{contracts: [{id, contract_code, contract_name, priority, lanes: [...], rate_rules: [...], ancillaries: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full transporter rate cards with nested origin/destination lanes, weight slabs, and ancillary surcharge rules.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{contract_code, contract_name, transporter_id, valid_from, valid_to, priority, lanes: [...]}</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contract: {id, contract_code, status: 'ACTIVE'}}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new carrier rate contract with origin-destination pincodes, tiered rate slabs, and mandatory surcharge bindings.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{origin_pincode, dest_pincode, gross_weight_kg, length_cm, width_cm, height_cm, declared_value, ancillary_codes: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{calculated_cost: {gross_cost, base_freight, chargeable_weight, formula_trace, ancillary_breakdown, bearer_policy}}</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Deterministic rate calculation sandbox evaluating volumetric CBM ($L \times W \times H / 1,000,000$), tiered slabs, and ancillary items.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consignment_id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{events: [{id, consignment_id, gross_cost, net_cost, calc_snapshot: {...},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Auditable list of calculated freight cost events with embedded snapshot hashes and formula explainability traces.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/api/freight/allocate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{event_id, allocation_method: 'WEIGHT'|'VALUE'|'PACKAGE'|'EQUAL', invoice_ids: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allocations: [{invoice_id, allocated_amount, allocated_pct}]}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Proportionally distributes consignment freight across individual sales invoices packaged in the same shipment.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status (Optional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statement_ref, carrier_billed_val, system_expected_val, variance_val, status}]}</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transporter billing statements with three-way variance status tagging (MATCHED, TOLERABLE, UNAPPROVED_EXCESS, DISPUTED).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/api/freight/reconciliation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{statement_ref, contract_id, carrier_billed_val, consignment_ids: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variance_val, status: 'TOLERABLE'|'UNAPPROVED_EXCESS'}}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Records transporter invoice for automated three-way matching against system rated costs with variance calculation.</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/api/freight/reconciliation/{id}/action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'APPROVE'|'DISPUTE'|'POST_GL',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reconciliation: {id, status, gl_posting_ref}}</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1-click invoice approval, dispute logging, or automated double-entry GL posting to Platform Admin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{policies: [{id, scope, bearer, gl_account_code: '5200', is_active: true}]}</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active cost-bearer policies confirming Client Company GL protection and Platform Admin GL recognition.</w:t>
            </w:r>
          </w:p>
        </w:tc>
      </w:tr>
    </w:tbl>
    <w:p>
      <w:pPr>
        <w:spacing w:after="160"/>
      </w:pPr>
    </w:p>
    <w:p>
      <w:pPr>
        <w:keepNext/>
        <w:spacing w:before="280" w:after="120"/>
      </w:pPr>
      <w:r>
        <w:rPr>
          <w:rFonts w:ascii="Segoe UI" w:hAnsi="Segoe UI"/>
          <w:b/>
          <w:i w:val="0"/>
          <w:color w:val="2D6A4F"/>
          <w:sz w:val="27"/>
        </w:rPr>
        <w:t>21.3 Terminal Cockpits, Screen Layouts, Hotkeys &amp; UI Element Catalog</w:t>
      </w:r>
    </w:p>
    <w:p>
      <w:pPr>
        <w:spacing w:before="0" w:after="120" w:line="276" w:lineRule="auto"/>
        <w:jc w:val="left"/>
      </w:pPr>
      <w:r>
        <w:rPr>
          <w:rFonts w:ascii="Segoe UI" w:hAnsi="Segoe UI"/>
          <w:b w:val="0"/>
          <w:i w:val="0"/>
          <w:color w:val="1E293B"/>
          <w:sz w:val="21"/>
        </w:rPr>
        <w:t>DOC-35 provides two high-density Marg/Tally terminal cockpits designed for rapid zero-mouse operation:</w:t>
      </w:r>
    </w:p>
    <w:p>
      <w:pPr>
        <w:spacing w:before="0" w:after="120" w:line="276" w:lineRule="auto"/>
        <w:jc w:val="left"/>
      </w:pPr>
      <w:r>
        <w:rPr>
          <w:rFonts w:ascii="Segoe UI" w:hAnsi="Segoe UI"/>
          <w:b w:val="0"/>
          <w:i w:val="0"/>
          <w:color w:val="1E293B"/>
          <w:sz w:val="21"/>
        </w:rPr>
        <w:t>1. Freight Rate Master (/freight/contracts): Features 4 top KPI telemetry cards, rate card matrix, and an interactive Calculation Sandbox [F4] with live parameter inputs and formula breakdown.</w:t>
      </w:r>
    </w:p>
    <w:p>
      <w:pPr>
        <w:spacing w:before="0" w:after="120" w:line="276" w:lineRule="auto"/>
        <w:jc w:val="left"/>
      </w:pPr>
      <w:r>
        <w:rPr>
          <w:rFonts w:ascii="Segoe UI" w:hAnsi="Segoe UI"/>
          <w:b w:val="0"/>
          <w:i w:val="0"/>
          <w:color w:val="1E293B"/>
          <w:sz w:val="21"/>
        </w:rPr>
        <w:t>2. Transporter Billing &amp; Reconciliation Desk (/freight/reconciliation): Features 4 statement status KPI cards, three-way match audit grid, manual bill entry modal [F6], and 1-click GL posting to Account 5200.</w:t>
      </w:r>
    </w:p>
    <w:p>
      <w:pPr>
        <w:spacing w:before="0" w:after="120" w:line="276" w:lineRule="auto"/>
        <w:jc w:val="left"/>
      </w:pPr>
      <w:r>
        <w:rPr>
          <w:rFonts w:ascii="Segoe UI" w:hAnsi="Segoe UI"/>
          <w:b w:val="0"/>
          <w:i w:val="0"/>
          <w:color w:val="1E293B"/>
          <w:sz w:val="21"/>
        </w:rPr>
        <w:t>3. Counter Workbench Launcher: Added #hub-btn-freight-management launcher tile to the Home Screen with global hotkey [Ctrl+2].</w:t>
      </w:r>
    </w:p>
    <w:p>
      <w:pPr>
        <w:spacing w:before="0" w:after="120" w:line="276" w:lineRule="auto"/>
        <w:jc w:val="left"/>
      </w:pPr>
      <w:r>
        <w:rPr>
          <w:rFonts w:ascii="Segoe UI" w:hAnsi="Segoe UI"/>
          <w:b w:val="0"/>
          <w:i w:val="0"/>
          <w:color w:val="1E293B"/>
          <w:sz w:val="21"/>
        </w:rPr>
        <w:t>4. Zero-Mouse Operational Guarantee: 100% keyboard navigable with [F6] New Contract/Bill modal, [F4] Sandbox toggle,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Freight Rate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configured slabs and lanes.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#kpi-freight-spend</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gross freight expense recognized under Platform Admin General Ledger.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#kpi-total-recoveries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aggregate freight recoveries billed to customers and principals.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#kpi-logistics-margin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net logistics margin calculated as Total Recoveries minus Transporter Costs.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 for rating simulations.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#sandbox-origin-pincode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Origin pincode input for automatic lane matching.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#sandbox-dest-pincode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Destination pincode input for automatic lane matching.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#sandbox-weight-input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Consignment gross weight in kg for tiered slab rating.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#sandbox-declared-value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Declared shipment invoice value for percentage-based risk surcharges.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deterministic rate calculation and renders formula breakdown trace.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#card-calc-result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Display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Renders gross calculated freight cost, formula trace, and bound GL Account 5200 badge.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register new carrier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#modal-new-contract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capture contract code, carrier name, lanes, and rate slabs;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total transporter statements queued for three-way audit.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#kpi-recons-matched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verified with exact ₹0.00 variance.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#kpi-recons-tolerable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statements with acceptable variance (&lt;= ₹200.00) eligible for approval.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#kpi-recons-disputed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with unapproved excess charges (&gt; ₹200.00) flagged for dispute.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enter manual transporter invoice for audit (#modal-enter-transporter-bill).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#modal-enter-transporter-bill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enter carrier invoice reference, billed amount, and LR references;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#btn-post-gl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1-click GL journal creation, posting approved freight cost to Account 5200.</w:t>
            </w:r>
          </w:p>
        </w:tc>
      </w:tr>
    </w:tbl>
    <w:p>
      <w:pPr>
        <w:spacing w:after="160"/>
      </w:pPr>
    </w:p>
    <w:p>
      <w:pPr>
        <w:keepNext/>
        <w:spacing w:before="280" w:after="120"/>
      </w:pPr>
      <w:r>
        <w:rPr>
          <w:rFonts w:ascii="Segoe UI" w:hAnsi="Segoe UI"/>
          <w:b/>
          <w:i w:val="0"/>
          <w:color w:val="2D6A4F"/>
          <w:sz w:val="27"/>
        </w:rPr>
        <w:t>21.4 Local Automated Selenium Verification Suite (10 Stages - 100% PASS)</w:t>
      </w:r>
    </w:p>
    <w:p>
      <w:pPr>
        <w:spacing w:before="0" w:after="120" w:line="276" w:lineRule="auto"/>
        <w:jc w:val="left"/>
      </w:pPr>
      <w:r>
        <w:rPr>
          <w:rFonts w:ascii="Segoe UI" w:hAnsi="Segoe UI"/>
          <w:b w:val="0"/>
          <w:i w:val="0"/>
          <w:color w:val="1E293B"/>
          <w:sz w:val="21"/>
        </w:rPr>
        <w:t>DOC-35 was verified using test_freight_logistics_selenium.py executing on headless Chrome (1440x950) against the local backend (Port 8000) and frontend (Port 50005). All 10 stages completed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token. Validated organization tenant scope and session storage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active contracts &gt;= 2, total spend, total recoveries, and pending reconciliation queues.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Transporter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contracts (V-Trans Logistics, Safexpress), origin/destination lanes, and tiered slabs.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Deterministic Rating Engine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Calculated 350kg consignment on Lane DEL-MUM. Asserted base freight, surcharges, and formula trace.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Admin Cost Bearer Invariant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Platform Admin bearer policy; confirmed Account 5200 binding and zero client GL debits.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statement matching, tolerance checks (&lt;= ₹200.00), and UNAPPROVED_EXCESS status tags.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 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Launcher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#hub-btn-freight-management launcher tile on Counter Workbench. Captured verified_freight_homescreen_launcher.png.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Rate Master &amp;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4 top KPI cards. Switched to Sandbox [F4], executed calculation, and captured verified_freight_rate_cards_catalog.png &amp; verified_freight_calculation_sandbox.png.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Reconciliation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reconciliation grid, opened #modal-enter-transporter-bill [F6], tested [Esc] dismissal. Captured verified_freight_reconciliation_desk.png.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21.5 Live Vercel Production Cloud Verification Suite (4 Stages - 100% PASS)</w:t>
      </w:r>
    </w:p>
    <w:p>
      <w:pPr>
        <w:spacing w:before="0" w:after="120" w:line="276" w:lineRule="auto"/>
        <w:jc w:val="left"/>
      </w:pPr>
      <w:r>
        <w:rPr>
          <w:rFonts w:ascii="Segoe UI" w:hAnsi="Segoe UI"/>
          <w:b w:val="0"/>
          <w:i w:val="0"/>
          <w:color w:val="1E293B"/>
          <w:sz w:val="21"/>
        </w:rPr>
        <w:t>Following local testing, the live production deployment on Vercel CDN (https://erp-rho-three.vercel.app) was audited via verify_live_vercel_freight_audit.py using the automated demo authentication hook (#btn-demo-login). All 4 stages completed with 100% pass rate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Located #hub-btn-freight-management on live Counter Workbench. Captured live_vercel_freight_homescreen_launcher.png.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Rate Master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https://erp-rho-three.vercel.app/freight/contracts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4 live telemetry KPI cards (#kpi-active-contracts, #kpi-freight-spend, etc.) on Vercel CDN. Captured live_vercel_freight_rate_master.png.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Calculation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https://erp-rho-three.vercel.app/freight/contracts</w:t>
              <w:br/>
              <w:t>Trigger: [F4] Sandbox Tab</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[F4], input test parameters, clicked #btn-execute-calc, verified formula breakdown. Captured live_vercel_freight_calculation_sandbox.png.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Reconciliation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live statement audit grid, 3-way variance status badges, and GL 5200 posting readiness. Captured live_vercel_freight_reconciliation.png.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21.6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 for DOC-35:</w:t>
      </w:r>
    </w:p>
    <w:p>
      <w:pPr>
        <w:spacing w:before="160" w:after="40"/>
        <w:jc w:val="center"/>
      </w:pPr>
      <w:r>
        <w:drawing>
          <wp:inline xmlns:a="http://schemas.openxmlformats.org/drawingml/2006/main" xmlns:pic="http://schemas.openxmlformats.org/drawingml/2006/picture">
            <wp:extent cx="5669280" cy="3181495"/>
            <wp:docPr id="1" name="Picture 1"/>
            <wp:cNvGraphicFramePr>
              <a:graphicFrameLocks noChangeAspect="1"/>
            </wp:cNvGraphicFramePr>
            <a:graphic>
              <a:graphicData uri="http://schemas.openxmlformats.org/drawingml/2006/picture">
                <pic:pic>
                  <pic:nvPicPr>
                    <pic:cNvPr id="0" name="verified_freight_homescreen_launcher.png"/>
                    <pic:cNvPicPr/>
                  </pic:nvPicPr>
                  <pic:blipFill>
                    <a:blip r:embed="rId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21.1: Local Verified Counter Workbench (/) displaying the dedicated Freight &amp; Logistics Cost Recovery launcher tile (#hub-btn-freight-management) mapped to global hotkey [Ctrl+2].</w:t>
      </w:r>
    </w:p>
    <w:p>
      <w:pPr>
        <w:spacing w:before="160" w:after="40"/>
        <w:jc w:val="center"/>
      </w:pPr>
      <w:r>
        <w:drawing>
          <wp:inline xmlns:a="http://schemas.openxmlformats.org/drawingml/2006/main" xmlns:pic="http://schemas.openxmlformats.org/drawingml/2006/picture">
            <wp:extent cx="5669280" cy="3181495"/>
            <wp:docPr id="2" name="Picture 2"/>
            <wp:cNvGraphicFramePr>
              <a:graphicFrameLocks noChangeAspect="1"/>
            </wp:cNvGraphicFramePr>
            <a:graphic>
              <a:graphicData uri="http://schemas.openxmlformats.org/drawingml/2006/picture">
                <pic:pic>
                  <pic:nvPicPr>
                    <pic:cNvPr id="0" name="verified_freight_rate_cards_catalog.png"/>
                    <pic:cNvPicPr/>
                  </pic:nvPicPr>
                  <pic:blipFill>
                    <a:blip r:embed="rId1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21.2: Local Verified Freight Rate Master (/freight/contracts) displaying 4 top telemetry KPI cards, carrier rate cards, and origin-destination lane pricing matrices.</w:t>
      </w:r>
    </w:p>
    <w:p>
      <w:pPr>
        <w:spacing w:before="160" w:after="40"/>
        <w:jc w:val="center"/>
      </w:pPr>
      <w:r>
        <w:drawing>
          <wp:inline xmlns:a="http://schemas.openxmlformats.org/drawingml/2006/main" xmlns:pic="http://schemas.openxmlformats.org/drawingml/2006/picture">
            <wp:extent cx="5669280" cy="3181495"/>
            <wp:docPr id="3" name="Picture 3"/>
            <wp:cNvGraphicFramePr>
              <a:graphicFrameLocks noChangeAspect="1"/>
            </wp:cNvGraphicFramePr>
            <a:graphic>
              <a:graphicData uri="http://schemas.openxmlformats.org/drawingml/2006/picture">
                <pic:pic>
                  <pic:nvPicPr>
                    <pic:cNvPr id="0" name="verified_freight_calculation_sandbox.png"/>
                    <pic:cNvPicPr/>
                  </pic:nvPicPr>
                  <pic:blipFill>
                    <a:blip r:embed="rId1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21.3: Local Verified Calculation Sandbox [F4] displaying interactive parameter inputs, live tiered slab rating, ancillary breakdown, and formula explainability trace.</w:t>
      </w:r>
    </w:p>
    <w:p>
      <w:pPr>
        <w:spacing w:before="160" w:after="40"/>
        <w:jc w:val="center"/>
      </w:pPr>
      <w:r>
        <w:drawing>
          <wp:inline xmlns:a="http://schemas.openxmlformats.org/drawingml/2006/main" xmlns:pic="http://schemas.openxmlformats.org/drawingml/2006/picture">
            <wp:extent cx="5669280" cy="3181495"/>
            <wp:docPr id="4" name="Picture 4"/>
            <wp:cNvGraphicFramePr>
              <a:graphicFrameLocks noChangeAspect="1"/>
            </wp:cNvGraphicFramePr>
            <a:graphic>
              <a:graphicData uri="http://schemas.openxmlformats.org/drawingml/2006/picture">
                <pic:pic>
                  <pic:nvPicPr>
                    <pic:cNvPr id="0" name="verified_freight_reconciliation_desk.png"/>
                    <pic:cNvPicPr/>
                  </pic:nvPicPr>
                  <pic:blipFill>
                    <a:blip r:embed="rId1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21.4: Local Verified Transporter Billing &amp; Reconciliation Desk (/freight/reconciliation) displaying three-way match statement grid with variance status badges.</w:t>
      </w:r>
    </w:p>
    <w:p>
      <w:pPr>
        <w:spacing w:before="160" w:after="40"/>
        <w:jc w:val="center"/>
      </w:pPr>
      <w:r>
        <w:drawing>
          <wp:inline xmlns:a="http://schemas.openxmlformats.org/drawingml/2006/main" xmlns:pic="http://schemas.openxmlformats.org/drawingml/2006/picture">
            <wp:extent cx="5669280" cy="3181495"/>
            <wp:docPr id="5" name="Picture 5"/>
            <wp:cNvGraphicFramePr>
              <a:graphicFrameLocks noChangeAspect="1"/>
            </wp:cNvGraphicFramePr>
            <a:graphic>
              <a:graphicData uri="http://schemas.openxmlformats.org/drawingml/2006/picture">
                <pic:pic>
                  <pic:nvPicPr>
                    <pic:cNvPr id="0" name="live_vercel_freight_homescreen_launcher.png"/>
                    <pic:cNvPicPr/>
                  </pic:nvPicPr>
                  <pic:blipFill>
                    <a:blip r:embed="rId1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21.5: Live Vercel Production Cloud Verification (https://erp-rho-three.vercel.app/) confirming seamless authentication and Counter Workbench launcher presence on production CDN.</w:t>
      </w:r>
    </w:p>
    <w:p>
      <w:pPr>
        <w:spacing w:before="160" w:after="40"/>
        <w:jc w:val="center"/>
      </w:pPr>
      <w:r>
        <w:drawing>
          <wp:inline xmlns:a="http://schemas.openxmlformats.org/drawingml/2006/main" xmlns:pic="http://schemas.openxmlformats.org/drawingml/2006/picture">
            <wp:extent cx="5669280" cy="3181495"/>
            <wp:docPr id="6" name="Picture 6"/>
            <wp:cNvGraphicFramePr>
              <a:graphicFrameLocks noChangeAspect="1"/>
            </wp:cNvGraphicFramePr>
            <a:graphic>
              <a:graphicData uri="http://schemas.openxmlformats.org/drawingml/2006/picture">
                <pic:pic>
                  <pic:nvPicPr>
                    <pic:cNvPr id="0" name="live_vercel_freight_rate_master.png"/>
                    <pic:cNvPicPr/>
                  </pic:nvPicPr>
                  <pic:blipFill>
                    <a:blip r:embed="rId1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21.6: Live Vercel Production Cloud Freight Rate Master (/freight/contracts) validating live telemetry KPI cards and carrier rate matrices on production CDN.</w:t>
      </w:r>
    </w:p>
    <w:p>
      <w:pPr>
        <w:spacing w:before="160" w:after="40"/>
        <w:jc w:val="center"/>
      </w:pPr>
      <w:r>
        <w:drawing>
          <wp:inline xmlns:a="http://schemas.openxmlformats.org/drawingml/2006/main" xmlns:pic="http://schemas.openxmlformats.org/drawingml/2006/picture">
            <wp:extent cx="5669280" cy="3181495"/>
            <wp:docPr id="7" name="Picture 7"/>
            <wp:cNvGraphicFramePr>
              <a:graphicFrameLocks noChangeAspect="1"/>
            </wp:cNvGraphicFramePr>
            <a:graphic>
              <a:graphicData uri="http://schemas.openxmlformats.org/drawingml/2006/picture">
                <pic:pic>
                  <pic:nvPicPr>
                    <pic:cNvPr id="0" name="live_vercel_freight_calculation_sandbox.png"/>
                    <pic:cNvPicPr/>
                  </pic:nvPicPr>
                  <pic:blipFill>
                    <a:blip r:embed="rId1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21.7: Live Vercel Production Cloud Calculation Sandbox [F4] validating live deterministic rate resolution and formula traces on production CDN.</w:t>
      </w:r>
    </w:p>
    <w:p>
      <w:pPr>
        <w:spacing w:before="160" w:after="40"/>
        <w:jc w:val="center"/>
      </w:pPr>
      <w:r>
        <w:drawing>
          <wp:inline xmlns:a="http://schemas.openxmlformats.org/drawingml/2006/main" xmlns:pic="http://schemas.openxmlformats.org/drawingml/2006/picture">
            <wp:extent cx="5669280" cy="3181495"/>
            <wp:docPr id="8" name="Picture 8"/>
            <wp:cNvGraphicFramePr>
              <a:graphicFrameLocks noChangeAspect="1"/>
            </wp:cNvGraphicFramePr>
            <a:graphic>
              <a:graphicData uri="http://schemas.openxmlformats.org/drawingml/2006/picture">
                <pic:pic>
                  <pic:nvPicPr>
                    <pic:cNvPr id="0" name="live_vercel_freight_reconciliation.png"/>
                    <pic:cNvPicPr/>
                  </pic:nvPicPr>
                  <pic:blipFill>
                    <a:blip r:embed="rId1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21.8: Live Vercel Production Cloud Transporter Reconciliation Desk (/freight/reconciliation) validating three-way audit matching and GL 5200 posting readiness on production CDN.</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an institutional-grade operational engine that transforms static Principal and C&amp;F master records into a continuously auditable, traceable, and reconstructable operating position. In modern pharmaceutical distribution networks, Clearing &amp; Forwarding (C&amp;F) agents and super-distributors handle consignment inventories on behalf of multiple pharmaceutical manufacturers (Principals). Operating under diverse commercial agreements, tiered commission rates, strict credit windows, and complex freight recovery policies, enterprises face severe financial and statutory risks if stock ownership commingles or ledger reconciliations drift. DOC-36 solves this challenge by providing end-to-end custody segregation, automated three-way reconciliation, dispute-proof operational claims management, and non-editable reconstructable statements.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GOVERNANCE RULES: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Relational Models (16 Models)</w:t>
      </w:r>
    </w:p>
    <w:p>
      <w:pPr>
        <w:spacing w:before="0" w:after="120" w:line="276" w:lineRule="auto"/>
        <w:jc w:val="left"/>
      </w:pPr>
      <w:r>
        <w:rPr>
          <w:rFonts w:ascii="Segoe UI" w:hAnsi="Segoe UI"/>
          <w:b w:val="0"/>
          <w:i w:val="0"/>
          <w:color w:val="1E293B"/>
          <w:sz w:val="21"/>
        </w:rPr>
        <w:t>DOC-36 introduces 16 high-performance relational entities mapped via SQLAlchemy 2.0 with strict foreign key constraints, multi-tenant organization scoping, and cryptographic verification hashes. The schema architecture isolates custody from legal ownership, models effective-dated agreement terms, and maintains point-in-time stock snapshots: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PrincipalOperatingContext</w:t>
              <w:br/>
              <w:t>(principal_operating_contexts)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branch_id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agreement_version_id (UUID)</w:t>
              <w:br/>
              <w:t>status (String 40: ACTIVE, SUSPENDED, TERMINATED)</w:t>
              <w:br/>
              <w:t>created_at, updated_at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Primary multi-tenant operational anchor binding client organization to external pharmaceutical principal with branch-level scoping and status control.</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PrincipalAgreementVersion</w:t>
              <w:br/>
              <w:t>(principal_agreement_versions)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agreement_number (String 80)</w:t>
              <w:br/>
              <w:t>version_no (String 20)</w:t>
              <w:br/>
              <w:t>valid_from, valid_to (DateTime)</w:t>
              <w:br/>
              <w:t>terms_json (JSON)</w:t>
              <w:br/>
              <w:t>status (DRAFT, ACTIVE, SUPERSEDED, EXPIRED)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Effective-dated commercial terms, commission percentages (e.g., 6.5%), claim dispute windows, credit periods, and authorized freight allowance models.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PrincipalProductRule</w:t>
              <w:br/>
              <w:t>(principal_product_rules)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branch_id,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sku_code (String 100)</w:t>
              <w:br/>
              <w:t>is_exclusive (Boolean)</w:t>
              <w:br/>
              <w:t>valid_from, valid_to (DateTime)</w:t>
              <w:br/>
              <w:t>status (ACTIVE, INACTIVE, RESTRICTED)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Authorized product catalog constraints, exclusive SKU allocations per branch, and designated depot warehouse storage boundaries.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PrincipalCustomerRule</w:t>
              <w:br/>
              <w:t>(principal_customer_rules)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 customer_id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customer_group (String 100)</w:t>
              <w:br/>
              <w:t>territory_id, territory_name (String)</w:t>
              <w:br/>
              <w:t>valid_from, valid_to (DateTime)</w:t>
              <w:br/>
              <w:t>status (ACTIVE, INACTIVE)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Territory boundaries and customer group eligibility, enforcing authorized distribution channels for principal-consigned products.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PrincipalOwnershipRule</w:t>
              <w:br/>
              <w:t>(principal_ownership_rules)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warehouse_scope (ALL, SPECIFIC_WH)</w:t>
              <w:br/>
              <w:t>mode (CONSIGNMENT_CUSTODY, OUTRIGHT_PURCHASE, PRINCIPAL_OWNED)</w:t>
              <w:br/>
              <w:t>valid_from, valid_to</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Inviolable stock custody classification preventing commingling and inventory pollution when identical generic drugs are stocked across different principals.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PrincipalEvent</w:t>
              <w:br/>
              <w:t>(principal_events)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(String 60)</w:t>
              <w:br/>
              <w:t>event_time (DateTime)</w:t>
              <w:br/>
              <w:t>source_doc_type (String 50)</w:t>
              <w:br/>
              <w:t>source_doc_id (String 100)</w:t>
              <w:br/>
              <w:t>payload_json (JSON)</w:t>
              <w:br/>
              <w:t>payload_hash (String 64: SHA-256)</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Cryptographically hashed append-only commercial event ledger providing mathematical immutability and complete event-sourcing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PrincipalStockSnapshot</w:t>
              <w:br/>
              <w:t>(principal_stock_snapshots)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batch_no (String 100)</w:t>
              <w:br/>
              <w:t>warehouse_name (String 100)</w:t>
              <w:br/>
              <w:t>as_of (DateTime)</w:t>
              <w:br/>
              <w:t>qty_on_hand, qty_reserved, qty_damage</w:t>
              <w:br/>
              <w:t>unit_cost, total_valuation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Point-in-time frozen inventory positions segregated by SKU and batch, supporting instant historical reconstruction and discrepancy auditing.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PrincipalClaim</w:t>
              <w:br/>
              <w:t>(principal_claims)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claim_number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principal_name (String 200)</w:t>
              <w:br/>
              <w:t>claim_type (EXPIRY, BREAKAGE, SHORTAGE, RATE_DIFFERENCE)</w:t>
              <w:br/>
              <w:t>source_doc_id (String 100)</w:t>
              <w:br/>
              <w:t>claimed_qty, claimed_amount, approved_amount</w:t>
              <w:br/>
              <w:t>reason, status (PENDING,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Operational claim document capturing loss events with batch provenance, dispute resolution workflows, and four-eyes settlement authorization.</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PrincipalClaimLine</w:t>
              <w:br/>
              <w:t>(principal_claim_lines)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principal_claims.id</w:t>
              <w:br/>
              <w:t>FK: product_id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source_movement_id (String 100)</w:t>
              <w:br/>
              <w:t>batch_no (String 100)</w:t>
              <w:br/>
              <w:t>expiry_date (DateTime)</w:t>
              <w:br/>
              <w:t>qty, eligible_qty, rate, amount</w:t>
              <w:br/>
              <w:t>approved_amount,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line-item breakdown linking each claimed unit directly to DOC-16 stock movements and batch expiry records.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PrincipalReconciliation</w:t>
              <w:br/>
              <w:t>(principal_reconciliations)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recon_number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system_opening_val, external_opening_val</w:t>
              <w:br/>
              <w:t>system_closing_val, external_closing_val</w:t>
              <w:br/>
              <w:t>net_variance_val, matched_lines_count</w:t>
              <w:br/>
              <w:t>variance_lines_count, status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three-way reconciliation header record comparing system stock valuation against external Principal-submitted statement balances.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PrincipalReconciliationLine</w:t>
              <w:br/>
              <w:t>(principal_reconciliation_lines)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principal_reconciliations.id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source_key (String 100)</w:t>
              <w:br/>
              <w:t>source_type (SALE, INWARD, RETURN, CLAIM)</w:t>
              <w:br/>
              <w:t>system_qty, external_qty, variance_qty</w:t>
              <w:br/>
              <w:t>system_val, external_val, variance_val</w:t>
              <w:br/>
              <w:t>reason_code, status (MATCHED, VARIANCE)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Itemized transaction matching line detecting quantity and valuation discrepancies with automated root-cause reason tagging.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PrincipalStatementRun</w:t>
              <w:br/>
              <w:t>(principal_statement_runs)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run_number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filters_hash (String 64)</w:t>
              <w:br/>
              <w:t>source_versions (String 100)</w:t>
              <w:br/>
              <w:t>opening_stock_val, receipts_val, sales_val</w:t>
              <w:br/>
              <w:t>returns_val, claims_val, freight_val, closing_val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Authoritative period statement snapshot with dataset hash signature, freezing financial and inventory figures against retroactive tampering.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PrincipalStatementLine</w:t>
              <w:br/>
              <w:t>(principal_statement_lines)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run_id -&gt; principal_statement_runs.id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event_id (UUID)</w:t>
              <w:br/>
              <w:t>source_doc_id (String 100)</w:t>
              <w:br/>
              <w:t>category (OPENING, INWARD, SALE, RETURN, CLAIM, FREIGHT, CLOSING)</w:t>
              <w:br/>
              <w:t>product_name, batch_no, qty, 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Individual transaction line in the reconstructable statement maintaining complete backward audit linkage to source transaction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PrincipalCostAttribution</w:t>
              <w:br/>
              <w:t>(principal_cost_attributions)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br/>
              <w:t>Ref: source_cost_id -&gt; DOC-35</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bearer (ADMIN_COMPANY, PRINCIPAL, CLIENT_COMPANY)</w:t>
              <w:br/>
              <w:t>recovery_target (PRINCIPAL_CLAIM, SUBSIDY)</w:t>
              <w:br/>
              <w:t>amount (Numeric 18, 2)</w:t>
              <w:br/>
              <w:t>policy_version, status (ATTRIBUTED, ABSORBED)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Direct integration with DOC-35 Freight Engine attributing logistics costs, transporter billings, and Admin GL 5200 subsidies to principal accounts.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PrincipalCommissionRef</w:t>
              <w:br/>
              <w:t>(principal_commission_refs)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source_event_id</w:t>
              <w:br/>
              <w:t>Ref: commission_doc_id -&gt; DOC-37</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gross_sales_val (Numeric 18, 2)</w:t>
              <w:br/>
              <w:t>commission_rate_pct (Numeric 6, 2)</w:t>
              <w:br/>
              <w:t>commission_amount (Numeric 18, 2)</w:t>
              <w:br/>
              <w:t>status (ACCRUED, BILLED, SETTLED)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Commercial settlement reference connecting dispatched sales throughput to earned C&amp;F commission without duplicate accounting journals.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PrincipalSyncCheckpoint</w:t>
              <w:br/>
              <w:t>(principal_sync_checkpoints)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scope_key (STOCK, CLAIMS, RECON, EVENTS)</w:t>
              <w:br/>
              <w:t>cursor (String 100)</w:t>
              <w:br/>
              <w:t>hash (String 64: SHA-256)</w:t>
              <w:br/>
              <w:t>synced_at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Distributed state synchronization cursor ensuring complete ledger consistency between central C&amp;F depots and peripheral distribution branches.</w:t>
            </w:r>
          </w:p>
        </w:tc>
      </w:tr>
    </w:tbl>
    <w:p>
      <w:pPr>
        <w:spacing w:after="160"/>
      </w:pPr>
    </w:p>
    <w:p>
      <w:pPr>
        <w:keepNext/>
        <w:spacing w:before="280" w:after="120"/>
      </w:pPr>
      <w:r>
        <w:rPr>
          <w:rFonts w:ascii="Segoe UI" w:hAnsi="Segoe UI"/>
          <w:b/>
          <w:i w:val="0"/>
          <w:color w:val="2D6A4F"/>
          <w:sz w:val="27"/>
        </w:rPr>
        <w:t>22.2 RESTful API Directory (/api/principal/*)</w:t>
      </w:r>
    </w:p>
    <w:p>
      <w:pPr>
        <w:spacing w:before="0" w:after="120" w:line="276" w:lineRule="auto"/>
        <w:jc w:val="left"/>
      </w:pPr>
      <w:r>
        <w:rPr>
          <w:rFonts w:ascii="Segoe UI" w:hAnsi="Segoe UI"/>
          <w:b w:val="0"/>
          <w:i w:val="0"/>
          <w:color w:val="1E293B"/>
          <w:sz w:val="21"/>
        </w:rPr>
        <w:t>All DOC-36 backend services are exposed under the /api/principal namespace with mandatory JWT authentication, organization tenant isolation, and strict parameter validation via Pydantic schemas: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{active_principals_count, total_stock_value, total_stock_quantity, pending_claims_value, approved_reconciliations_count, admin_funded_freight}}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the Control Center. Aggregates custody valuation, open claim liability, and Platform Admin freight subsidies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search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{principals: [{id, principal_code, principal_name, agreement_number, agreement_version, commission_rate_pct, total_stock_val, status}]}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Searchable catalog of registered pharmaceutical principals with active agreement terms, commission percentages, and live stock holding figures.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{position: {principal: {...}, stock_summary: {...}, stock_lines: [...], sales_movements: [...], open_claims: [...], cost_attributions: [...], reconciliations: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Comprehensive operational position retrieving SKU/batch custody segregation, batch expiry dates, recent dispatches, open breakage claims, and freight subsidies.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/api/principal/{id}/statement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w:t>
              <w:br/>
              <w:t>Query: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{statement: {run_number, period, opening_stock, receipts, sales, returns, claims, freight_costs, closing_stock, lines: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Reconstructs non-editable period business statement from source vouchers and immutable event logs; enforces Zero Balance Override invariant.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/api/principal/claims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claim_type, source_doc_type, source_doc_id, product_name, batch_no, claimed_qty, rate, reason, evidence_url}</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claim: {id, claim_number, claimed_amount, status: 'PENDING'}}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operational claim (Expiry, Breakage, Shortage) with automated number generation (CLM-PRN-YYYY-XXXX), batch provenance, and audit logging.</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 claim_id)</w:t>
              <w:br/>
              <w:t>Payload: {action: 'APPROVE'|'DISPUTE'|'PASS_TO_SETTLEMENT'|'REJECT', approved_amount, resolution_notes}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claim: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multi-stage approval workflow on operational claims without historical ledger tampering, updating claim lifecycle state and settlement linkages.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recon_number, period_from, period_to, system_closing_val, external_closing_val, net_variance_val, status, lines_count}]}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historical three-way reconciliation matching runs with net variance metrics, line counts, approval timestamps, and audit status flags.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 external_closing_val, discrepancy_reason}</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recon_number, net_variance_val, matched_lines_count, status: 'APPROVED'}}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automated three-way matching engine comparing system valuation against external principal statements, logging variance items and audit trails.</w:t>
            </w:r>
          </w:p>
        </w:tc>
      </w:tr>
    </w:tbl>
    <w:p>
      <w:pPr>
        <w:spacing w:after="160"/>
      </w:pPr>
    </w:p>
    <w:p>
      <w:pPr>
        <w:keepNext/>
        <w:spacing w:before="280" w:after="120"/>
      </w:pPr>
      <w:r>
        <w:rPr>
          <w:rFonts w:ascii="Segoe UI" w:hAnsi="Segoe UI"/>
          <w:b/>
          <w:i w:val="0"/>
          <w:color w:val="2D6A4F"/>
          <w:sz w:val="27"/>
        </w:rPr>
        <w:t>22.3 Terminal Cockpits, Screen Layouts, Hotkeys &amp; UI Element Catalog</w:t>
      </w:r>
    </w:p>
    <w:p>
      <w:pPr>
        <w:spacing w:before="0" w:after="120" w:line="276" w:lineRule="auto"/>
        <w:jc w:val="left"/>
      </w:pPr>
      <w:r>
        <w:rPr>
          <w:rFonts w:ascii="Segoe UI" w:hAnsi="Segoe UI"/>
          <w:b w:val="0"/>
          <w:i w:val="0"/>
          <w:color w:val="1E293B"/>
          <w:sz w:val="21"/>
        </w:rPr>
        <w:t>DOC-36 features two dedicated high-density terminal cockpits adhering to the system's Marg/Tally keyboard-first design standards, styled with forest green (#15803d) luxury accents and instant zero-mouse navigation:</w:t>
      </w:r>
    </w:p>
    <w:p>
      <w:pPr>
        <w:spacing w:before="0" w:after="120" w:line="276" w:lineRule="auto"/>
        <w:jc w:val="left"/>
      </w:pPr>
      <w:r>
        <w:rPr>
          <w:rFonts w:ascii="Segoe UI" w:hAnsi="Segoe UI"/>
          <w:b w:val="0"/>
          <w:i w:val="0"/>
          <w:color w:val="1E293B"/>
          <w:sz w:val="21"/>
        </w:rPr>
        <w:t>1. Principal Operational Control Center (/principal): Houses 5 top telemetry KPI cards, agreement terms banner, and 5 functional tabs switchable via hotkeys [F2] through [F6]. Includes the New Claim modal dialog triggered via [F7].</w:t>
      </w:r>
    </w:p>
    <w:p>
      <w:pPr>
        <w:spacing w:before="0" w:after="120" w:line="276" w:lineRule="auto"/>
        <w:jc w:val="left"/>
      </w:pPr>
      <w:r>
        <w:rPr>
          <w:rFonts w:ascii="Segoe UI" w:hAnsi="Segoe UI"/>
          <w:b w:val="0"/>
          <w:i w:val="0"/>
          <w:color w:val="1E293B"/>
          <w:sz w:val="21"/>
        </w:rPr>
        <w:t>2. Principal Business Statement Desk (/principal/statement): Full-screen drill-down reconstructable statement workbench with principal selector, transaction category filters, native print formatting, and complete backward audit traceability.</w:t>
      </w:r>
    </w:p>
    <w:p>
      <w:pPr>
        <w:spacing w:before="0" w:after="120" w:line="276" w:lineRule="auto"/>
        <w:jc w:val="left"/>
      </w:pPr>
      <w:r>
        <w:rPr>
          <w:rFonts w:ascii="Segoe UI" w:hAnsi="Segoe UI"/>
          <w:b w:val="0"/>
          <w:i w:val="0"/>
          <w:color w:val="1E293B"/>
          <w:sz w:val="21"/>
        </w:rPr>
        <w:t>3. Counter Workbench Launcher: Added #hub-btn-principal-management tile to the Home Screen with global shortcut [Ctrl+3].</w:t>
      </w:r>
    </w:p>
    <w:p>
      <w:pPr>
        <w:spacing w:before="0" w:after="120" w:line="276" w:lineRule="auto"/>
        <w:jc w:val="left"/>
      </w:pPr>
      <w:r>
        <w:rPr>
          <w:rFonts w:ascii="Segoe UI" w:hAnsi="Segoe UI"/>
          <w:b w:val="0"/>
          <w:i w:val="0"/>
          <w:color w:val="1E293B"/>
          <w:sz w:val="21"/>
        </w:rPr>
        <w:t>4. Hierarchical [Esc] Lifecycle: Universal Escape key listener safely dismisses active modals and slide-over drawers without unintended page redirects.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[Ctrl+3]</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Principal Operational Control Center.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#kpi-active-principals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pharmaceutical principals with registered operational agreements.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#kpi-total-stock-val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aggregate valuation and unit count of consignment custody inventory held across warehouses.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#kpi-pending-claims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open claim liability value across breakage, expiry, and shortage loss events.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#kpi-reconciled-health</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approved three-way reconciliation run count and net variance health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#kpi-freight-attribution</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Admin-funded freight logistics subsidy (GL Account 5200) linked to DOC-35 dispatches.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#tab-btn-stock</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Stock Ownership &amp; Custody Matrix showing SKU/batch segregation and warehouse allocations.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[F3]</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Claims &amp; Returns Desk for tracking operational claims, batch provenance, and approval actions.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#tab-btn-recon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3-Way Reconciliation Workspace for auditing external statements against system 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#tab-btn-statement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[F5]</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embedded Authoritative Reconstructable Statement tab with opening, movements, and closing values.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#tab-btn-mis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Commercial MIS &amp; Operational Profitability dashboard with throughput and commission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modal dialog to register a new operational claim with batch linkage (#modal-new-claim).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#modal-new-claim</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Form capturing claim details (Product, Batch, Qty, Rate, Reason); dismisses cleanly via Escape key.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#select-statement-principal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Select Dropdown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Filters reconstructable business statement by specific pharmaceutical principal entity.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#table-statement-lines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Data Grid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Renders reconstructed transaction lines across Inward, Sales, Returns, Claims, and Freight categories.</w:t>
            </w:r>
          </w:p>
        </w:tc>
      </w:tr>
    </w:tbl>
    <w:p>
      <w:pPr>
        <w:spacing w:after="160"/>
      </w:pPr>
    </w:p>
    <w:p>
      <w:pPr>
        <w:keepNext/>
        <w:spacing w:before="280" w:after="120"/>
      </w:pPr>
      <w:r>
        <w:rPr>
          <w:rFonts w:ascii="Segoe UI" w:hAnsi="Segoe UI"/>
          <w:b/>
          <w:i w:val="0"/>
          <w:color w:val="2D6A4F"/>
          <w:sz w:val="27"/>
        </w:rPr>
        <w:t>22.4 Local Automated Selenium Verification Suite (10 Stages - 100% PASS)</w:t>
      </w:r>
    </w:p>
    <w:p>
      <w:pPr>
        <w:spacing w:before="0" w:after="120" w:line="276" w:lineRule="auto"/>
        <w:jc w:val="left"/>
      </w:pPr>
      <w:r>
        <w:rPr>
          <w:rFonts w:ascii="Segoe UI" w:hAnsi="Segoe UI"/>
          <w:b w:val="0"/>
          <w:i w:val="0"/>
          <w:color w:val="1E293B"/>
          <w:sz w:val="21"/>
        </w:rPr>
        <w:t>The complete full-stack implementation was validated via an automated headless Chrome Selenium verification suite (test_principal_operations_selenium.py) executing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Validated organization ID and session storage auth payload.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&gt;= 2 active principals, ₹105,600.00 custody valuation, 5,400 units, ₹2,450.00 pending claims, and GL 5200 subsidy.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Principal Catalog &amp; Agreements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2 principals: Sun Pharma Healthcare Ltd. (AGR-SUN-2026-001, 6.5% comm) and Cipla Therapeutics Ltd. (AGR-CIP-2026-002, 5.0% comm).</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Custody Segregation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SKU/batch custody segregation (Azithromycin 250mg Tablets, Batch B-CIP-812, CONSIGNMENT_CUSTODY mode).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Operational Claims Workflow</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/api/principal/claims</w:t>
              <w:br/>
              <w:t>POST /claims/{id}/action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claim CLM-PRN-2026-0004 (BREAKAGE, ₹55.00). Executed APPROVE action; verified status transition without ledger tampering.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Run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automated match against external closing valuation. Asserted net_variance_val == 0.00, generated REC-PRN-2026-0003.</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Integration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#hub-btn-principal-management launcher on Counter Workbench. Captured verified_principal_homescreen_launcher.png.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Control Center &amp; KPI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driver.get('http://localhost:50005/principal')</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all 5 Top KPI telemetry cards (#kpi-active-principals, #kpi-total-stock-val, etc.). Captured verified_principal_control_center.png.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Tabs Switching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Action [F7], Key [Esc]</w:t>
              <w:br/>
              <w:t>Tabs [F4] &amp; [F5]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Switched to Claims Desk [F3]. Opened #modal-new-claim [F7] and verified clean [Esc] dismissal. Verified Statement [F5] and Recon [F4]. Captured screenshots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22.5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verify_live_vercel_principal_audit.py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#hub-btn-principal-management presence. Captured live_vercel_principal_homescreen_launcher.png.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5 Top KPI cards (#kpi-active-principals, #kpi-total-stock-val, #kpi-pending-claims, #kpi-reconciled-health, #kpi-freight-attribution). Captured live_vercel_principal_control_center.png.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Claims Desk &amp; Hotkey Modal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https://erp-rho-three.vercel.app/principal</w:t>
              <w:br/>
              <w:t>Trigger: #tab-btn-claims &amp; [F7]</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Claims Desk [F3]. Triggered #modal-new-claim [F7]. Verified visibility and verified instant [Esc] dismissal cleanly. Captured live_vercel_principal_claims_desk.png.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Full-Screen Statement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https://erp-rho-three.vercel.app/principal/statement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full-screen authoritative statement desk with #select-statement-principal, transaction line rendering, and zero manual balance overrides. Captured live_vercel_principal_statement_desk.png.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22.6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9" name="Picture 9"/>
            <wp:cNvGraphicFramePr>
              <a:graphicFrameLocks noChangeAspect="1"/>
            </wp:cNvGraphicFramePr>
            <a:graphic>
              <a:graphicData uri="http://schemas.openxmlformats.org/drawingml/2006/picture">
                <pic:pic>
                  <pic:nvPicPr>
                    <pic:cNvPr id="0" name="verified_principal_homescreen_launcher.png"/>
                    <pic:cNvPicPr/>
                  </pic:nvPicPr>
                  <pic:blipFill>
                    <a:blip r:embed="rId1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22.1: Local Verified Counter Workbench (/) displaying the dedicated Principal &amp; C&amp;F Operations Management hub tile (#hub-btn-principal-management) mapped to global hotkey [Ctrl+3].</w:t>
      </w:r>
    </w:p>
    <w:p>
      <w:pPr>
        <w:spacing w:before="160" w:after="40"/>
        <w:jc w:val="center"/>
      </w:pPr>
      <w:r>
        <w:drawing>
          <wp:inline xmlns:a="http://schemas.openxmlformats.org/drawingml/2006/main" xmlns:pic="http://schemas.openxmlformats.org/drawingml/2006/picture">
            <wp:extent cx="5669280" cy="3181495"/>
            <wp:docPr id="10" name="Picture 10"/>
            <wp:cNvGraphicFramePr>
              <a:graphicFrameLocks noChangeAspect="1"/>
            </wp:cNvGraphicFramePr>
            <a:graphic>
              <a:graphicData uri="http://schemas.openxmlformats.org/drawingml/2006/picture">
                <pic:pic>
                  <pic:nvPicPr>
                    <pic:cNvPr id="0" name="verified_principal_control_center.png"/>
                    <pic:cNvPicPr/>
                  </pic:nvPicPr>
                  <pic:blipFill>
                    <a:blip r:embed="rId1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22.2: Local Verified Principal Operational Control Center (/principal) featuring 5 top telemetry KPI cards, agreement terms banner, and the Stock Ownership &amp; Custody Matrix tab [F2].</w:t>
      </w:r>
    </w:p>
    <w:p>
      <w:pPr>
        <w:spacing w:before="160" w:after="40"/>
        <w:jc w:val="center"/>
      </w:pPr>
      <w:r>
        <w:drawing>
          <wp:inline xmlns:a="http://schemas.openxmlformats.org/drawingml/2006/main" xmlns:pic="http://schemas.openxmlformats.org/drawingml/2006/picture">
            <wp:extent cx="5669280" cy="3181495"/>
            <wp:docPr id="11" name="Picture 11"/>
            <wp:cNvGraphicFramePr>
              <a:graphicFrameLocks noChangeAspect="1"/>
            </wp:cNvGraphicFramePr>
            <a:graphic>
              <a:graphicData uri="http://schemas.openxmlformats.org/drawingml/2006/picture">
                <pic:pic>
                  <pic:nvPicPr>
                    <pic:cNvPr id="0" name="verified_principal_claims_desk.png"/>
                    <pic:cNvPicPr/>
                  </pic:nvPicPr>
                  <pic:blipFill>
                    <a:blip r:embed="rId1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22.3: Local Verified Claims &amp; Returns Desk (/principal) displaying the operational claims register, batch provenance tracking, and the New Claim Modal [F7] with [Esc] dismissal.</w:t>
      </w:r>
    </w:p>
    <w:p>
      <w:pPr>
        <w:spacing w:before="160" w:after="40"/>
        <w:jc w:val="center"/>
      </w:pPr>
      <w:r>
        <w:drawing>
          <wp:inline xmlns:a="http://schemas.openxmlformats.org/drawingml/2006/main" xmlns:pic="http://schemas.openxmlformats.org/drawingml/2006/picture">
            <wp:extent cx="5669280" cy="3181495"/>
            <wp:docPr id="12" name="Picture 12"/>
            <wp:cNvGraphicFramePr>
              <a:graphicFrameLocks noChangeAspect="1"/>
            </wp:cNvGraphicFramePr>
            <a:graphic>
              <a:graphicData uri="http://schemas.openxmlformats.org/drawingml/2006/picture">
                <pic:pic>
                  <pic:nvPicPr>
                    <pic:cNvPr id="0" name="verified_principal_reconciliation_statement.png"/>
                    <pic:cNvPicPr/>
                  </pic:nvPicPr>
                  <pic:blipFill>
                    <a:blip r:embed="rId2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22.4: Local Verified 3-Way Reconciliation Workspace and Reconstructable Business Statement with transaction-level backward audit traceability and zero manual overrides.</w:t>
      </w:r>
    </w:p>
    <w:p>
      <w:pPr>
        <w:spacing w:before="160" w:after="40"/>
        <w:jc w:val="center"/>
      </w:pPr>
      <w:r>
        <w:drawing>
          <wp:inline xmlns:a="http://schemas.openxmlformats.org/drawingml/2006/main" xmlns:pic="http://schemas.openxmlformats.org/drawingml/2006/picture">
            <wp:extent cx="5669280" cy="3181495"/>
            <wp:docPr id="13" name="Picture 13"/>
            <wp:cNvGraphicFramePr>
              <a:graphicFrameLocks noChangeAspect="1"/>
            </wp:cNvGraphicFramePr>
            <a:graphic>
              <a:graphicData uri="http://schemas.openxmlformats.org/drawingml/2006/picture">
                <pic:pic>
                  <pic:nvPicPr>
                    <pic:cNvPr id="0" name="live_vercel_principal_homescreen_launcher.png"/>
                    <pic:cNvPicPr/>
                  </pic:nvPicPr>
                  <pic:blipFill>
                    <a:blip r:embed="rId2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14" name="Picture 14"/>
            <wp:cNvGraphicFramePr>
              <a:graphicFrameLocks noChangeAspect="1"/>
            </wp:cNvGraphicFramePr>
            <a:graphic>
              <a:graphicData uri="http://schemas.openxmlformats.org/drawingml/2006/picture">
                <pic:pic>
                  <pic:nvPicPr>
                    <pic:cNvPr id="0" name="live_vercel_principal_control_center.png"/>
                    <pic:cNvPicPr/>
                  </pic:nvPicPr>
                  <pic:blipFill>
                    <a:blip r:embed="rId2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22.6: Live Vercel Production Cloud Control Center (/principal) verifying live telemetry KPI cards, agreement versioning, and custody inventory monitoring.</w:t>
      </w:r>
    </w:p>
    <w:p>
      <w:pPr>
        <w:spacing w:before="160" w:after="40"/>
        <w:jc w:val="center"/>
      </w:pPr>
      <w:r>
        <w:drawing>
          <wp:inline xmlns:a="http://schemas.openxmlformats.org/drawingml/2006/main" xmlns:pic="http://schemas.openxmlformats.org/drawingml/2006/picture">
            <wp:extent cx="5669280" cy="3181495"/>
            <wp:docPr id="15" name="Picture 15"/>
            <wp:cNvGraphicFramePr>
              <a:graphicFrameLocks noChangeAspect="1"/>
            </wp:cNvGraphicFramePr>
            <a:graphic>
              <a:graphicData uri="http://schemas.openxmlformats.org/drawingml/2006/picture">
                <pic:pic>
                  <pic:nvPicPr>
                    <pic:cNvPr id="0" name="live_vercel_principal_claims_desk.png"/>
                    <pic:cNvPicPr/>
                  </pic:nvPicPr>
                  <pic:blipFill>
                    <a:blip r:embed="rId2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22.7: Live Vercel Production Cloud Claims Desk verifying modal dialog rendering and instant [Esc] keyboard dismissal on production CDN.</w:t>
      </w:r>
    </w:p>
    <w:p>
      <w:pPr>
        <w:spacing w:before="160" w:after="40"/>
        <w:jc w:val="center"/>
      </w:pPr>
      <w:r>
        <w:drawing>
          <wp:inline xmlns:a="http://schemas.openxmlformats.org/drawingml/2006/main" xmlns:pic="http://schemas.openxmlformats.org/drawingml/2006/picture">
            <wp:extent cx="5669280" cy="3181495"/>
            <wp:docPr id="16" name="Picture 16"/>
            <wp:cNvGraphicFramePr>
              <a:graphicFrameLocks noChangeAspect="1"/>
            </wp:cNvGraphicFramePr>
            <a:graphic>
              <a:graphicData uri="http://schemas.openxmlformats.org/drawingml/2006/picture">
                <pic:pic>
                  <pic:nvPicPr>
                    <pic:cNvPr id="0" name="live_vercel_principal_statement_desk.png"/>
                    <pic:cNvPicPr/>
                  </pic:nvPicPr>
                  <pic:blipFill>
                    <a:blip r:embed="rId2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22.8: Live Vercel Production Cloud Full-Screen Authoritative Statement Desk (/principal/statement) validating zero manual balance overrides and source-level auditability.</w:t>
      </w:r>
    </w:p>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