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freight calculation, rate resolution, cost allocation, commercial recovery, and three-way transporter reconciliation engine for the enterprise ERP.</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DESIGN PRINCIPLES:</w:t>
              <w:br/>
              <w:t>1. Strict Separation of Cost, Recovery, and Logistics Margin: Transporter cost incurred is never conflated with or silently offset by customer/principal recoveries.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w:t>
              <w:br/>
              <w:t>4. Three-Way Transporter Billing &amp; Reconciliation: Transporter invoices are audited against system-expected costs with automated variance status tagging (MATCHED, TOLERABLE, UNAPPROVED_EXCESS, DISPUTED) and 1-click GL posting.</w:t>
            </w:r>
          </w:p>
        </w:tc>
      </w:tr>
    </w:tbl>
    <w:p>
      <w:pPr>
        <w:spacing w:after="80"/>
      </w:pPr>
    </w:p>
    <w:p>
      <w:pPr>
        <w:keepNext/>
        <w:spacing w:before="280" w:after="120"/>
      </w:pPr>
      <w:r>
        <w:rPr>
          <w:rFonts w:ascii="Segoe UI" w:hAnsi="Segoe UI"/>
          <w:b/>
          <w:i w:val="0"/>
          <w:color w:val="2D6A4F"/>
          <w:sz w:val="27"/>
        </w:rPr>
        <w:t>21.1 Implemented Relational Schema &amp; Backend Services</w:t>
      </w:r>
    </w:p>
    <w:p>
      <w:pPr>
        <w:spacing w:before="0" w:after="120" w:line="276" w:lineRule="auto"/>
        <w:jc w:val="left"/>
      </w:pPr>
      <w:r>
        <w:rPr>
          <w:rFonts w:ascii="Segoe UI" w:hAnsi="Segoe UI"/>
          <w:b w:val="0"/>
          <w:i w:val="0"/>
          <w:color w:val="1E293B"/>
          <w:sz w:val="21"/>
        </w:rPr>
        <w:t>DOC-35 introduces 11 relational entities mapped via SQLAlchemy 2.0 and mounted under /api/freight:</w:t>
      </w:r>
    </w:p>
    <w:p>
      <w:pPr>
        <w:spacing w:before="0" w:after="120" w:line="276" w:lineRule="auto"/>
        <w:jc w:val="left"/>
      </w:pPr>
      <w:r>
        <w:rPr>
          <w:rFonts w:ascii="Segoe UI" w:hAnsi="Segoe UI"/>
          <w:b w:val="0"/>
          <w:i w:val="0"/>
          <w:color w:val="1E293B"/>
          <w:sz w:val="21"/>
        </w:rPr>
        <w:t>• FreightContract &amp; FreightLane: Transporter contract master with priority, vehicle classes, and origin-destination distance matrices.</w:t>
      </w:r>
    </w:p>
    <w:p>
      <w:pPr>
        <w:spacing w:before="0" w:after="120" w:line="276" w:lineRule="auto"/>
        <w:jc w:val="left"/>
      </w:pPr>
      <w:r>
        <w:rPr>
          <w:rFonts w:ascii="Segoe UI" w:hAnsi="Segoe UI"/>
          <w:b w:val="0"/>
          <w:i w:val="0"/>
          <w:color w:val="1E293B"/>
          <w:sz w:val="21"/>
        </w:rPr>
        <w:t>• FreightRateRule &amp; FreightAncillaryRule: Tiered weight slabs, base rates, minimum charges, and ancillary surcharges (Loading ₹300, Toll ₹450, Hamali ₹15/pkg, Transit Cover 0.5%, Demurrage ₹500).</w:t>
      </w:r>
    </w:p>
    <w:p>
      <w:pPr>
        <w:spacing w:before="0" w:after="120" w:line="276" w:lineRule="auto"/>
        <w:jc w:val="left"/>
      </w:pPr>
      <w:r>
        <w:rPr>
          <w:rFonts w:ascii="Segoe UI" w:hAnsi="Segoe UI"/>
          <w:b w:val="0"/>
          <w:i w:val="0"/>
          <w:color w:val="1E293B"/>
          <w:sz w:val="21"/>
        </w:rPr>
        <w:t>• FreightCostEvent &amp; FreightCalculationSnapshot: Atomic cost facts linked to DOC-34 consignments with complete formula explainability traces.</w:t>
      </w:r>
    </w:p>
    <w:p>
      <w:pPr>
        <w:spacing w:before="0" w:after="120" w:line="276" w:lineRule="auto"/>
        <w:jc w:val="left"/>
      </w:pPr>
      <w:r>
        <w:rPr>
          <w:rFonts w:ascii="Segoe UI" w:hAnsi="Segoe UI"/>
          <w:b w:val="0"/>
          <w:i w:val="0"/>
          <w:color w:val="1E293B"/>
          <w:sz w:val="21"/>
        </w:rPr>
        <w:t>• FreightAllocation &amp; FreightRecovery: Multi-document proportional splitting (Weight, Value, Packages, Equal) and commercial customer/principal recovery accounting.</w:t>
      </w:r>
    </w:p>
    <w:p>
      <w:pPr>
        <w:spacing w:before="0" w:after="120" w:line="276" w:lineRule="auto"/>
        <w:jc w:val="left"/>
      </w:pPr>
      <w:r>
        <w:rPr>
          <w:rFonts w:ascii="Segoe UI" w:hAnsi="Segoe UI"/>
          <w:b w:val="0"/>
          <w:i w:val="0"/>
          <w:color w:val="1E293B"/>
          <w:sz w:val="21"/>
        </w:rPr>
        <w:t>• FreightReconciliation: Three-way match workbench for auditing transporter statements against expected dispatches.</w:t>
      </w:r>
    </w:p>
    <w:p>
      <w:pPr>
        <w:keepNext/>
        <w:spacing w:before="280" w:after="120"/>
      </w:pPr>
      <w:r>
        <w:rPr>
          <w:rFonts w:ascii="Segoe UI" w:hAnsi="Segoe UI"/>
          <w:b/>
          <w:i w:val="0"/>
          <w:color w:val="2D6A4F"/>
          <w:sz w:val="27"/>
        </w:rPr>
        <w:t>21.2 Interactive UI Cockpits &amp; Verification Proof</w:t>
      </w:r>
    </w:p>
    <w:p>
      <w:pPr>
        <w:spacing w:before="0" w:after="120" w:line="276" w:lineRule="auto"/>
        <w:jc w:val="left"/>
      </w:pPr>
      <w:r>
        <w:rPr>
          <w:rFonts w:ascii="Segoe UI" w:hAnsi="Segoe UI"/>
          <w:b w:val="0"/>
          <w:i w:val="0"/>
          <w:color w:val="1E293B"/>
          <w:sz w:val="21"/>
        </w:rPr>
        <w:t>The frontend delivers two dedicated luxury Marg-themed cockpits:</w:t>
      </w:r>
    </w:p>
    <w:p>
      <w:pPr>
        <w:spacing w:before="0" w:after="120" w:line="276" w:lineRule="auto"/>
        <w:jc w:val="left"/>
      </w:pPr>
      <w:r>
        <w:rPr>
          <w:rFonts w:ascii="Segoe UI" w:hAnsi="Segoe UI"/>
          <w:b w:val="0"/>
          <w:i w:val="0"/>
          <w:color w:val="1E293B"/>
          <w:sz w:val="21"/>
        </w:rPr>
        <w:t>1. Freight Rate Master (/freight/contracts): 4 Top KPI cards, rate card matrix, and an interactive Calculation Sandbox with live parameter inputs and formula trace rendering.</w:t>
      </w:r>
    </w:p>
    <w:p>
      <w:pPr>
        <w:spacing w:before="0" w:after="120" w:line="276" w:lineRule="auto"/>
        <w:jc w:val="left"/>
      </w:pPr>
      <w:r>
        <w:rPr>
          <w:rFonts w:ascii="Segoe UI" w:hAnsi="Segoe UI"/>
          <w:b w:val="0"/>
          <w:i w:val="0"/>
          <w:color w:val="1E293B"/>
          <w:sz w:val="21"/>
        </w:rPr>
        <w:t>2. Transporter Billing &amp; Reconciliation Desk (/freight/reconciliation): Complete statement audit grid with variance thresholds, dispute logging, and 1-click GL posting to Account 5200.</w:t>
      </w:r>
    </w:p>
    <w:p>
      <w:pPr>
        <w:spacing w:before="0" w:after="120" w:line="276" w:lineRule="auto"/>
        <w:jc w:val="left"/>
      </w:pPr>
      <w:r>
        <w:rPr>
          <w:rFonts w:ascii="Segoe UI" w:hAnsi="Segoe UI"/>
          <w:b w:val="0"/>
          <w:i w:val="0"/>
          <w:color w:val="1E293B"/>
          <w:sz w:val="21"/>
        </w:rPr>
        <w:t>3. Zero-Mouse Operational Guarantee: 100% keyboard navigable with [F6] New Contract/Bill modal, [F4] Sandbox toggle, [Esc] hierarchical dismissal, and [Ctrl+2] Counter Workbench hotkey.</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