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8596" w14:textId="77777777" w:rsidR="00924FED" w:rsidRDefault="5756121F" w:rsidP="5756121F">
      <w:pPr>
        <w:spacing w:before="600" w:after="120"/>
        <w:jc w:val="center"/>
        <w:rPr>
          <w:rFonts w:ascii="ＭＳ ゴシック" w:eastAsia="ＭＳ ゴシック" w:hAnsi="ＭＳ ゴシック" w:cs="ＭＳ ゴシック"/>
          <w:b/>
          <w:bCs/>
          <w:sz w:val="32"/>
          <w:szCs w:val="32"/>
        </w:rPr>
      </w:pPr>
      <w:r w:rsidRPr="5756121F">
        <w:rPr>
          <w:rFonts w:ascii="ＭＳ ゴシック" w:eastAsia="ＭＳ ゴシック" w:hAnsi="ＭＳ ゴシック" w:cs="ＭＳ ゴシック"/>
          <w:b/>
          <w:bCs/>
          <w:sz w:val="32"/>
          <w:szCs w:val="32"/>
        </w:rPr>
        <w:t>リサーチレポート作成に関する</w:t>
      </w:r>
    </w:p>
    <w:p w14:paraId="72E2B35F" w14:textId="77777777" w:rsidR="00924FED" w:rsidRDefault="5756121F" w:rsidP="5756121F">
      <w:pPr>
        <w:spacing w:after="360"/>
        <w:jc w:val="center"/>
        <w:rPr>
          <w:rFonts w:ascii="ＭＳ ゴシック" w:eastAsia="ＭＳ ゴシック" w:hAnsi="ＭＳ ゴシック" w:cs="ＭＳ ゴシック"/>
          <w:b/>
          <w:bCs/>
          <w:sz w:val="32"/>
          <w:szCs w:val="32"/>
        </w:rPr>
      </w:pPr>
      <w:r w:rsidRPr="5756121F">
        <w:rPr>
          <w:rFonts w:ascii="ＭＳ ゴシック" w:eastAsia="ＭＳ ゴシック" w:hAnsi="ＭＳ ゴシック" w:cs="ＭＳ ゴシック"/>
          <w:b/>
          <w:bCs/>
          <w:sz w:val="32"/>
          <w:szCs w:val="32"/>
        </w:rPr>
        <w:t>コンプライアンス規程</w:t>
      </w:r>
    </w:p>
    <w:p w14:paraId="672A6659" w14:textId="77777777" w:rsidR="00924FED" w:rsidRDefault="00924FED">
      <w:pPr>
        <w:spacing w:after="20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24FED" w14:paraId="7F6F0827" w14:textId="77777777" w:rsidTr="5756121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0F0F0"/>
            <w:tcMar>
              <w:top w:w="60" w:type="dxa"/>
              <w:left w:w="120" w:type="dxa"/>
              <w:bottom w:w="60" w:type="dxa"/>
              <w:right w:w="120" w:type="dxa"/>
            </w:tcMar>
          </w:tcPr>
          <w:p w14:paraId="2156C376" w14:textId="77777777" w:rsidR="00924FED" w:rsidRDefault="5756121F" w:rsidP="5756121F">
            <w:pPr>
              <w:rPr>
                <w:rFonts w:ascii="ＭＳ ゴシック" w:eastAsia="ＭＳ ゴシック" w:hAnsi="ＭＳ ゴシック" w:cs="ＭＳ ゴシック"/>
                <w:b/>
                <w:bCs/>
                <w:sz w:val="20"/>
                <w:szCs w:val="20"/>
              </w:rPr>
            </w:pPr>
            <w:r w:rsidRPr="5756121F">
              <w:rPr>
                <w:rFonts w:ascii="ＭＳ ゴシック" w:eastAsia="ＭＳ ゴシック" w:hAnsi="ＭＳ ゴシック" w:cs="ＭＳ ゴシック"/>
                <w:b/>
                <w:bCs/>
                <w:sz w:val="20"/>
                <w:szCs w:val="20"/>
              </w:rPr>
              <w:t>制定日</w:t>
            </w:r>
          </w:p>
        </w:tc>
        <w:tc>
          <w:tcPr>
            <w:tcW w:w="662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7EE8599" w14:textId="77777777" w:rsidR="00924FED" w:rsidRDefault="00000000">
            <w:r>
              <w:rPr>
                <w:sz w:val="20"/>
                <w:szCs w:val="20"/>
              </w:rPr>
              <w:t>2020年4月1日</w:t>
            </w:r>
          </w:p>
        </w:tc>
      </w:tr>
      <w:tr w:rsidR="00924FED" w14:paraId="491AF03A" w14:textId="77777777" w:rsidTr="5756121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0F0F0"/>
            <w:tcMar>
              <w:top w:w="60" w:type="dxa"/>
              <w:left w:w="120" w:type="dxa"/>
              <w:bottom w:w="60" w:type="dxa"/>
              <w:right w:w="120" w:type="dxa"/>
            </w:tcMar>
          </w:tcPr>
          <w:p w14:paraId="1C8E231B" w14:textId="77777777" w:rsidR="00924FED" w:rsidRDefault="5756121F" w:rsidP="5756121F">
            <w:pPr>
              <w:rPr>
                <w:rFonts w:ascii="ＭＳ ゴシック" w:eastAsia="ＭＳ ゴシック" w:hAnsi="ＭＳ ゴシック" w:cs="ＭＳ ゴシック"/>
                <w:b/>
                <w:bCs/>
                <w:sz w:val="20"/>
                <w:szCs w:val="20"/>
              </w:rPr>
            </w:pPr>
            <w:r w:rsidRPr="5756121F">
              <w:rPr>
                <w:rFonts w:ascii="ＭＳ ゴシック" w:eastAsia="ＭＳ ゴシック" w:hAnsi="ＭＳ ゴシック" w:cs="ＭＳ ゴシック"/>
                <w:b/>
                <w:bCs/>
                <w:sz w:val="20"/>
                <w:szCs w:val="20"/>
              </w:rPr>
              <w:t>最終改定日</w:t>
            </w:r>
          </w:p>
        </w:tc>
        <w:tc>
          <w:tcPr>
            <w:tcW w:w="662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EDBE784" w14:textId="77777777" w:rsidR="00924FED" w:rsidRDefault="00000000">
            <w:r>
              <w:rPr>
                <w:sz w:val="20"/>
                <w:szCs w:val="20"/>
              </w:rPr>
              <w:t>2025年10月1日</w:t>
            </w:r>
          </w:p>
        </w:tc>
      </w:tr>
      <w:tr w:rsidR="00924FED" w14:paraId="592EB5F8" w14:textId="77777777" w:rsidTr="5756121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0F0F0"/>
            <w:tcMar>
              <w:top w:w="60" w:type="dxa"/>
              <w:left w:w="120" w:type="dxa"/>
              <w:bottom w:w="60" w:type="dxa"/>
              <w:right w:w="120" w:type="dxa"/>
            </w:tcMar>
          </w:tcPr>
          <w:p w14:paraId="302EC217" w14:textId="77777777" w:rsidR="00924FED" w:rsidRDefault="5756121F" w:rsidP="5756121F">
            <w:pPr>
              <w:rPr>
                <w:rFonts w:ascii="ＭＳ ゴシック" w:eastAsia="ＭＳ ゴシック" w:hAnsi="ＭＳ ゴシック" w:cs="ＭＳ ゴシック"/>
                <w:b/>
                <w:bCs/>
                <w:sz w:val="20"/>
                <w:szCs w:val="20"/>
              </w:rPr>
            </w:pPr>
            <w:r w:rsidRPr="5756121F">
              <w:rPr>
                <w:rFonts w:ascii="ＭＳ ゴシック" w:eastAsia="ＭＳ ゴシック" w:hAnsi="ＭＳ ゴシック" w:cs="ＭＳ ゴシック"/>
                <w:b/>
                <w:bCs/>
                <w:sz w:val="20"/>
                <w:szCs w:val="20"/>
              </w:rPr>
              <w:t>管理部門</w:t>
            </w:r>
          </w:p>
        </w:tc>
        <w:tc>
          <w:tcPr>
            <w:tcW w:w="662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D86E861" w14:textId="77777777" w:rsidR="00924FED" w:rsidRDefault="5756121F" w:rsidP="5756121F">
            <w:pPr>
              <w:rPr>
                <w:sz w:val="20"/>
                <w:szCs w:val="20"/>
              </w:rPr>
            </w:pPr>
            <w:r w:rsidRPr="5756121F">
              <w:rPr>
                <w:sz w:val="20"/>
                <w:szCs w:val="20"/>
              </w:rPr>
              <w:t>コンプライアンス統括部</w:t>
            </w:r>
          </w:p>
        </w:tc>
      </w:tr>
      <w:tr w:rsidR="00924FED" w14:paraId="538413E2" w14:textId="77777777" w:rsidTr="5756121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0F0F0"/>
            <w:tcMar>
              <w:top w:w="60" w:type="dxa"/>
              <w:left w:w="120" w:type="dxa"/>
              <w:bottom w:w="60" w:type="dxa"/>
              <w:right w:w="120" w:type="dxa"/>
            </w:tcMar>
          </w:tcPr>
          <w:p w14:paraId="2FDDA63D" w14:textId="77777777" w:rsidR="00924FED" w:rsidRDefault="5756121F" w:rsidP="5756121F">
            <w:pPr>
              <w:rPr>
                <w:rFonts w:ascii="ＭＳ ゴシック" w:eastAsia="ＭＳ ゴシック" w:hAnsi="ＭＳ ゴシック" w:cs="ＭＳ ゴシック"/>
                <w:b/>
                <w:bCs/>
                <w:sz w:val="20"/>
                <w:szCs w:val="20"/>
              </w:rPr>
            </w:pPr>
            <w:r w:rsidRPr="5756121F">
              <w:rPr>
                <w:rFonts w:ascii="ＭＳ ゴシック" w:eastAsia="ＭＳ ゴシック" w:hAnsi="ＭＳ ゴシック" w:cs="ＭＳ ゴシック"/>
                <w:b/>
                <w:bCs/>
                <w:sz w:val="20"/>
                <w:szCs w:val="20"/>
              </w:rPr>
              <w:t>文書番号</w:t>
            </w:r>
          </w:p>
        </w:tc>
        <w:tc>
          <w:tcPr>
            <w:tcW w:w="662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AFE3668" w14:textId="77777777" w:rsidR="00924FED" w:rsidRDefault="00000000">
            <w:r>
              <w:rPr>
                <w:sz w:val="20"/>
                <w:szCs w:val="20"/>
              </w:rPr>
              <w:t>CMP-RES-2025-003</w:t>
            </w:r>
          </w:p>
        </w:tc>
      </w:tr>
      <w:tr w:rsidR="00924FED" w14:paraId="6B824230" w14:textId="77777777" w:rsidTr="5756121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0F0F0"/>
            <w:tcMar>
              <w:top w:w="60" w:type="dxa"/>
              <w:left w:w="120" w:type="dxa"/>
              <w:bottom w:w="60" w:type="dxa"/>
              <w:right w:w="120" w:type="dxa"/>
            </w:tcMar>
          </w:tcPr>
          <w:p w14:paraId="1A254DF8" w14:textId="77777777" w:rsidR="00924FED" w:rsidRDefault="5756121F" w:rsidP="5756121F">
            <w:pPr>
              <w:rPr>
                <w:rFonts w:ascii="ＭＳ ゴシック" w:eastAsia="ＭＳ ゴシック" w:hAnsi="ＭＳ ゴシック" w:cs="ＭＳ ゴシック"/>
                <w:b/>
                <w:bCs/>
                <w:sz w:val="20"/>
                <w:szCs w:val="20"/>
              </w:rPr>
            </w:pPr>
            <w:r w:rsidRPr="5756121F">
              <w:rPr>
                <w:rFonts w:ascii="ＭＳ ゴシック" w:eastAsia="ＭＳ ゴシック" w:hAnsi="ＭＳ ゴシック" w:cs="ＭＳ ゴシック"/>
                <w:b/>
                <w:bCs/>
                <w:sz w:val="20"/>
                <w:szCs w:val="20"/>
              </w:rPr>
              <w:t>適用対象</w:t>
            </w:r>
          </w:p>
        </w:tc>
        <w:tc>
          <w:tcPr>
            <w:tcW w:w="662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122653B" w14:textId="77777777" w:rsidR="00924FED" w:rsidRDefault="5756121F" w:rsidP="5756121F">
            <w:pPr>
              <w:rPr>
                <w:sz w:val="20"/>
                <w:szCs w:val="20"/>
              </w:rPr>
            </w:pPr>
            <w:r w:rsidRPr="5756121F">
              <w:rPr>
                <w:sz w:val="20"/>
                <w:szCs w:val="20"/>
              </w:rPr>
              <w:t>リサーチ部門全社員</w:t>
            </w:r>
          </w:p>
        </w:tc>
      </w:tr>
    </w:tbl>
    <w:p w14:paraId="0A37501D" w14:textId="77777777" w:rsidR="00924FED" w:rsidRDefault="00924FED">
      <w:pPr>
        <w:spacing w:after="2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4FED" w14:paraId="5DAB6C7B" w14:textId="77777777">
        <w:tblPrEx>
          <w:tblCellMar>
            <w:top w:w="0" w:type="dxa"/>
            <w:bottom w:w="0" w:type="dxa"/>
          </w:tblCellMar>
        </w:tblPrEx>
        <w:tc>
          <w:tcPr>
            <w:tcW w:w="9026" w:type="dxa"/>
            <w:tcBorders>
              <w:bottom w:val="single" w:sz="1" w:space="0" w:color="999999"/>
            </w:tcBorders>
          </w:tcPr>
          <w:p w14:paraId="02EB378F" w14:textId="77777777" w:rsidR="00924FED" w:rsidRDefault="00924FED"/>
        </w:tc>
      </w:tr>
    </w:tbl>
    <w:p w14:paraId="6A05A809" w14:textId="77777777" w:rsidR="00924FED" w:rsidRDefault="00924FED">
      <w:pPr>
        <w:spacing w:after="120"/>
      </w:pPr>
    </w:p>
    <w:p w14:paraId="25EB8573" w14:textId="77777777" w:rsidR="00924FED" w:rsidRDefault="5756121F" w:rsidP="5756121F">
      <w:pPr>
        <w:spacing w:before="360" w:after="240"/>
        <w:rPr>
          <w:rFonts w:ascii="ＭＳ ゴシック" w:eastAsia="ＭＳ ゴシック" w:hAnsi="ＭＳ ゴシック" w:cs="ＭＳ ゴシック"/>
          <w:b/>
          <w:bCs/>
          <w:sz w:val="28"/>
          <w:szCs w:val="28"/>
        </w:rPr>
      </w:pPr>
      <w:r w:rsidRPr="5756121F">
        <w:rPr>
          <w:rFonts w:ascii="ＭＳ ゴシック" w:eastAsia="ＭＳ ゴシック" w:hAnsi="ＭＳ ゴシック" w:cs="ＭＳ ゴシック"/>
          <w:b/>
          <w:bCs/>
          <w:sz w:val="28"/>
          <w:szCs w:val="28"/>
        </w:rPr>
        <w:t>第1章　総則</w:t>
      </w:r>
    </w:p>
    <w:p w14:paraId="458501EC" w14:textId="77777777" w:rsidR="00924FED" w:rsidRDefault="00000000">
      <w:pPr>
        <w:spacing w:before="240" w:after="120"/>
      </w:pPr>
      <w:r>
        <w:rPr>
          <w:rFonts w:ascii="ＭＳ ゴシック" w:eastAsia="ＭＳ ゴシック" w:hAnsi="ＭＳ ゴシック" w:cs="ＭＳ ゴシック"/>
          <w:b/>
          <w:bCs/>
          <w:sz w:val="22"/>
          <w:szCs w:val="22"/>
        </w:rPr>
        <w:t>第1条（目的）</w:t>
      </w:r>
    </w:p>
    <w:p w14:paraId="6464073D" w14:textId="77777777" w:rsidR="00924FED" w:rsidRDefault="00000000">
      <w:pPr>
        <w:spacing w:after="120"/>
      </w:pPr>
      <w:r>
        <w:t>本規程は、東洋キャピタル証券株式会社（以下「当社」という）のリサーチ部門が作成するリサーチレポート（以下「レポート」という）に関し、金融商品取引法、日本証券業協会の自主規制規則、及び当社の社内規則に基づき、公正かつ適切な情報提供を確保するために必要な事項を定めることを目的とする。</w:t>
      </w:r>
    </w:p>
    <w:p w14:paraId="417FFF41" w14:textId="77777777" w:rsidR="00924FED" w:rsidRDefault="00000000">
      <w:pPr>
        <w:spacing w:before="240" w:after="120"/>
      </w:pPr>
      <w:r>
        <w:rPr>
          <w:rFonts w:ascii="ＭＳ ゴシック" w:eastAsia="ＭＳ ゴシック" w:hAnsi="ＭＳ ゴシック" w:cs="ＭＳ ゴシック"/>
          <w:b/>
          <w:bCs/>
          <w:sz w:val="22"/>
          <w:szCs w:val="22"/>
        </w:rPr>
        <w:t>第2条（適用範囲）</w:t>
      </w:r>
    </w:p>
    <w:p w14:paraId="563D7A65" w14:textId="77777777" w:rsidR="00924FED" w:rsidRDefault="5756121F">
      <w:pPr>
        <w:spacing w:after="120"/>
      </w:pPr>
      <w:r w:rsidRPr="5756121F">
        <w:t>本規程は、以下に該当するすべての文書及びその作成プロセスに適用する。</w:t>
      </w:r>
    </w:p>
    <w:p w14:paraId="7065922F" w14:textId="77777777" w:rsidR="00924FED" w:rsidRDefault="00000000">
      <w:pPr>
        <w:spacing w:after="120"/>
        <w:ind w:left="360"/>
      </w:pPr>
      <w:r>
        <w:t>（1）個別銘柄に関するリサーチレポート</w:t>
      </w:r>
    </w:p>
    <w:p w14:paraId="1DFFE781" w14:textId="77777777" w:rsidR="00924FED" w:rsidRDefault="00000000">
      <w:pPr>
        <w:spacing w:after="120"/>
        <w:ind w:left="360"/>
      </w:pPr>
      <w:r>
        <w:t>（2）セクターレポート</w:t>
      </w:r>
    </w:p>
    <w:p w14:paraId="0158D2E4" w14:textId="77777777" w:rsidR="00924FED" w:rsidRDefault="00000000">
      <w:pPr>
        <w:spacing w:after="120"/>
        <w:ind w:left="360"/>
      </w:pPr>
      <w:r>
        <w:t>（3）マクロ経済レポート</w:t>
      </w:r>
    </w:p>
    <w:p w14:paraId="621B18CE" w14:textId="77777777" w:rsidR="00924FED" w:rsidRDefault="00000000">
      <w:pPr>
        <w:spacing w:after="120"/>
        <w:ind w:left="360"/>
      </w:pPr>
      <w:r>
        <w:t>（4）速報レポート（フラッシュレポート）</w:t>
      </w:r>
    </w:p>
    <w:p w14:paraId="017DC83E" w14:textId="77777777" w:rsidR="00924FED" w:rsidRDefault="00000000">
      <w:pPr>
        <w:spacing w:after="120"/>
        <w:ind w:left="360"/>
      </w:pPr>
      <w:r>
        <w:t>（5）その他、投資判断に影響を与え得る分析・情報提供文書</w:t>
      </w:r>
    </w:p>
    <w:p w14:paraId="15330DCB" w14:textId="77777777" w:rsidR="00924FED" w:rsidRDefault="00000000">
      <w:pPr>
        <w:spacing w:before="240" w:after="120"/>
      </w:pPr>
      <w:r>
        <w:rPr>
          <w:rFonts w:ascii="ＭＳ ゴシック" w:eastAsia="ＭＳ ゴシック" w:hAnsi="ＭＳ ゴシック" w:cs="ＭＳ ゴシック"/>
          <w:b/>
          <w:bCs/>
          <w:sz w:val="22"/>
          <w:szCs w:val="22"/>
        </w:rPr>
        <w:t>第3条（用語の定義）</w:t>
      </w:r>
    </w:p>
    <w:p w14:paraId="373BA513" w14:textId="77777777" w:rsidR="00924FED" w:rsidRDefault="5756121F">
      <w:pPr>
        <w:spacing w:after="120"/>
      </w:pPr>
      <w:r w:rsidRPr="5756121F">
        <w:t>本規程において、次の各号に掲げる用語の定義は、当該各号に定めるところによる。</w:t>
      </w:r>
    </w:p>
    <w:p w14:paraId="4F8633BE" w14:textId="77777777" w:rsidR="00924FED" w:rsidRDefault="5756121F">
      <w:pPr>
        <w:spacing w:after="120"/>
        <w:ind w:left="360"/>
      </w:pPr>
      <w:r w:rsidRPr="5756121F">
        <w:t>（1）「アナリスト」とは、リサーチ部門に所属し、レポートの作成に従事する者をいう。</w:t>
      </w:r>
    </w:p>
    <w:p w14:paraId="529C0694" w14:textId="77777777" w:rsidR="00924FED" w:rsidRDefault="5756121F">
      <w:pPr>
        <w:spacing w:after="120"/>
        <w:ind w:left="360"/>
      </w:pPr>
      <w:r w:rsidRPr="5756121F">
        <w:t>（2）「カバレッジ銘柄」とは、アナリストが継続的に調査・分析の対象としている銘柄をいう。</w:t>
      </w:r>
    </w:p>
    <w:p w14:paraId="102075EC" w14:textId="77777777" w:rsidR="00924FED" w:rsidRDefault="5756121F">
      <w:pPr>
        <w:spacing w:after="120"/>
        <w:ind w:left="360"/>
      </w:pPr>
      <w:r w:rsidRPr="5756121F">
        <w:t>（3）「禁止銘柄」とは、利益相反その他の理由により、レポート作成が禁止されている銘柄をいう。</w:t>
      </w:r>
    </w:p>
    <w:p w14:paraId="7EF9CDB3" w14:textId="77777777" w:rsidR="00924FED" w:rsidRDefault="00000000">
      <w:pPr>
        <w:spacing w:after="120"/>
        <w:ind w:left="360"/>
      </w:pPr>
      <w:r>
        <w:t>（4）「重要事実」とは、金融商品取引法第166条に規定する重要事実をいう。</w:t>
      </w:r>
    </w:p>
    <w:p w14:paraId="0A1771B5" w14:textId="77777777" w:rsidR="00924FED" w:rsidRDefault="00000000">
      <w:pPr>
        <w:spacing w:after="120"/>
        <w:ind w:left="360"/>
      </w:pPr>
      <w:r>
        <w:lastRenderedPageBreak/>
        <w:t>（5）「法人関係情報」とは、金融商品取引法第163条に規定する情報をいう。</w:t>
      </w:r>
    </w:p>
    <w:p w14:paraId="5A39BBE3" w14:textId="77777777" w:rsidR="00924FED" w:rsidRDefault="00000000">
      <w:r>
        <w:br w:type="page"/>
      </w:r>
    </w:p>
    <w:p w14:paraId="3BF57C43" w14:textId="77777777" w:rsidR="00924FED" w:rsidRDefault="5756121F" w:rsidP="5756121F">
      <w:pPr>
        <w:spacing w:before="360" w:after="240"/>
        <w:rPr>
          <w:rFonts w:ascii="ＭＳ ゴシック" w:eastAsia="ＭＳ ゴシック" w:hAnsi="ＭＳ ゴシック" w:cs="ＭＳ ゴシック"/>
          <w:b/>
          <w:bCs/>
          <w:sz w:val="28"/>
          <w:szCs w:val="28"/>
        </w:rPr>
      </w:pPr>
      <w:r w:rsidRPr="5756121F">
        <w:rPr>
          <w:rFonts w:ascii="ＭＳ ゴシック" w:eastAsia="ＭＳ ゴシック" w:hAnsi="ＭＳ ゴシック" w:cs="ＭＳ ゴシック"/>
          <w:b/>
          <w:bCs/>
          <w:sz w:val="28"/>
          <w:szCs w:val="28"/>
        </w:rPr>
        <w:lastRenderedPageBreak/>
        <w:t>第2章　レポート作成基準</w:t>
      </w:r>
    </w:p>
    <w:p w14:paraId="54394601" w14:textId="77777777" w:rsidR="00924FED" w:rsidRDefault="00000000">
      <w:pPr>
        <w:spacing w:before="240" w:after="120"/>
      </w:pPr>
      <w:r>
        <w:rPr>
          <w:rFonts w:ascii="ＭＳ ゴシック" w:eastAsia="ＭＳ ゴシック" w:hAnsi="ＭＳ ゴシック" w:cs="ＭＳ ゴシック"/>
          <w:b/>
          <w:bCs/>
          <w:sz w:val="22"/>
          <w:szCs w:val="22"/>
        </w:rPr>
        <w:t>第4条（客観性の確保）</w:t>
      </w:r>
    </w:p>
    <w:p w14:paraId="0EB118D9" w14:textId="77777777" w:rsidR="00924FED" w:rsidRDefault="00000000">
      <w:pPr>
        <w:spacing w:after="120"/>
        <w:ind w:left="360"/>
      </w:pPr>
      <w:r>
        <w:t>（1）レポートは、客観的なデータ及び合理的な分析に基づいて作成しなければならない。</w:t>
      </w:r>
    </w:p>
    <w:p w14:paraId="52320CAE" w14:textId="77777777" w:rsidR="00924FED" w:rsidRDefault="00000000">
      <w:pPr>
        <w:spacing w:after="120"/>
        <w:ind w:left="360"/>
      </w:pPr>
      <w:r>
        <w:t>（2）投資判断の根拠となる数値データは、公表された情報源から取得し、その出典を明示しなければならない。</w:t>
      </w:r>
    </w:p>
    <w:p w14:paraId="4EFE3EE5" w14:textId="77777777" w:rsidR="00924FED" w:rsidRDefault="00000000">
      <w:pPr>
        <w:spacing w:after="120"/>
        <w:ind w:left="360"/>
      </w:pPr>
      <w:r>
        <w:t>（3）業績予想及び目標株価の算出過程を明確に記載しなければならない。</w:t>
      </w:r>
    </w:p>
    <w:p w14:paraId="62BEDF27" w14:textId="77777777" w:rsidR="00924FED" w:rsidRDefault="00000000">
      <w:pPr>
        <w:spacing w:before="240" w:after="120"/>
      </w:pPr>
      <w:r>
        <w:rPr>
          <w:rFonts w:ascii="ＭＳ ゴシック" w:eastAsia="ＭＳ ゴシック" w:hAnsi="ＭＳ ゴシック" w:cs="ＭＳ ゴシック"/>
          <w:b/>
          <w:bCs/>
          <w:sz w:val="22"/>
          <w:szCs w:val="22"/>
        </w:rPr>
        <w:t>第5条（記載必須事項）</w:t>
      </w:r>
    </w:p>
    <w:p w14:paraId="0BA19FA2" w14:textId="77777777" w:rsidR="00924FED" w:rsidRDefault="5756121F">
      <w:pPr>
        <w:spacing w:after="120"/>
      </w:pPr>
      <w:r w:rsidRPr="5756121F">
        <w:t>レポートには、以下の事項を必ず記載しなければならない。</w:t>
      </w:r>
    </w:p>
    <w:p w14:paraId="638FE6D6" w14:textId="77777777" w:rsidR="00924FED" w:rsidRDefault="00000000">
      <w:pPr>
        <w:spacing w:after="120"/>
        <w:ind w:left="360"/>
      </w:pPr>
      <w:r>
        <w:t>（1）作成日及び作成者名</w:t>
      </w:r>
    </w:p>
    <w:p w14:paraId="7FA4D0E9" w14:textId="77777777" w:rsidR="00924FED" w:rsidRDefault="00000000">
      <w:pPr>
        <w:spacing w:after="120"/>
        <w:ind w:left="360"/>
      </w:pPr>
      <w:r>
        <w:t>（2）対象銘柄の基本情報（銘柄コード、市場区分、業種）</w:t>
      </w:r>
    </w:p>
    <w:p w14:paraId="3B1EF461" w14:textId="77777777" w:rsidR="00924FED" w:rsidRDefault="00000000">
      <w:pPr>
        <w:spacing w:after="120"/>
        <w:ind w:left="360"/>
      </w:pPr>
      <w:r>
        <w:t>（3）投資評価（レーティング）及びその定義</w:t>
      </w:r>
    </w:p>
    <w:p w14:paraId="6A4CA778" w14:textId="77777777" w:rsidR="00924FED" w:rsidRDefault="00000000">
      <w:pPr>
        <w:spacing w:after="120"/>
        <w:ind w:left="360"/>
      </w:pPr>
      <w:r>
        <w:t>（4）目標株価及びその算出根拠</w:t>
      </w:r>
    </w:p>
    <w:p w14:paraId="0F57EF15" w14:textId="77777777" w:rsidR="00924FED" w:rsidRDefault="00000000">
      <w:pPr>
        <w:spacing w:after="120"/>
        <w:ind w:left="360"/>
      </w:pPr>
      <w:r>
        <w:t>（5）リスク要因</w:t>
      </w:r>
    </w:p>
    <w:p w14:paraId="45B6054E" w14:textId="77777777" w:rsidR="00924FED" w:rsidRDefault="00000000">
      <w:pPr>
        <w:spacing w:after="120"/>
        <w:ind w:left="360"/>
      </w:pPr>
      <w:r>
        <w:t>（6）利益相反に関する開示事項（第8条に定める事項）</w:t>
      </w:r>
    </w:p>
    <w:p w14:paraId="1905C012" w14:textId="77777777" w:rsidR="00924FED" w:rsidRDefault="00000000">
      <w:pPr>
        <w:spacing w:after="120"/>
        <w:ind w:left="360"/>
      </w:pPr>
      <w:r>
        <w:t>（7）免責事項（当社所定の文言）</w:t>
      </w:r>
    </w:p>
    <w:p w14:paraId="3FDF04D7" w14:textId="77777777" w:rsidR="00924FED" w:rsidRDefault="00000000">
      <w:pPr>
        <w:spacing w:after="120"/>
        <w:ind w:left="360"/>
      </w:pPr>
      <w:r>
        <w:t>（8）過去のレーティング変更履歴（直近2年分）</w:t>
      </w:r>
    </w:p>
    <w:p w14:paraId="5C6CC252" w14:textId="77777777" w:rsidR="00924FED" w:rsidRDefault="00000000">
      <w:pPr>
        <w:spacing w:before="240" w:after="120"/>
      </w:pPr>
      <w:r>
        <w:rPr>
          <w:rFonts w:ascii="ＭＳ ゴシック" w:eastAsia="ＭＳ ゴシック" w:hAnsi="ＭＳ ゴシック" w:cs="ＭＳ ゴシック"/>
          <w:b/>
          <w:bCs/>
          <w:sz w:val="22"/>
          <w:szCs w:val="22"/>
        </w:rPr>
        <w:t>第6条（禁止事項）</w:t>
      </w:r>
    </w:p>
    <w:p w14:paraId="4FE4A4AA" w14:textId="77777777" w:rsidR="00924FED" w:rsidRDefault="5756121F">
      <w:pPr>
        <w:spacing w:after="120"/>
      </w:pPr>
      <w:r w:rsidRPr="5756121F">
        <w:t>アナリストは、レポートにおいて以下の行為を行ってはならない。</w:t>
      </w:r>
    </w:p>
    <w:p w14:paraId="3851E281" w14:textId="77777777" w:rsidR="00924FED" w:rsidRDefault="00000000">
      <w:pPr>
        <w:spacing w:after="120"/>
        <w:ind w:left="360"/>
      </w:pPr>
      <w:r>
        <w:t>（1）虚偽の情報又は誤解を招く表現を記載すること</w:t>
      </w:r>
    </w:p>
    <w:p w14:paraId="2E80315C" w14:textId="77777777" w:rsidR="00924FED" w:rsidRDefault="00000000">
      <w:pPr>
        <w:spacing w:after="120"/>
        <w:ind w:left="360"/>
      </w:pPr>
      <w:r>
        <w:t>（2）未公表の重要事実又は法人関係情報に基づく分析を行うこと</w:t>
      </w:r>
    </w:p>
    <w:p w14:paraId="34D908B7" w14:textId="77777777" w:rsidR="00924FED" w:rsidRDefault="00000000">
      <w:pPr>
        <w:spacing w:after="120"/>
        <w:ind w:left="360"/>
      </w:pPr>
      <w:r>
        <w:t>（3）特定の投資家に有利又は不利となる情報を意図的に記載し、又は省略すること</w:t>
      </w:r>
    </w:p>
    <w:p w14:paraId="20AFD1DB" w14:textId="77777777" w:rsidR="00924FED" w:rsidRDefault="00000000">
      <w:pPr>
        <w:spacing w:after="120"/>
        <w:ind w:left="360"/>
      </w:pPr>
      <w:r>
        <w:t>（4）当社又は当社グループの利益を図る目的でレーティングを変更すること</w:t>
      </w:r>
    </w:p>
    <w:p w14:paraId="334E85EF" w14:textId="77777777" w:rsidR="00924FED" w:rsidRDefault="00000000">
      <w:pPr>
        <w:spacing w:after="120"/>
        <w:ind w:left="360"/>
      </w:pPr>
      <w:r>
        <w:t>（5）根拠なく極端に楽観的又は悲観的な業績予想を記載すること</w:t>
      </w:r>
    </w:p>
    <w:p w14:paraId="41C8F396" w14:textId="77777777" w:rsidR="00924FED" w:rsidRDefault="00000000">
      <w:r>
        <w:br w:type="page"/>
      </w:r>
    </w:p>
    <w:p w14:paraId="52FA1989" w14:textId="77777777" w:rsidR="00924FED" w:rsidRDefault="5756121F" w:rsidP="5756121F">
      <w:pPr>
        <w:spacing w:before="360" w:after="240"/>
        <w:rPr>
          <w:rFonts w:ascii="ＭＳ ゴシック" w:eastAsia="ＭＳ ゴシック" w:hAnsi="ＭＳ ゴシック" w:cs="ＭＳ ゴシック"/>
          <w:b/>
          <w:bCs/>
          <w:sz w:val="28"/>
          <w:szCs w:val="28"/>
        </w:rPr>
      </w:pPr>
      <w:r w:rsidRPr="5756121F">
        <w:rPr>
          <w:rFonts w:ascii="ＭＳ ゴシック" w:eastAsia="ＭＳ ゴシック" w:hAnsi="ＭＳ ゴシック" w:cs="ＭＳ ゴシック"/>
          <w:b/>
          <w:bCs/>
          <w:sz w:val="28"/>
          <w:szCs w:val="28"/>
        </w:rPr>
        <w:lastRenderedPageBreak/>
        <w:t>第3章　利益相反管理</w:t>
      </w:r>
    </w:p>
    <w:p w14:paraId="73255F4D" w14:textId="77777777" w:rsidR="00924FED" w:rsidRDefault="00000000">
      <w:pPr>
        <w:spacing w:before="240" w:after="120"/>
      </w:pPr>
      <w:r>
        <w:rPr>
          <w:rFonts w:ascii="ＭＳ ゴシック" w:eastAsia="ＭＳ ゴシック" w:hAnsi="ＭＳ ゴシック" w:cs="ＭＳ ゴシック"/>
          <w:b/>
          <w:bCs/>
          <w:sz w:val="22"/>
          <w:szCs w:val="22"/>
        </w:rPr>
        <w:t>第7条（利益相反の特定）</w:t>
      </w:r>
    </w:p>
    <w:p w14:paraId="2C89D820" w14:textId="77777777" w:rsidR="00924FED" w:rsidRDefault="5756121F">
      <w:pPr>
        <w:spacing w:after="120"/>
      </w:pPr>
      <w:r w:rsidRPr="5756121F">
        <w:t>コンプライアンス統括部は、以下の利益相反の類型を特定し、管理しなければならない。</w:t>
      </w:r>
    </w:p>
    <w:p w14:paraId="461643B5" w14:textId="77777777" w:rsidR="00924FED" w:rsidRDefault="00000000">
      <w:pPr>
        <w:spacing w:after="120"/>
        <w:ind w:left="360"/>
      </w:pPr>
      <w:r>
        <w:t>（1）当社の投資銀行部門がカバレッジ銘柄の発行体と取引関係にある場合</w:t>
      </w:r>
    </w:p>
    <w:p w14:paraId="1F91181B" w14:textId="77777777" w:rsidR="00924FED" w:rsidRDefault="00000000">
      <w:pPr>
        <w:spacing w:after="120"/>
        <w:ind w:left="360"/>
      </w:pPr>
      <w:r>
        <w:t>（2）当社の自己売買部門がカバレッジ銘柄を保有している場合</w:t>
      </w:r>
    </w:p>
    <w:p w14:paraId="5A11D2EC" w14:textId="77777777" w:rsidR="00924FED" w:rsidRDefault="00000000">
      <w:pPr>
        <w:spacing w:after="120"/>
        <w:ind w:left="360"/>
      </w:pPr>
      <w:r>
        <w:t>（3）アナリスト自身又はその親族がカバレッジ銘柄を保有している場合</w:t>
      </w:r>
    </w:p>
    <w:p w14:paraId="71805955" w14:textId="77777777" w:rsidR="00924FED" w:rsidRDefault="00000000">
      <w:pPr>
        <w:spacing w:after="120"/>
        <w:ind w:left="360"/>
      </w:pPr>
      <w:r>
        <w:t>（4）当社がカバレッジ銘柄の株主である場合</w:t>
      </w:r>
    </w:p>
    <w:p w14:paraId="0C1E4348" w14:textId="77777777" w:rsidR="00924FED" w:rsidRDefault="00000000">
      <w:pPr>
        <w:spacing w:before="240" w:after="120"/>
      </w:pPr>
      <w:r>
        <w:rPr>
          <w:rFonts w:ascii="ＭＳ ゴシック" w:eastAsia="ＭＳ ゴシック" w:hAnsi="ＭＳ ゴシック" w:cs="ＭＳ ゴシック"/>
          <w:b/>
          <w:bCs/>
          <w:sz w:val="22"/>
          <w:szCs w:val="22"/>
        </w:rPr>
        <w:t>第8条（利益相反の開示）</w:t>
      </w:r>
    </w:p>
    <w:p w14:paraId="56D40FD3" w14:textId="77777777" w:rsidR="00924FED" w:rsidRDefault="5756121F">
      <w:pPr>
        <w:spacing w:after="120"/>
      </w:pPr>
      <w:r w:rsidRPr="5756121F">
        <w:t>前条に該当する場合、レポートに以下の開示を行わなければならない。</w:t>
      </w:r>
    </w:p>
    <w:p w14:paraId="7C5852EB" w14:textId="77777777" w:rsidR="00924FED" w:rsidRDefault="00000000">
      <w:pPr>
        <w:spacing w:after="120"/>
        <w:ind w:left="360"/>
      </w:pPr>
      <w:r>
        <w:t>（1）取引関係の有無及びその概要</w:t>
      </w:r>
    </w:p>
    <w:p w14:paraId="2E0D0BB4" w14:textId="77777777" w:rsidR="00924FED" w:rsidRDefault="00000000">
      <w:pPr>
        <w:spacing w:after="120"/>
        <w:ind w:left="360"/>
      </w:pPr>
      <w:r>
        <w:t>（2）当社グループによる株式保有の有無</w:t>
      </w:r>
    </w:p>
    <w:p w14:paraId="75158E95" w14:textId="77777777" w:rsidR="00924FED" w:rsidRDefault="00000000">
      <w:pPr>
        <w:spacing w:after="120"/>
        <w:ind w:left="360"/>
      </w:pPr>
      <w:r>
        <w:t>（3）その他、投資家の判断に重要な影響を与える可能性のある事項</w:t>
      </w:r>
    </w:p>
    <w:p w14:paraId="147263FE" w14:textId="77777777" w:rsidR="00924FED" w:rsidRDefault="00000000">
      <w:pPr>
        <w:spacing w:before="240" w:after="120"/>
      </w:pPr>
      <w:r>
        <w:rPr>
          <w:rFonts w:ascii="ＭＳ ゴシック" w:eastAsia="ＭＳ ゴシック" w:hAnsi="ＭＳ ゴシック" w:cs="ＭＳ ゴシック"/>
          <w:b/>
          <w:bCs/>
          <w:sz w:val="22"/>
          <w:szCs w:val="22"/>
        </w:rPr>
        <w:t>第9条（禁止銘柄リスト）</w:t>
      </w:r>
    </w:p>
    <w:p w14:paraId="35640303" w14:textId="77777777" w:rsidR="00924FED" w:rsidRDefault="00000000">
      <w:pPr>
        <w:spacing w:after="120"/>
        <w:ind w:left="360"/>
      </w:pPr>
      <w:r>
        <w:t>（1）コンプライアンス統括部は、レポート作成が禁止される銘柄のリスト（以下「禁止銘柄リスト」という）を作成し、毎週月曜日に更新・配信するものとする。</w:t>
      </w:r>
    </w:p>
    <w:p w14:paraId="5D64A8B3" w14:textId="77777777" w:rsidR="00924FED" w:rsidRDefault="00000000">
      <w:pPr>
        <w:spacing w:after="120"/>
        <w:ind w:left="360"/>
      </w:pPr>
      <w:r>
        <w:t>（2）アナリストは、レポート作成前に必ず最新の禁止銘柄リストを確認しなければならない。</w:t>
      </w:r>
    </w:p>
    <w:p w14:paraId="4D8ED1CC" w14:textId="77777777" w:rsidR="00924FED" w:rsidRDefault="00000000">
      <w:pPr>
        <w:spacing w:after="120"/>
        <w:ind w:left="360"/>
      </w:pPr>
      <w:r>
        <w:t>（3）禁止銘柄リストに掲載された銘柄については、いかなる分析・評価も行ってはならない。</w:t>
      </w:r>
    </w:p>
    <w:p w14:paraId="3CA7586B" w14:textId="77777777" w:rsidR="00924FED" w:rsidRDefault="00000000">
      <w:pPr>
        <w:spacing w:after="120"/>
        <w:ind w:left="360"/>
      </w:pPr>
      <w:r>
        <w:t>（4）禁止銘柄リストの掲載理由は、Need-to-Know原則に基づき、必要最小限の者にのみ開示する。</w:t>
      </w:r>
    </w:p>
    <w:p w14:paraId="72A3D3EC" w14:textId="77777777" w:rsidR="00924FED" w:rsidRDefault="00000000">
      <w:r>
        <w:br w:type="page"/>
      </w:r>
    </w:p>
    <w:p w14:paraId="203758B8" w14:textId="77777777" w:rsidR="00924FED" w:rsidRDefault="5756121F" w:rsidP="5756121F">
      <w:pPr>
        <w:spacing w:before="360" w:after="240"/>
        <w:rPr>
          <w:rFonts w:ascii="ＭＳ ゴシック" w:eastAsia="ＭＳ ゴシック" w:hAnsi="ＭＳ ゴシック" w:cs="ＭＳ ゴシック"/>
          <w:b/>
          <w:bCs/>
          <w:sz w:val="28"/>
          <w:szCs w:val="28"/>
        </w:rPr>
      </w:pPr>
      <w:r w:rsidRPr="5756121F">
        <w:rPr>
          <w:rFonts w:ascii="ＭＳ ゴシック" w:eastAsia="ＭＳ ゴシック" w:hAnsi="ＭＳ ゴシック" w:cs="ＭＳ ゴシック"/>
          <w:b/>
          <w:bCs/>
          <w:sz w:val="28"/>
          <w:szCs w:val="28"/>
        </w:rPr>
        <w:lastRenderedPageBreak/>
        <w:t>第4章　インサイダー取引防止</w:t>
      </w:r>
    </w:p>
    <w:p w14:paraId="705009AE" w14:textId="77777777" w:rsidR="00924FED" w:rsidRDefault="00000000">
      <w:pPr>
        <w:spacing w:before="240" w:after="120"/>
      </w:pPr>
      <w:r>
        <w:rPr>
          <w:rFonts w:ascii="ＭＳ ゴシック" w:eastAsia="ＭＳ ゴシック" w:hAnsi="ＭＳ ゴシック" w:cs="ＭＳ ゴシック"/>
          <w:b/>
          <w:bCs/>
          <w:sz w:val="22"/>
          <w:szCs w:val="22"/>
        </w:rPr>
        <w:t>第10条（重要事実の管理）</w:t>
      </w:r>
    </w:p>
    <w:p w14:paraId="45B4568D" w14:textId="77777777" w:rsidR="00924FED" w:rsidRDefault="00000000">
      <w:pPr>
        <w:spacing w:after="120"/>
        <w:ind w:left="360"/>
      </w:pPr>
      <w:r>
        <w:t>（1）アナリストがIR面談その他の情報収集活動を通じて、未公表の重要事実又は法人関係情報を取得した場合、直ちにコンプライアンス統括部に報告しなければならない。</w:t>
      </w:r>
    </w:p>
    <w:p w14:paraId="4340270B" w14:textId="77777777" w:rsidR="00924FED" w:rsidRDefault="00000000">
      <w:pPr>
        <w:spacing w:after="120"/>
        <w:ind w:left="360"/>
      </w:pPr>
      <w:r>
        <w:t>（2）前項の報告を受けた場合、コンプライアンス統括部は当該銘柄を禁止銘柄リストに追加する措置を講じるものとする。</w:t>
      </w:r>
    </w:p>
    <w:p w14:paraId="5D23BC58" w14:textId="77777777" w:rsidR="00924FED" w:rsidRDefault="00000000">
      <w:pPr>
        <w:spacing w:before="240" w:after="120"/>
      </w:pPr>
      <w:r>
        <w:rPr>
          <w:rFonts w:ascii="ＭＳ ゴシック" w:eastAsia="ＭＳ ゴシック" w:hAnsi="ＭＳ ゴシック" w:cs="ＭＳ ゴシック"/>
          <w:b/>
          <w:bCs/>
          <w:sz w:val="22"/>
          <w:szCs w:val="22"/>
        </w:rPr>
        <w:t>第11条（情報隔壁（チャイニーズウォール））</w:t>
      </w:r>
    </w:p>
    <w:p w14:paraId="57AFFAEB" w14:textId="77777777" w:rsidR="00924FED" w:rsidRDefault="00000000">
      <w:pPr>
        <w:spacing w:after="120"/>
        <w:ind w:left="360"/>
      </w:pPr>
      <w:r>
        <w:t>（1）リサーチ部門と投資銀行部門、自己売買部門との間には、情報隔壁を設置し、法人関係情報の不正な流通を防止する。</w:t>
      </w:r>
    </w:p>
    <w:p w14:paraId="42C626F7" w14:textId="77777777" w:rsidR="00924FED" w:rsidRDefault="00000000">
      <w:pPr>
        <w:spacing w:after="120"/>
        <w:ind w:left="360"/>
      </w:pPr>
      <w:r>
        <w:t>（2）情報隔壁を越えた情報共有が業務上必要な場合は、コンプライアンス統括部の事前承認を得なければならない。</w:t>
      </w:r>
    </w:p>
    <w:p w14:paraId="0899FA72" w14:textId="77777777" w:rsidR="00924FED" w:rsidRDefault="00000000">
      <w:pPr>
        <w:spacing w:before="240" w:after="120"/>
      </w:pPr>
      <w:r>
        <w:rPr>
          <w:rFonts w:ascii="ＭＳ ゴシック" w:eastAsia="ＭＳ ゴシック" w:hAnsi="ＭＳ ゴシック" w:cs="ＭＳ ゴシック"/>
          <w:b/>
          <w:bCs/>
          <w:sz w:val="22"/>
          <w:szCs w:val="22"/>
        </w:rPr>
        <w:t>第12条（売買制限）</w:t>
      </w:r>
    </w:p>
    <w:p w14:paraId="4C10DF01" w14:textId="77777777" w:rsidR="00924FED" w:rsidRDefault="00000000">
      <w:pPr>
        <w:spacing w:after="120"/>
        <w:ind w:left="360"/>
      </w:pPr>
      <w:r>
        <w:t>（1）アナリストは、自己のカバレッジ銘柄の売買を行ってはならない。</w:t>
      </w:r>
    </w:p>
    <w:p w14:paraId="58B5074A" w14:textId="77777777" w:rsidR="00924FED" w:rsidRDefault="00000000">
      <w:pPr>
        <w:spacing w:after="120"/>
        <w:ind w:left="360"/>
      </w:pPr>
      <w:r>
        <w:t>（2）アナリストは、レポート公表前30日間は、レーティング変更対象銘柄の親族口座における売買を行ってはならない。</w:t>
      </w:r>
    </w:p>
    <w:p w14:paraId="0D0B940D" w14:textId="77777777" w:rsidR="00924FED" w:rsidRDefault="00000000">
      <w:r>
        <w:br w:type="page"/>
      </w:r>
    </w:p>
    <w:p w14:paraId="245DF1D3" w14:textId="77777777" w:rsidR="00924FED" w:rsidRDefault="5756121F" w:rsidP="5756121F">
      <w:pPr>
        <w:spacing w:before="360" w:after="240"/>
        <w:rPr>
          <w:rFonts w:ascii="ＭＳ ゴシック" w:eastAsia="ＭＳ ゴシック" w:hAnsi="ＭＳ ゴシック" w:cs="ＭＳ ゴシック"/>
          <w:b/>
          <w:bCs/>
          <w:sz w:val="28"/>
          <w:szCs w:val="28"/>
        </w:rPr>
      </w:pPr>
      <w:r w:rsidRPr="5756121F">
        <w:rPr>
          <w:rFonts w:ascii="ＭＳ ゴシック" w:eastAsia="ＭＳ ゴシック" w:hAnsi="ＭＳ ゴシック" w:cs="ＭＳ ゴシック"/>
          <w:b/>
          <w:bCs/>
          <w:sz w:val="28"/>
          <w:szCs w:val="28"/>
        </w:rPr>
        <w:lastRenderedPageBreak/>
        <w:t>第5章　レポート公表前手続</w:t>
      </w:r>
    </w:p>
    <w:p w14:paraId="4BC1D156" w14:textId="77777777" w:rsidR="00924FED" w:rsidRDefault="00000000">
      <w:pPr>
        <w:spacing w:before="240" w:after="120"/>
      </w:pPr>
      <w:r>
        <w:rPr>
          <w:rFonts w:ascii="ＭＳ ゴシック" w:eastAsia="ＭＳ ゴシック" w:hAnsi="ＭＳ ゴシック" w:cs="ＭＳ ゴシック"/>
          <w:b/>
          <w:bCs/>
          <w:sz w:val="22"/>
          <w:szCs w:val="22"/>
        </w:rPr>
        <w:t>第13条（事前レビュー）</w:t>
      </w:r>
    </w:p>
    <w:p w14:paraId="22EEBC03" w14:textId="77777777" w:rsidR="00924FED" w:rsidRDefault="00000000">
      <w:pPr>
        <w:spacing w:after="120"/>
        <w:ind w:left="360"/>
      </w:pPr>
      <w:r>
        <w:t>（1）レポートは、公表前に以下のレビューを受けなければならない。</w:t>
      </w:r>
    </w:p>
    <w:p w14:paraId="5233E95C" w14:textId="77777777" w:rsidR="00924FED" w:rsidRDefault="5756121F">
      <w:pPr>
        <w:spacing w:after="120"/>
        <w:ind w:left="720"/>
      </w:pPr>
      <w:r w:rsidRPr="5756121F">
        <w:t>ア．リサーチ部門長による内容レビュー（事実関係、分析の妥当性）</w:t>
      </w:r>
    </w:p>
    <w:p w14:paraId="21859C8B" w14:textId="77777777" w:rsidR="00924FED" w:rsidRDefault="5756121F">
      <w:pPr>
        <w:spacing w:after="120"/>
        <w:ind w:left="720"/>
      </w:pPr>
      <w:r w:rsidRPr="5756121F">
        <w:t>イ．コンプライアンス統括部によるコンプライアンスレビュー</w:t>
      </w:r>
    </w:p>
    <w:p w14:paraId="39EA662A" w14:textId="77777777" w:rsidR="00924FED" w:rsidRDefault="00000000">
      <w:pPr>
        <w:spacing w:after="120"/>
        <w:ind w:left="360"/>
      </w:pPr>
      <w:r>
        <w:t>（2）レビュー結果は、レポート管理システムに記録するものとする。</w:t>
      </w:r>
    </w:p>
    <w:p w14:paraId="18A2623E" w14:textId="77777777" w:rsidR="00924FED" w:rsidRDefault="00000000">
      <w:pPr>
        <w:spacing w:before="240" w:after="120"/>
      </w:pPr>
      <w:r>
        <w:rPr>
          <w:rFonts w:ascii="ＭＳ ゴシック" w:eastAsia="ＭＳ ゴシック" w:hAnsi="ＭＳ ゴシック" w:cs="ＭＳ ゴシック"/>
          <w:b/>
          <w:bCs/>
          <w:sz w:val="22"/>
          <w:szCs w:val="22"/>
        </w:rPr>
        <w:t>第14条（コンプライアンスチェックリスト）</w:t>
      </w:r>
    </w:p>
    <w:p w14:paraId="4A4D77F6" w14:textId="77777777" w:rsidR="00924FED" w:rsidRDefault="5756121F">
      <w:pPr>
        <w:spacing w:after="120"/>
      </w:pPr>
      <w:r w:rsidRPr="5756121F">
        <w:t>コンプライアンスレビューにおいては、以下の項目を確認しなければならない。</w:t>
      </w:r>
    </w:p>
    <w:p w14:paraId="572B3BCD" w14:textId="77777777" w:rsidR="00924FED" w:rsidRDefault="5756121F" w:rsidP="5756121F">
      <w:pPr>
        <w:spacing w:after="120"/>
        <w:ind w:left="360"/>
      </w:pPr>
      <w:r w:rsidRPr="5756121F">
        <w:t>（1）禁止銘柄リストとの照合 → 禁止銘柄に該当しないこと</w:t>
      </w:r>
    </w:p>
    <w:p w14:paraId="7A173F0D" w14:textId="77777777" w:rsidR="00924FED" w:rsidRDefault="5756121F" w:rsidP="5756121F">
      <w:pPr>
        <w:spacing w:after="120"/>
        <w:ind w:left="360"/>
      </w:pPr>
      <w:r w:rsidRPr="5756121F">
        <w:t>（2）利益相反の確認 → 該当する場合は適切な開示がなされていること</w:t>
      </w:r>
    </w:p>
    <w:p w14:paraId="725DD682" w14:textId="77777777" w:rsidR="00924FED" w:rsidRDefault="00000000">
      <w:pPr>
        <w:spacing w:after="120"/>
        <w:ind w:left="360"/>
      </w:pPr>
      <w:r>
        <w:t>（3）記載必須事項の確認 → 第5条に定める事項がすべて記載されていること</w:t>
      </w:r>
    </w:p>
    <w:p w14:paraId="6906AFE7" w14:textId="77777777" w:rsidR="00924FED" w:rsidRDefault="5756121F" w:rsidP="5756121F">
      <w:pPr>
        <w:spacing w:after="120"/>
        <w:ind w:left="360"/>
      </w:pPr>
      <w:r w:rsidRPr="5756121F">
        <w:t>（4）未公表情報の確認 → 未公表の重要事実に基づく記述がないこと</w:t>
      </w:r>
    </w:p>
    <w:p w14:paraId="6B9F88B7" w14:textId="77777777" w:rsidR="00924FED" w:rsidRDefault="5756121F" w:rsidP="5756121F">
      <w:pPr>
        <w:spacing w:after="120"/>
        <w:ind w:left="360"/>
      </w:pPr>
      <w:r w:rsidRPr="5756121F">
        <w:t>（5）表現の適切性 → 断定的な表現、誤解を招く表現がないこと</w:t>
      </w:r>
    </w:p>
    <w:p w14:paraId="3B85D9CD" w14:textId="77777777" w:rsidR="00924FED" w:rsidRDefault="5756121F" w:rsidP="5756121F">
      <w:pPr>
        <w:spacing w:after="120"/>
        <w:ind w:left="360"/>
      </w:pPr>
      <w:r w:rsidRPr="5756121F">
        <w:t>（6）数値の正確性 → 引用データが公表情報と一致していること</w:t>
      </w:r>
    </w:p>
    <w:p w14:paraId="7A286D08" w14:textId="77777777" w:rsidR="00924FED" w:rsidRDefault="5756121F" w:rsidP="5756121F">
      <w:pPr>
        <w:spacing w:after="120"/>
        <w:ind w:left="360"/>
      </w:pPr>
      <w:r w:rsidRPr="5756121F">
        <w:t>（7）過去レポートとの整合性 → レーティング変更がある場合、その理由が明確であること</w:t>
      </w:r>
    </w:p>
    <w:p w14:paraId="6AA3E352" w14:textId="77777777" w:rsidR="00924FED" w:rsidRDefault="00000000">
      <w:pPr>
        <w:spacing w:before="240" w:after="120"/>
      </w:pPr>
      <w:r>
        <w:rPr>
          <w:rFonts w:ascii="ＭＳ ゴシック" w:eastAsia="ＭＳ ゴシック" w:hAnsi="ＭＳ ゴシック" w:cs="ＭＳ ゴシック"/>
          <w:b/>
          <w:bCs/>
          <w:sz w:val="22"/>
          <w:szCs w:val="22"/>
        </w:rPr>
        <w:t>第15条（配信手続）</w:t>
      </w:r>
    </w:p>
    <w:p w14:paraId="1BCFAF5F" w14:textId="77777777" w:rsidR="00924FED" w:rsidRDefault="00000000">
      <w:pPr>
        <w:spacing w:after="120"/>
        <w:ind w:left="360"/>
      </w:pPr>
      <w:r>
        <w:t>（1）コンプライアンスレビューの承認を得た後、所定の配信システムを通じて配信する。</w:t>
      </w:r>
    </w:p>
    <w:p w14:paraId="41D43563" w14:textId="77777777" w:rsidR="00924FED" w:rsidRDefault="00000000">
      <w:pPr>
        <w:spacing w:after="120"/>
        <w:ind w:left="360"/>
      </w:pPr>
      <w:r>
        <w:t>（2）配信は、全顧客に対し同時に行わなければならない。特定の顧客への事前提供は禁止する。</w:t>
      </w:r>
    </w:p>
    <w:p w14:paraId="33C6D06F" w14:textId="77777777" w:rsidR="00924FED" w:rsidRDefault="00000000">
      <w:pPr>
        <w:spacing w:after="120"/>
        <w:ind w:left="360"/>
      </w:pPr>
      <w:r>
        <w:t>（3）速報レポートについても、本条の手続を省略することはできない。ただし、コンプライアンス統括部が認めた場合は、簡易チェックリストによる確認をもって配信することができる。</w:t>
      </w:r>
    </w:p>
    <w:p w14:paraId="0E27B00A" w14:textId="77777777" w:rsidR="00924FED" w:rsidRDefault="00000000">
      <w:r>
        <w:br w:type="page"/>
      </w:r>
    </w:p>
    <w:p w14:paraId="1FDB72C9" w14:textId="77777777" w:rsidR="00924FED" w:rsidRDefault="5756121F" w:rsidP="5756121F">
      <w:pPr>
        <w:spacing w:before="360" w:after="240"/>
        <w:rPr>
          <w:rFonts w:ascii="ＭＳ ゴシック" w:eastAsia="ＭＳ ゴシック" w:hAnsi="ＭＳ ゴシック" w:cs="ＭＳ ゴシック"/>
          <w:b/>
          <w:bCs/>
          <w:sz w:val="28"/>
          <w:szCs w:val="28"/>
        </w:rPr>
      </w:pPr>
      <w:r w:rsidRPr="5756121F">
        <w:rPr>
          <w:rFonts w:ascii="ＭＳ ゴシック" w:eastAsia="ＭＳ ゴシック" w:hAnsi="ＭＳ ゴシック" w:cs="ＭＳ ゴシック"/>
          <w:b/>
          <w:bCs/>
          <w:sz w:val="28"/>
          <w:szCs w:val="28"/>
        </w:rPr>
        <w:lastRenderedPageBreak/>
        <w:t>第6章　記録保存及び監査</w:t>
      </w:r>
    </w:p>
    <w:p w14:paraId="61C4CA12" w14:textId="77777777" w:rsidR="00924FED" w:rsidRDefault="00000000">
      <w:pPr>
        <w:spacing w:before="240" w:after="120"/>
      </w:pPr>
      <w:r>
        <w:rPr>
          <w:rFonts w:ascii="ＭＳ ゴシック" w:eastAsia="ＭＳ ゴシック" w:hAnsi="ＭＳ ゴシック" w:cs="ＭＳ ゴシック"/>
          <w:b/>
          <w:bCs/>
          <w:sz w:val="22"/>
          <w:szCs w:val="22"/>
        </w:rPr>
        <w:t>第16条（記録の保存）</w:t>
      </w:r>
    </w:p>
    <w:p w14:paraId="4199E200" w14:textId="77777777" w:rsidR="00924FED" w:rsidRDefault="00000000">
      <w:pPr>
        <w:spacing w:after="120"/>
        <w:ind w:left="360"/>
      </w:pPr>
      <w:r>
        <w:t>（1）レポート及びその作成過程に関する記録は、以下の期間保存しなければならない。</w:t>
      </w:r>
    </w:p>
    <w:p w14:paraId="7F4243BC" w14:textId="77777777" w:rsidR="00924FED" w:rsidRDefault="00000000">
      <w:pPr>
        <w:spacing w:after="120"/>
        <w:ind w:left="720"/>
      </w:pPr>
      <w:r>
        <w:t>ア．レポート本体：配信日から7年間</w:t>
      </w:r>
    </w:p>
    <w:p w14:paraId="66314C7B" w14:textId="77777777" w:rsidR="00924FED" w:rsidRDefault="5756121F">
      <w:pPr>
        <w:spacing w:after="120"/>
        <w:ind w:left="720"/>
      </w:pPr>
      <w:r w:rsidRPr="5756121F">
        <w:t>イ．作成過程の記録（下書き、修正履歴）：配信日から5年間</w:t>
      </w:r>
    </w:p>
    <w:p w14:paraId="41AA0C05" w14:textId="77777777" w:rsidR="00924FED" w:rsidRDefault="00000000">
      <w:pPr>
        <w:spacing w:after="120"/>
        <w:ind w:left="720"/>
      </w:pPr>
      <w:r>
        <w:t>ウ．コンプライアンスチェックリスト：配信日から7年間</w:t>
      </w:r>
    </w:p>
    <w:p w14:paraId="7A83D533" w14:textId="77777777" w:rsidR="00924FED" w:rsidRDefault="00000000">
      <w:pPr>
        <w:spacing w:after="120"/>
        <w:ind w:left="720"/>
      </w:pPr>
      <w:r>
        <w:t>エ．IR面談記録：面談日から5年間</w:t>
      </w:r>
    </w:p>
    <w:p w14:paraId="0EC84D00" w14:textId="77777777" w:rsidR="00924FED" w:rsidRDefault="00000000">
      <w:pPr>
        <w:spacing w:before="240" w:after="120"/>
      </w:pPr>
      <w:r>
        <w:rPr>
          <w:rFonts w:ascii="ＭＳ ゴシック" w:eastAsia="ＭＳ ゴシック" w:hAnsi="ＭＳ ゴシック" w:cs="ＭＳ ゴシック"/>
          <w:b/>
          <w:bCs/>
          <w:sz w:val="22"/>
          <w:szCs w:val="22"/>
        </w:rPr>
        <w:t>第17条（内部監査）</w:t>
      </w:r>
    </w:p>
    <w:p w14:paraId="5333931E" w14:textId="77777777" w:rsidR="00924FED" w:rsidRDefault="00000000">
      <w:pPr>
        <w:spacing w:after="120"/>
        <w:ind w:left="360"/>
      </w:pPr>
      <w:r>
        <w:t>（1）内部監査部は、年1回以上、本規程の遵守状況について監査を実施するものとする。</w:t>
      </w:r>
    </w:p>
    <w:p w14:paraId="14477CC9" w14:textId="77777777" w:rsidR="00924FED" w:rsidRDefault="00000000">
      <w:pPr>
        <w:spacing w:after="120"/>
        <w:ind w:left="360"/>
      </w:pPr>
      <w:r>
        <w:t>（2）監査結果は、コンプライアンス委員会及び取締役会に報告するものとする。</w:t>
      </w:r>
    </w:p>
    <w:p w14:paraId="60061E4C" w14:textId="77777777" w:rsidR="00924FED" w:rsidRDefault="00924FED">
      <w:pPr>
        <w:spacing w:after="12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4FED" w14:paraId="44EAFD9C" w14:textId="77777777">
        <w:tblPrEx>
          <w:tblCellMar>
            <w:top w:w="0" w:type="dxa"/>
            <w:bottom w:w="0" w:type="dxa"/>
          </w:tblCellMar>
        </w:tblPrEx>
        <w:tc>
          <w:tcPr>
            <w:tcW w:w="9026" w:type="dxa"/>
            <w:tcBorders>
              <w:bottom w:val="single" w:sz="1" w:space="0" w:color="999999"/>
            </w:tcBorders>
          </w:tcPr>
          <w:p w14:paraId="4B94D5A5" w14:textId="77777777" w:rsidR="00924FED" w:rsidRDefault="00924FED"/>
        </w:tc>
      </w:tr>
    </w:tbl>
    <w:p w14:paraId="3DEEC669" w14:textId="77777777" w:rsidR="00924FED" w:rsidRDefault="00924FED">
      <w:pPr>
        <w:spacing w:after="120"/>
      </w:pPr>
    </w:p>
    <w:p w14:paraId="3FEB478A" w14:textId="77777777" w:rsidR="00924FED" w:rsidRDefault="5756121F" w:rsidP="5756121F">
      <w:pPr>
        <w:spacing w:before="360" w:after="240"/>
        <w:rPr>
          <w:rFonts w:ascii="ＭＳ ゴシック" w:eastAsia="ＭＳ ゴシック" w:hAnsi="ＭＳ ゴシック" w:cs="ＭＳ ゴシック"/>
          <w:b/>
          <w:bCs/>
          <w:sz w:val="28"/>
          <w:szCs w:val="28"/>
        </w:rPr>
      </w:pPr>
      <w:r w:rsidRPr="5756121F">
        <w:rPr>
          <w:rFonts w:ascii="ＭＳ ゴシック" w:eastAsia="ＭＳ ゴシック" w:hAnsi="ＭＳ ゴシック" w:cs="ＭＳ ゴシック"/>
          <w:b/>
          <w:bCs/>
          <w:sz w:val="28"/>
          <w:szCs w:val="28"/>
        </w:rPr>
        <w:t>第7章　罰則</w:t>
      </w:r>
    </w:p>
    <w:p w14:paraId="202D5BE7" w14:textId="77777777" w:rsidR="00924FED" w:rsidRDefault="00000000">
      <w:pPr>
        <w:spacing w:before="240" w:after="120"/>
      </w:pPr>
      <w:r>
        <w:rPr>
          <w:rFonts w:ascii="ＭＳ ゴシック" w:eastAsia="ＭＳ ゴシック" w:hAnsi="ＭＳ ゴシック" w:cs="ＭＳ ゴシック"/>
          <w:b/>
          <w:bCs/>
          <w:sz w:val="22"/>
          <w:szCs w:val="22"/>
        </w:rPr>
        <w:t>第18条（違反時の措置）</w:t>
      </w:r>
    </w:p>
    <w:p w14:paraId="7BCF0463" w14:textId="77777777" w:rsidR="00924FED" w:rsidRDefault="5756121F">
      <w:pPr>
        <w:spacing w:after="120"/>
      </w:pPr>
      <w:r w:rsidRPr="5756121F">
        <w:t>本規程に違反した者に対しては、その重大性に応じて、以下の措置を講じることがある。</w:t>
      </w:r>
    </w:p>
    <w:p w14:paraId="1983D195" w14:textId="77777777" w:rsidR="00924FED" w:rsidRDefault="00000000">
      <w:pPr>
        <w:spacing w:after="120"/>
        <w:ind w:left="360"/>
      </w:pPr>
      <w:r>
        <w:t>（1）厳重注意</w:t>
      </w:r>
    </w:p>
    <w:p w14:paraId="57630803" w14:textId="77777777" w:rsidR="00924FED" w:rsidRDefault="00000000">
      <w:pPr>
        <w:spacing w:after="120"/>
        <w:ind w:left="360"/>
      </w:pPr>
      <w:r>
        <w:t>（2）始末書の提出</w:t>
      </w:r>
    </w:p>
    <w:p w14:paraId="7AC4A19C" w14:textId="77777777" w:rsidR="00924FED" w:rsidRDefault="00000000">
      <w:pPr>
        <w:spacing w:after="120"/>
        <w:ind w:left="360"/>
      </w:pPr>
      <w:r>
        <w:t>（3）レポート作成権限の一時停止</w:t>
      </w:r>
    </w:p>
    <w:p w14:paraId="367719C8" w14:textId="77777777" w:rsidR="00924FED" w:rsidRDefault="00000000">
      <w:pPr>
        <w:spacing w:after="120"/>
        <w:ind w:left="360"/>
      </w:pPr>
      <w:r>
        <w:t>（4）配置転換</w:t>
      </w:r>
    </w:p>
    <w:p w14:paraId="4F838BF1" w14:textId="77777777" w:rsidR="00924FED" w:rsidRDefault="00000000">
      <w:pPr>
        <w:spacing w:after="120"/>
        <w:ind w:left="360"/>
      </w:pPr>
      <w:r>
        <w:t>（5）懲戒処分（就業規則に基づく）</w:t>
      </w:r>
    </w:p>
    <w:p w14:paraId="3656B9AB" w14:textId="77777777" w:rsidR="00924FED" w:rsidRDefault="00924FED">
      <w:pPr>
        <w:spacing w:after="12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4FED" w14:paraId="45FB0818" w14:textId="77777777">
        <w:tblPrEx>
          <w:tblCellMar>
            <w:top w:w="0" w:type="dxa"/>
            <w:bottom w:w="0" w:type="dxa"/>
          </w:tblCellMar>
        </w:tblPrEx>
        <w:tc>
          <w:tcPr>
            <w:tcW w:w="9026" w:type="dxa"/>
            <w:tcBorders>
              <w:bottom w:val="single" w:sz="1" w:space="0" w:color="999999"/>
            </w:tcBorders>
          </w:tcPr>
          <w:p w14:paraId="049F31CB" w14:textId="77777777" w:rsidR="00924FED" w:rsidRDefault="00924FED"/>
        </w:tc>
      </w:tr>
    </w:tbl>
    <w:p w14:paraId="53128261" w14:textId="77777777" w:rsidR="00924FED" w:rsidRDefault="00924FED">
      <w:pPr>
        <w:spacing w:after="120"/>
      </w:pPr>
    </w:p>
    <w:p w14:paraId="33166B68" w14:textId="77777777" w:rsidR="00924FED" w:rsidRDefault="5756121F" w:rsidP="5756121F">
      <w:pPr>
        <w:spacing w:before="240" w:after="200"/>
        <w:rPr>
          <w:rFonts w:ascii="ＭＳ ゴシック" w:eastAsia="ＭＳ ゴシック" w:hAnsi="ＭＳ ゴシック" w:cs="ＭＳ ゴシック"/>
          <w:b/>
          <w:bCs/>
          <w:sz w:val="26"/>
          <w:szCs w:val="26"/>
        </w:rPr>
      </w:pPr>
      <w:r w:rsidRPr="5756121F">
        <w:rPr>
          <w:rFonts w:ascii="ＭＳ ゴシック" w:eastAsia="ＭＳ ゴシック" w:hAnsi="ＭＳ ゴシック" w:cs="ＭＳ ゴシック"/>
          <w:b/>
          <w:bCs/>
          <w:sz w:val="26"/>
          <w:szCs w:val="26"/>
        </w:rPr>
        <w:t>附則</w:t>
      </w:r>
    </w:p>
    <w:p w14:paraId="0FF72BC3" w14:textId="77777777" w:rsidR="00924FED" w:rsidRDefault="00000000">
      <w:pPr>
        <w:spacing w:after="120"/>
      </w:pPr>
      <w:r>
        <w:t>1. 本規程は2020年4月1日から施行する。</w:t>
      </w:r>
    </w:p>
    <w:p w14:paraId="2379DDDB" w14:textId="77777777" w:rsidR="00924FED" w:rsidRDefault="5756121F">
      <w:pPr>
        <w:spacing w:after="120"/>
      </w:pPr>
      <w:r w:rsidRPr="5756121F">
        <w:t>2. 2023年4月1日一部改定（第9条 禁止銘柄リスト更新頻度の変更）</w:t>
      </w:r>
    </w:p>
    <w:p w14:paraId="692B818A" w14:textId="77777777" w:rsidR="00924FED" w:rsidRDefault="5756121F">
      <w:pPr>
        <w:spacing w:after="120"/>
      </w:pPr>
      <w:r w:rsidRPr="5756121F">
        <w:t>3. 2025年10月1日一部改定（第15条 速報レポートに関する簡易チェックリスト手続の追加）</w:t>
      </w:r>
    </w:p>
    <w:p w14:paraId="62486C05" w14:textId="77777777" w:rsidR="00924FED" w:rsidRDefault="00924FED">
      <w:pPr>
        <w:spacing w:after="300"/>
      </w:pPr>
    </w:p>
    <w:p w14:paraId="3814A144" w14:textId="77777777" w:rsidR="00924FED" w:rsidRDefault="00000000">
      <w:pPr>
        <w:jc w:val="right"/>
      </w:pPr>
      <w:r>
        <w:t>以　上</w:t>
      </w:r>
    </w:p>
    <w:sectPr w:rsidR="00924FE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C00E0" w14:textId="77777777" w:rsidR="003A1208" w:rsidRDefault="003A1208">
      <w:r>
        <w:separator/>
      </w:r>
    </w:p>
  </w:endnote>
  <w:endnote w:type="continuationSeparator" w:id="0">
    <w:p w14:paraId="10E0712F" w14:textId="77777777" w:rsidR="003A1208" w:rsidRDefault="003A1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75C05" w14:textId="1CC09E8C" w:rsidR="00924FED" w:rsidRDefault="00000000">
    <w:pPr>
      <w:jc w:val="center"/>
    </w:pPr>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562E9B">
      <w:rPr>
        <w:noProof/>
        <w:color w:val="666666"/>
        <w:sz w:val="16"/>
        <w:szCs w:val="16"/>
      </w:rPr>
      <w:t>1</w:t>
    </w:r>
    <w:r>
      <w:rPr>
        <w:color w:val="666666"/>
        <w:sz w:val="16"/>
        <w:szCs w:val="16"/>
      </w:rPr>
      <w:fldChar w:fldCharType="end"/>
    </w:r>
    <w:r>
      <w:rPr>
        <w:color w:val="666666"/>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2EDBD" w14:textId="77777777" w:rsidR="003A1208" w:rsidRDefault="003A1208">
      <w:r>
        <w:separator/>
      </w:r>
    </w:p>
  </w:footnote>
  <w:footnote w:type="continuationSeparator" w:id="0">
    <w:p w14:paraId="0D37F046" w14:textId="77777777" w:rsidR="003A1208" w:rsidRDefault="003A1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B3B7B" w14:textId="77777777" w:rsidR="00924FED" w:rsidRDefault="5756121F" w:rsidP="5756121F">
    <w:pPr>
      <w:jc w:val="right"/>
      <w:rPr>
        <w:rFonts w:ascii="ＭＳ ゴシック" w:eastAsia="ＭＳ ゴシック" w:hAnsi="ＭＳ ゴシック" w:cs="ＭＳ ゴシック"/>
        <w:color w:val="666666"/>
        <w:sz w:val="16"/>
        <w:szCs w:val="16"/>
      </w:rPr>
    </w:pPr>
    <w:r w:rsidRPr="5756121F">
      <w:rPr>
        <w:rFonts w:ascii="ＭＳ ゴシック" w:eastAsia="ＭＳ ゴシック" w:hAnsi="ＭＳ ゴシック" w:cs="ＭＳ ゴシック"/>
        <w:color w:val="666666"/>
        <w:sz w:val="16"/>
        <w:szCs w:val="16"/>
      </w:rPr>
      <w:t>CMP-RES-2025-003</w:t>
    </w:r>
    <w:r w:rsidRPr="5756121F">
      <w:rPr>
        <w:rFonts w:ascii="ＭＳ ゴシック" w:eastAsia="ＭＳ ゴシック" w:hAnsi="ＭＳ ゴシック" w:cs="ＭＳ ゴシック"/>
        <w:color w:val="999999"/>
        <w:sz w:val="16"/>
        <w:szCs w:val="16"/>
      </w:rPr>
      <w:t xml:space="preserve">  |  </w:t>
    </w:r>
    <w:r w:rsidRPr="5756121F">
      <w:rPr>
        <w:rFonts w:ascii="ＭＳ ゴシック" w:eastAsia="ＭＳ ゴシック" w:hAnsi="ＭＳ ゴシック" w:cs="ＭＳ ゴシック"/>
        <w:color w:val="666666"/>
        <w:sz w:val="16"/>
        <w:szCs w:val="16"/>
      </w:rPr>
      <w:t>コンプライアンス統括部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8BBEC"/>
    <w:multiLevelType w:val="hybridMultilevel"/>
    <w:tmpl w:val="D4149638"/>
    <w:lvl w:ilvl="0" w:tplc="7D42DA94">
      <w:start w:val="1"/>
      <w:numFmt w:val="bullet"/>
      <w:lvlText w:val="●"/>
      <w:lvlJc w:val="left"/>
      <w:pPr>
        <w:ind w:left="720" w:hanging="360"/>
      </w:pPr>
    </w:lvl>
    <w:lvl w:ilvl="1" w:tplc="F7BECB0C">
      <w:start w:val="1"/>
      <w:numFmt w:val="bullet"/>
      <w:lvlText w:val="○"/>
      <w:lvlJc w:val="left"/>
      <w:pPr>
        <w:ind w:left="1440" w:hanging="360"/>
      </w:pPr>
    </w:lvl>
    <w:lvl w:ilvl="2" w:tplc="4AB09138">
      <w:start w:val="1"/>
      <w:numFmt w:val="bullet"/>
      <w:lvlText w:val="■"/>
      <w:lvlJc w:val="left"/>
      <w:pPr>
        <w:ind w:left="2160" w:hanging="360"/>
      </w:pPr>
    </w:lvl>
    <w:lvl w:ilvl="3" w:tplc="8F74C3A0">
      <w:start w:val="1"/>
      <w:numFmt w:val="bullet"/>
      <w:lvlText w:val="●"/>
      <w:lvlJc w:val="left"/>
      <w:pPr>
        <w:ind w:left="2880" w:hanging="360"/>
      </w:pPr>
    </w:lvl>
    <w:lvl w:ilvl="4" w:tplc="81A291A6">
      <w:start w:val="1"/>
      <w:numFmt w:val="bullet"/>
      <w:lvlText w:val="○"/>
      <w:lvlJc w:val="left"/>
      <w:pPr>
        <w:ind w:left="3600" w:hanging="360"/>
      </w:pPr>
    </w:lvl>
    <w:lvl w:ilvl="5" w:tplc="0D76C096">
      <w:start w:val="1"/>
      <w:numFmt w:val="bullet"/>
      <w:lvlText w:val="■"/>
      <w:lvlJc w:val="left"/>
      <w:pPr>
        <w:ind w:left="4320" w:hanging="360"/>
      </w:pPr>
    </w:lvl>
    <w:lvl w:ilvl="6" w:tplc="DA08F96A">
      <w:start w:val="1"/>
      <w:numFmt w:val="bullet"/>
      <w:lvlText w:val="●"/>
      <w:lvlJc w:val="left"/>
      <w:pPr>
        <w:ind w:left="5040" w:hanging="360"/>
      </w:pPr>
    </w:lvl>
    <w:lvl w:ilvl="7" w:tplc="FD52F2D2">
      <w:start w:val="1"/>
      <w:numFmt w:val="bullet"/>
      <w:lvlText w:val="●"/>
      <w:lvlJc w:val="left"/>
      <w:pPr>
        <w:ind w:left="5760" w:hanging="360"/>
      </w:pPr>
    </w:lvl>
    <w:lvl w:ilvl="8" w:tplc="E55A51D8">
      <w:start w:val="1"/>
      <w:numFmt w:val="bullet"/>
      <w:lvlText w:val="●"/>
      <w:lvlJc w:val="left"/>
      <w:pPr>
        <w:ind w:left="6480" w:hanging="360"/>
      </w:pPr>
    </w:lvl>
  </w:abstractNum>
  <w:num w:numId="1" w16cid:durableId="1302922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56121F"/>
    <w:rsid w:val="003200C6"/>
    <w:rsid w:val="003A1208"/>
    <w:rsid w:val="004D16BF"/>
    <w:rsid w:val="00562E9B"/>
    <w:rsid w:val="00924FED"/>
    <w:rsid w:val="00A54D21"/>
    <w:rsid w:val="00D12B43"/>
    <w:rsid w:val="575612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9BAEBD"/>
  <w15:docId w15:val="{A3739003-944B-49F4-B980-36D118FB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semiHidden/>
    <w:unhideWhenUsed/>
    <w:rsid w:val="00562E9B"/>
    <w:pPr>
      <w:tabs>
        <w:tab w:val="center" w:pos="4252"/>
        <w:tab w:val="right" w:pos="8504"/>
      </w:tabs>
      <w:snapToGrid w:val="0"/>
    </w:pPr>
  </w:style>
  <w:style w:type="character" w:customStyle="1" w:styleId="aa">
    <w:name w:val="ヘッダー (文字)"/>
    <w:basedOn w:val="a0"/>
    <w:link w:val="a9"/>
    <w:uiPriority w:val="99"/>
    <w:semiHidden/>
    <w:rsid w:val="00562E9B"/>
  </w:style>
  <w:style w:type="paragraph" w:styleId="ab">
    <w:name w:val="footer"/>
    <w:basedOn w:val="a"/>
    <w:link w:val="ac"/>
    <w:uiPriority w:val="99"/>
    <w:semiHidden/>
    <w:unhideWhenUsed/>
    <w:rsid w:val="00562E9B"/>
    <w:pPr>
      <w:tabs>
        <w:tab w:val="center" w:pos="4252"/>
        <w:tab w:val="right" w:pos="8504"/>
      </w:tabs>
      <w:snapToGrid w:val="0"/>
    </w:pPr>
  </w:style>
  <w:style w:type="character" w:customStyle="1" w:styleId="ac">
    <w:name w:val="フッター (文字)"/>
    <w:basedOn w:val="a0"/>
    <w:link w:val="ab"/>
    <w:uiPriority w:val="99"/>
    <w:semiHidden/>
    <w:rsid w:val="00562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3071</Words>
  <Characters>3134</Characters>
  <Application>Microsoft Office Word</Application>
  <DocSecurity>0</DocSecurity>
  <Lines>156</Lines>
  <Paragraphs>120</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Akira Inoue</cp:lastModifiedBy>
  <cp:revision>4</cp:revision>
  <dcterms:created xsi:type="dcterms:W3CDTF">2026-04-13T03:58:00Z</dcterms:created>
  <dcterms:modified xsi:type="dcterms:W3CDTF">2026-04-15T03:43:00Z</dcterms:modified>
</cp:coreProperties>
</file>