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8.png" ContentType="image/png"/>
  <Override PartName="/word/media/rId144.png" ContentType="image/png"/>
  <Override PartName="/word/media/rId150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2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</w:tr>
    </w:tbl>
    <w:p>
      <w:pPr>
        <w:pStyle w:val="FirstParagraph"/>
      </w:pPr>
      <w:r>
        <w:t xml:space="preserve">DY7 n = 22. DY8 n = 22. DY9 n = 22. DY10 n = 22.</w:t>
      </w:r>
    </w:p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</w:tr>
    </w:tbl>
    <w:p>
      <w:pPr>
        <w:pStyle w:val="FirstParagraph"/>
      </w:pPr>
      <w:r>
        <w:t xml:space="preserve">DY7 n = 12. DY8 n = 12. DY9 n = 12. DY10 n = 12.</w:t>
      </w:r>
    </w:p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41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</w:tbl>
    <w:p>
      <w:pPr>
        <w:pStyle w:val="FirstParagraph"/>
      </w:pPr>
      <w:r>
        <w:t xml:space="preserve">DY7 n = 5. DY8 n = 5. DY9 n = 5. DY10 n = 5.</w:t>
      </w:r>
      <w:r>
        <w:t xml:space="preserve"> </w:t>
      </w:r>
      <w:r>
        <w:t xml:space="preserve">###### Figure B.4 Change in Unweighted Mean Rate: H2-510 Rate of Emergency Department Visits for Behavioral Health and Substance Abuse</w:t>
      </w:r>
      <w:r>
        <w:t xml:space="preserve"> </w:t>
      </w: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1"/>
    <w:bookmarkStart w:id="142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2"/>
    <w:bookmarkStart w:id="143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p>
      <w:pPr>
        <w:pStyle w:val="FirstParagraph"/>
      </w:pPr>
      <w:r>
        <w:t xml:space="preserve">DY7 n = 17. DY8 n = 17. DY9 n = 17. DY10 n = 17.</w:t>
      </w:r>
    </w:p>
    <w:bookmarkEnd w:id="143"/>
    <w:bookmarkStart w:id="147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7"/>
    <w:bookmarkStart w:id="148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8"/>
    <w:bookmarkStart w:id="149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</w:tbl>
    <w:p>
      <w:pPr>
        <w:pStyle w:val="FirstParagraph"/>
      </w:pPr>
      <w:r>
        <w:t xml:space="preserve">DY7 n = 10. DY8 n = 10. DY9 n = 10. DY10 n = 10.</w:t>
      </w:r>
    </w:p>
    <w:bookmarkEnd w:id="149"/>
    <w:bookmarkStart w:id="153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3"/>
    <w:bookmarkStart w:id="154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4"/>
    <w:bookmarkStart w:id="155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 (0.22)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 (0.06)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 (0.21)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 (0.19)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 (0.03)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5"/>
    <w:bookmarkStart w:id="156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6"/>
    <w:bookmarkStart w:id="157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 (10.93)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 (11.46)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 (15.79)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 (21.55)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 (10.58)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 (12.47)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 (16.52)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 (19.13)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 (11.71)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 (12.15)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 (16.97)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 (22.26)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 (15.78)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 (12.16)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 (13.68)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7"/>
    <w:bookmarkStart w:id="158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8"/>
    <w:bookmarkStart w:id="159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 (3.71)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 (4.63)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 (3.7)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 (5.08)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 (2.47)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 (2.17)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 (3.06)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 (2.7)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 (3.19)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 (3.87)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 (2.69)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 (3.34)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9"/>
    <w:bookmarkStart w:id="160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0"/>
    <w:bookmarkStart w:id="161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 (6.4)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 (6.5)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 (3.8)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 (3.4)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 (3.6)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 (4.3)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 (4.3)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 (3.5)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 (2.2)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 (1.4)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1"/>
    <w:bookmarkEnd w:id="162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rId39.png"/><Relationship Id="rId133" Type="http://schemas.openxmlformats.org/officeDocument/2006/relationships/image" Target="media/rId133.png"/><Relationship Id="rId138" Type="http://schemas.openxmlformats.org/officeDocument/2006/relationships/image" Target="media/rId138.png"/><Relationship Id="rId42" Type="http://schemas.openxmlformats.org/officeDocument/2006/relationships/image" Target="media/rId42.png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66" Type="http://schemas.openxmlformats.org/officeDocument/2006/relationships/image" Target="media/rId66.png"/><Relationship Id="rId74" Type="http://schemas.openxmlformats.org/officeDocument/2006/relationships/image" Target="media/rId74.png"/><Relationship Id="rId102" Type="http://schemas.openxmlformats.org/officeDocument/2006/relationships/image" Target="media/rId102.png"/><Relationship Id="rId110" Type="http://schemas.openxmlformats.org/officeDocument/2006/relationships/image" Target="media/rId110.png"/><Relationship Id="rId144" Type="http://schemas.openxmlformats.org/officeDocument/2006/relationships/image" Target="media/rId144.png"/><Relationship Id="rId32" Type="http://schemas.openxmlformats.org/officeDocument/2006/relationships/image" Target="media/rId32.png"/><Relationship Id="rId5" Type="http://schemas.openxmlformats.org/officeDocument/2006/relationships/fontTable" Target="fontTable.xml"/><Relationship Id="rId82" Type="http://schemas.openxmlformats.org/officeDocument/2006/relationships/image" Target="media/rId82.png"/><Relationship Id="rId90" Type="http://schemas.openxmlformats.org/officeDocument/2006/relationships/image" Target="media/rId90.png"/><Relationship Id="rId106" Type="http://schemas.openxmlformats.org/officeDocument/2006/relationships/image" Target="media/rId106.png"/><Relationship Id="rId114" Type="http://schemas.openxmlformats.org/officeDocument/2006/relationships/image" Target="media/rId114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36" Type="http://schemas.openxmlformats.org/officeDocument/2006/relationships/image" Target="media/rId36.png"/><Relationship Id="rId49" Type="http://schemas.openxmlformats.org/officeDocument/2006/relationships/image" Target="media/rId49.png"/><Relationship Id="rId152" Type="http://schemas.openxmlformats.org/officeDocument/2006/relationships/customXml" Target="../customXml/item2.xml"/><Relationship Id="rId10" Type="http://schemas.openxmlformats.org/officeDocument/2006/relationships/header" Target="header2.xml"/><Relationship Id="rId78" Type="http://schemas.openxmlformats.org/officeDocument/2006/relationships/image" Target="media/rId78.png"/><Relationship Id="rId86" Type="http://schemas.openxmlformats.org/officeDocument/2006/relationships/image" Target="media/rId86.png"/><Relationship Id="rId94" Type="http://schemas.openxmlformats.org/officeDocument/2006/relationships/image" Target="media/rId94.png"/><Relationship Id="rId52" Type="http://schemas.openxmlformats.org/officeDocument/2006/relationships/image" Target="media/rId52.png"/><Relationship Id="rId60" Type="http://schemas.openxmlformats.org/officeDocument/2006/relationships/image" Target="media/rId60.png"/><Relationship Id="rId15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18" Type="http://schemas.openxmlformats.org/officeDocument/2006/relationships/image" Target="media/rId118.png"/><Relationship Id="rId22" Type="http://schemas.openxmlformats.org/officeDocument/2006/relationships/image" Target="media/rId22.png"/><Relationship Id="rId56" Type="http://schemas.openxmlformats.org/officeDocument/2006/relationships/image" Target="media/rId56.png"/><Relationship Id="rId8" Type="http://schemas.openxmlformats.org/officeDocument/2006/relationships/comments" Target="comments.xml"/><Relationship Id="rId98" Type="http://schemas.openxmlformats.org/officeDocument/2006/relationships/image" Target="media/rId98.png"/><Relationship Id="rId150" Type="http://schemas.openxmlformats.org/officeDocument/2006/relationships/image" Target="media/rId150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25" Type="http://schemas.openxmlformats.org/officeDocument/2006/relationships/image" Target="media/rId25.png"/><Relationship Id="rId46" Type="http://schemas.openxmlformats.org/officeDocument/2006/relationships/image" Target="media/rId46.png"/><Relationship Id="rId70" Type="http://schemas.openxmlformats.org/officeDocument/2006/relationships/image" Target="media/rId70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6954B8-CD13-4AA0-BD66-163D6585ACB6}"/>
</file>

<file path=customXml/itemProps2.xml><?xml version="1.0" encoding="utf-8"?>
<ds:datastoreItem xmlns:ds="http://schemas.openxmlformats.org/officeDocument/2006/customXml" ds:itemID="{CA789059-AA03-41DC-9E93-A1FEBB12F16D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2023-10-10T02:50:03Z</dcterms:created>
  <dcterms:modified xsi:type="dcterms:W3CDTF">2023-10-10T02:50:03Z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