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Formulating</w:t>
      </w:r>
      <w:r>
        <w:t xml:space="preserve"> </w:t>
      </w:r>
      <w:r>
        <w:t xml:space="preserve">a</w:t>
      </w:r>
      <w:r>
        <w:t xml:space="preserve"> </w:t>
      </w:r>
      <w:r>
        <w:t xml:space="preserve">Research</w:t>
      </w:r>
      <w:r>
        <w:t xml:space="preserve"> </w:t>
      </w:r>
      <w:r>
        <w:t xml:space="preserve">Question</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w:t>
      </w:r>
      <w:r>
        <w:t xml:space="preserve">Grand Challenges</w:t>
      </w:r>
      <w:r>
        <w:t xml:space="preserve">”</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w:t>
      </w:r>
      <w:r>
        <w:t xml:space="preserve">three research topics</w:t>
      </w:r>
      <w:r>
        <w:t xml:space="preserve">”</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w:t>
      </w:r>
      <w:r>
        <w:t xml:space="preserve">Colquitt, J. A., &amp; George, G. (2011). Publishing in AMJ—part 1: Topic choice. Academy of management journal. Academy of Management Briarcliff Manor, NY.</w:t>
      </w:r>
      <w:r>
        <w:t xml:space="preserve">”</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w:t>
      </w:r>
      <w:r>
        <w:t xml:space="preserve">Publishing in AMJ—part 1: Topic choice</w:t>
      </w:r>
      <w:r>
        <w:t xml:space="preserv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2025-05-25T12:19:03Z</dcterms:created>
  <dcterms:modified xsi:type="dcterms:W3CDTF">2025-05-25T12:19:03Z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