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Secondary</w:t>
      </w:r>
      <w:r>
        <w:t xml:space="preserve"> </w:t>
      </w:r>
      <w:r>
        <w:t xml:space="preserve">Data</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w:t>
      </w:r>
      <w:r>
        <w:t xml:space="preserve">Diseases and Conditions</w:t>
      </w:r>
      <w:r>
        <w:t xml:space="preserve">”</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w:t>
      </w:r>
      <w:r>
        <w:t xml:space="preserve">Data and Statistics</w:t>
      </w:r>
      <w:r>
        <w:t xml:space="preserve">”</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w:t>
      </w:r>
      <w:r>
        <w:t xml:space="preserve">Find Data</w:t>
      </w:r>
      <w:r>
        <w:t xml:space="preserve">”</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w:t>
      </w:r>
      <w:r>
        <w:t xml:space="preserve">Summary</w:t>
      </w:r>
      <w:r>
        <w:t xml:space="preserve">”</w:t>
      </w:r>
    </w:p>
    <w:p>
      <w:pPr>
        <w:pStyle w:val="Compact"/>
        <w:numPr>
          <w:ilvl w:val="1"/>
          <w:numId w:val="1036"/>
        </w:numPr>
      </w:pPr>
      <w:r>
        <w:t xml:space="preserve">Under</w:t>
      </w:r>
      <w:r>
        <w:t xml:space="preserve"> </w:t>
      </w:r>
      <w:r>
        <w:t xml:space="preserve">“</w:t>
      </w:r>
      <w:r>
        <w:t xml:space="preserve">Table of Contents</w:t>
      </w:r>
      <w:r>
        <w:t xml:space="preserve">”</w:t>
      </w:r>
      <w:r>
        <w:t xml:space="preserve"> </w:t>
      </w:r>
      <w:r>
        <w:t xml:space="preserve">on the left hand side of the page, click on</w:t>
      </w:r>
      <w:r>
        <w:t xml:space="preserve"> </w:t>
      </w:r>
      <w:r>
        <w:t xml:space="preserve">“</w:t>
      </w:r>
      <w:r>
        <w:t xml:space="preserve">Methodology</w:t>
      </w:r>
      <w:r>
        <w:t xml:space="preserve">”</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2025-05-25T12:19:32Z</dcterms:created>
  <dcterms:modified xsi:type="dcterms:W3CDTF">2025-05-25T12:19:32Z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