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Introduction</w:t>
      </w:r>
      <w:r>
        <w:t xml:space="preserve"> </w:t>
      </w:r>
      <w:r>
        <w:t xml:space="preserve">and</w:t>
      </w:r>
      <w:r>
        <w:t xml:space="preserve"> </w:t>
      </w:r>
      <w:r>
        <w:t xml:space="preserve">House</w:t>
      </w:r>
      <w:r>
        <w:t xml:space="preserve"> </w:t>
      </w:r>
      <w:r>
        <w:t xml:space="preserve">Keeping</w:t>
      </w:r>
    </w:p>
    <w:p>
      <w:pPr>
        <w:pStyle w:val="Subtitle"/>
      </w:pPr>
      <w:r>
        <w:t xml:space="preserve">MGS3701</w:t>
      </w:r>
      <w:r>
        <w:t xml:space="preserve"> </w:t>
      </w:r>
      <w:r>
        <w:t xml:space="preserve">Data</w:t>
      </w:r>
      <w:r>
        <w:t xml:space="preserve"> </w:t>
      </w:r>
      <w:r>
        <w:t xml:space="preserve">Mining,</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2025-05-25T12:37:15Z</dcterms:created>
  <dcterms:modified xsi:type="dcterms:W3CDTF">2025-05-25T12:37:15Z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